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lang w:eastAsia="zh-CN"/>
        </w:rPr>
      </w:pPr>
      <w:r>
        <w:rPr>
          <w:rFonts w:hint="eastAsia" w:eastAsia="宋体"/>
          <w:lang w:eastAsia="zh-CN"/>
        </w:rPr>
        <w:drawing>
          <wp:inline distT="0" distB="0" distL="114300" distR="114300">
            <wp:extent cx="5660390" cy="4459605"/>
            <wp:effectExtent l="0" t="0" r="3810" b="10795"/>
            <wp:docPr id="4" name="图片 4" descr="20200926_15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00926_155917"/>
                    <pic:cNvPicPr>
                      <a:picLocks noChangeAspect="1"/>
                    </pic:cNvPicPr>
                  </pic:nvPicPr>
                  <pic:blipFill>
                    <a:blip r:embed="rId6"/>
                    <a:srcRect l="11606" t="7834" r="12340" b="12265"/>
                    <a:stretch>
                      <a:fillRect/>
                    </a:stretch>
                  </pic:blipFill>
                  <pic:spPr>
                    <a:xfrm>
                      <a:off x="0" y="0"/>
                      <a:ext cx="5660390" cy="4459605"/>
                    </a:xfrm>
                    <a:prstGeom prst="rect">
                      <a:avLst/>
                    </a:prstGeom>
                  </pic:spPr>
                </pic:pic>
              </a:graphicData>
            </a:graphic>
          </wp:inline>
        </w:drawing>
      </w:r>
    </w:p>
    <w:p>
      <w:pPr>
        <w:jc w:val="center"/>
        <w:rPr>
          <w:rFonts w:hint="default" w:eastAsia="宋体"/>
          <w:b/>
          <w:szCs w:val="21"/>
          <w:lang w:val="en-US" w:eastAsia="zh-CN"/>
        </w:rPr>
      </w:pPr>
      <w:r>
        <w:rPr>
          <w:rFonts w:hint="eastAsia"/>
          <w:b/>
          <w:szCs w:val="21"/>
          <w:lang w:val="en-US" w:eastAsia="zh-CN"/>
        </w:rPr>
        <w:t>GYL283</w:t>
      </w:r>
      <w:r>
        <w:rPr>
          <w:b/>
          <w:szCs w:val="21"/>
        </w:rPr>
        <w:t>/2</w:t>
      </w:r>
      <w:r>
        <w:rPr>
          <w:rFonts w:hint="eastAsia"/>
          <w:b/>
          <w:szCs w:val="21"/>
          <w:lang w:val="en-US" w:eastAsia="zh-CN"/>
        </w:rPr>
        <w:t>63</w:t>
      </w:r>
      <w:r>
        <w:rPr>
          <w:b/>
          <w:szCs w:val="21"/>
        </w:rPr>
        <w:t>/2</w:t>
      </w:r>
      <w:r>
        <w:rPr>
          <w:rFonts w:hint="eastAsia"/>
          <w:b/>
          <w:szCs w:val="21"/>
          <w:lang w:val="en-US" w:eastAsia="zh-CN"/>
        </w:rPr>
        <w:t>33</w:t>
      </w:r>
      <w:r>
        <w:rPr>
          <w:b/>
          <w:szCs w:val="21"/>
        </w:rPr>
        <w:t>/</w:t>
      </w:r>
      <w:r>
        <w:rPr>
          <w:rFonts w:hint="eastAsia"/>
          <w:b/>
          <w:szCs w:val="21"/>
          <w:lang w:val="en-US" w:eastAsia="zh-CN"/>
        </w:rPr>
        <w:t>203</w:t>
      </w:r>
    </w:p>
    <w:p>
      <w:pPr>
        <w:pStyle w:val="8"/>
        <w:spacing w:before="0" w:beforeAutospacing="0" w:after="0" w:afterAutospacing="0"/>
        <w:jc w:val="both"/>
        <w:rPr>
          <w:sz w:val="21"/>
          <w:szCs w:val="21"/>
        </w:rPr>
      </w:pPr>
      <w:r>
        <w:rPr>
          <w:rStyle w:val="12"/>
          <w:sz w:val="21"/>
          <w:szCs w:val="21"/>
        </w:rPr>
        <w:t>适用范围</w:t>
      </w:r>
    </w:p>
    <w:p>
      <w:pPr>
        <w:pStyle w:val="8"/>
        <w:spacing w:before="0" w:beforeAutospacing="0" w:after="0" w:afterAutospacing="0"/>
        <w:jc w:val="both"/>
        <w:rPr>
          <w:sz w:val="21"/>
          <w:szCs w:val="21"/>
        </w:rPr>
      </w:pPr>
      <w:r>
        <w:rPr>
          <w:rFonts w:hint="eastAsia"/>
          <w:sz w:val="21"/>
          <w:szCs w:val="21"/>
        </w:rPr>
        <w:t>本</w:t>
      </w:r>
      <w:r>
        <w:rPr>
          <w:sz w:val="21"/>
          <w:szCs w:val="21"/>
        </w:rPr>
        <w:t>垃圾压实机是垃圾填埋场必备的设备，具有对垃圾推平、挤碎、压实的功能，有利于节约土地、保护环境，延长填埋场的使用寿命。</w:t>
      </w:r>
    </w:p>
    <w:p>
      <w:pPr>
        <w:rPr>
          <w:b/>
        </w:rPr>
      </w:pPr>
      <w:r>
        <w:rPr>
          <w:b/>
        </w:rPr>
        <w:t>Scope of application</w:t>
      </w:r>
    </w:p>
    <w:p>
      <w:pPr>
        <w:pStyle w:val="8"/>
        <w:spacing w:before="0" w:beforeAutospacing="0" w:after="0" w:afterAutospacing="0"/>
        <w:jc w:val="both"/>
        <w:rPr>
          <w:rFonts w:ascii="Times New Roman" w:hAnsi="Times New Roman" w:cs="Times New Roman"/>
          <w:color w:val="000000"/>
          <w:sz w:val="21"/>
          <w:szCs w:val="21"/>
        </w:rPr>
      </w:pPr>
      <w:r>
        <w:rPr>
          <w:rFonts w:ascii="Times New Roman" w:hAnsi="Times New Roman" w:cs="Times New Roman"/>
          <w:color w:val="000000"/>
          <w:sz w:val="21"/>
          <w:szCs w:val="21"/>
        </w:rPr>
        <w:t>The refuse compactors are essential equipments for refuse landfill site. It has the functions of pushing, spreading, pulverizing demolishing and compacting the refuse. Using this refuse compactor will help to save the land, protect the environmental and extend the operating life of the refuse landfill site.</w:t>
      </w:r>
    </w:p>
    <w:p>
      <w:pPr>
        <w:pStyle w:val="8"/>
        <w:spacing w:before="0" w:beforeAutospacing="0" w:after="0" w:afterAutospacing="0"/>
        <w:jc w:val="both"/>
        <w:rPr>
          <w:sz w:val="21"/>
          <w:szCs w:val="21"/>
        </w:rPr>
      </w:pPr>
      <w:r>
        <w:rPr>
          <w:rStyle w:val="12"/>
          <w:sz w:val="21"/>
          <w:szCs w:val="21"/>
        </w:rPr>
        <w:t>主要特点</w:t>
      </w:r>
    </w:p>
    <w:p>
      <w:pPr>
        <w:pStyle w:val="8"/>
        <w:spacing w:before="0" w:beforeAutospacing="0" w:after="0" w:afterAutospacing="0"/>
        <w:jc w:val="both"/>
        <w:rPr>
          <w:sz w:val="21"/>
          <w:szCs w:val="21"/>
        </w:rPr>
      </w:pPr>
      <w:r>
        <w:rPr>
          <w:sz w:val="21"/>
          <w:szCs w:val="21"/>
        </w:rPr>
        <w:t>1.采用上柴水冷增压柴油发动机，带低温起动装置</w:t>
      </w:r>
      <w:r>
        <w:rPr>
          <w:rFonts w:hint="eastAsia"/>
          <w:sz w:val="21"/>
          <w:szCs w:val="21"/>
        </w:rPr>
        <w:t>；</w:t>
      </w:r>
    </w:p>
    <w:p>
      <w:pPr>
        <w:pStyle w:val="8"/>
        <w:spacing w:before="0" w:beforeAutospacing="0" w:after="0" w:afterAutospacing="0"/>
        <w:jc w:val="both"/>
        <w:rPr>
          <w:sz w:val="21"/>
          <w:szCs w:val="21"/>
        </w:rPr>
      </w:pPr>
      <w:r>
        <w:rPr>
          <w:sz w:val="21"/>
          <w:szCs w:val="21"/>
        </w:rPr>
        <w:t xml:space="preserve">2.液力变矩器和动力换挡变速箱，四轮行走传动； </w:t>
      </w:r>
    </w:p>
    <w:p>
      <w:pPr>
        <w:pStyle w:val="8"/>
        <w:spacing w:before="0" w:beforeAutospacing="0" w:after="0" w:afterAutospacing="0"/>
        <w:jc w:val="both"/>
        <w:rPr>
          <w:sz w:val="21"/>
          <w:szCs w:val="21"/>
        </w:rPr>
      </w:pPr>
      <w:r>
        <w:rPr>
          <w:sz w:val="21"/>
          <w:szCs w:val="21"/>
        </w:rPr>
        <w:t>3.独特排列的长寿命耐磨齿</w:t>
      </w:r>
      <w:r>
        <w:rPr>
          <w:rFonts w:hint="eastAsia"/>
          <w:sz w:val="21"/>
          <w:szCs w:val="21"/>
        </w:rPr>
        <w:t>，</w:t>
      </w:r>
      <w:r>
        <w:rPr>
          <w:sz w:val="21"/>
          <w:szCs w:val="21"/>
        </w:rPr>
        <w:t>设置刮泥齿及剪钳，保证轮齿清洁，防止异物缠绕；</w:t>
      </w:r>
    </w:p>
    <w:p>
      <w:pPr>
        <w:pStyle w:val="8"/>
        <w:spacing w:before="0" w:beforeAutospacing="0" w:after="0" w:afterAutospacing="0"/>
        <w:jc w:val="both"/>
        <w:rPr>
          <w:sz w:val="21"/>
          <w:szCs w:val="21"/>
        </w:rPr>
      </w:pPr>
      <w:r>
        <w:rPr>
          <w:rFonts w:hint="eastAsia"/>
          <w:sz w:val="21"/>
          <w:szCs w:val="21"/>
        </w:rPr>
        <w:t>5</w:t>
      </w:r>
      <w:r>
        <w:rPr>
          <w:sz w:val="21"/>
          <w:szCs w:val="21"/>
        </w:rPr>
        <w:t>.液压转向作业系统采用负载传感装置的柱塞液压泵，操作轻巧，高效节能；</w:t>
      </w:r>
    </w:p>
    <w:p>
      <w:pPr>
        <w:pStyle w:val="8"/>
        <w:spacing w:before="0" w:beforeAutospacing="0" w:after="0" w:afterAutospacing="0"/>
        <w:jc w:val="both"/>
        <w:rPr>
          <w:sz w:val="21"/>
          <w:szCs w:val="21"/>
        </w:rPr>
      </w:pPr>
      <w:r>
        <w:rPr>
          <w:rFonts w:hint="eastAsia"/>
          <w:sz w:val="21"/>
          <w:szCs w:val="21"/>
        </w:rPr>
        <w:t>6</w:t>
      </w:r>
      <w:r>
        <w:rPr>
          <w:sz w:val="21"/>
          <w:szCs w:val="21"/>
        </w:rPr>
        <w:t>.集中润滑定期对关键点润滑维护，设置喷洒药物机构防蚊虫叮扰；</w:t>
      </w:r>
    </w:p>
    <w:p>
      <w:pPr>
        <w:pStyle w:val="8"/>
        <w:spacing w:before="0" w:beforeAutospacing="0" w:after="0" w:afterAutospacing="0"/>
        <w:jc w:val="both"/>
        <w:rPr>
          <w:sz w:val="21"/>
          <w:szCs w:val="21"/>
        </w:rPr>
      </w:pPr>
      <w:r>
        <w:rPr>
          <w:rFonts w:hint="eastAsia"/>
          <w:sz w:val="21"/>
          <w:szCs w:val="21"/>
        </w:rPr>
        <w:t>7</w:t>
      </w:r>
      <w:r>
        <w:rPr>
          <w:sz w:val="21"/>
          <w:szCs w:val="21"/>
        </w:rPr>
        <w:t>.车架一体化的防翻保护结构（ROPS），前后桥行车制动及中央停车制动提供最大的安全保证；</w:t>
      </w:r>
    </w:p>
    <w:p>
      <w:pPr>
        <w:pStyle w:val="8"/>
        <w:spacing w:before="0" w:beforeAutospacing="0" w:after="0" w:afterAutospacing="0"/>
        <w:jc w:val="both"/>
        <w:rPr>
          <w:sz w:val="21"/>
          <w:szCs w:val="21"/>
        </w:rPr>
      </w:pPr>
      <w:r>
        <w:rPr>
          <w:rFonts w:hint="eastAsia"/>
          <w:sz w:val="21"/>
          <w:szCs w:val="21"/>
        </w:rPr>
        <w:t>8</w:t>
      </w:r>
      <w:r>
        <w:rPr>
          <w:sz w:val="21"/>
          <w:szCs w:val="21"/>
        </w:rPr>
        <w:t>.驾驶室可翻转，两侧三开门机罩、双侧走廊和防护梯为工作</w:t>
      </w:r>
      <w:r>
        <w:rPr>
          <w:rFonts w:hint="eastAsia"/>
          <w:sz w:val="21"/>
          <w:szCs w:val="21"/>
        </w:rPr>
        <w:t>，</w:t>
      </w:r>
      <w:r>
        <w:rPr>
          <w:sz w:val="21"/>
          <w:szCs w:val="21"/>
        </w:rPr>
        <w:t>主要传动元件伸手可及。</w:t>
      </w:r>
    </w:p>
    <w:p>
      <w:pPr>
        <w:pStyle w:val="8"/>
        <w:spacing w:before="0" w:beforeAutospacing="0" w:after="0" w:afterAutospacing="0"/>
        <w:jc w:val="both"/>
        <w:rPr>
          <w:sz w:val="21"/>
          <w:szCs w:val="21"/>
        </w:rPr>
      </w:pPr>
      <w:r>
        <w:rPr>
          <w:rFonts w:hint="eastAsia"/>
          <w:sz w:val="21"/>
          <w:szCs w:val="21"/>
        </w:rPr>
        <w:t>9.</w:t>
      </w:r>
      <w:r>
        <w:rPr>
          <w:sz w:val="21"/>
          <w:szCs w:val="21"/>
        </w:rPr>
        <w:t>设置具有红外线夜视功能的车载影音倒车监视系统，以及倒车蜂鸣器大大方便驾驶员行驶和作业操作。</w:t>
      </w:r>
    </w:p>
    <w:p>
      <w:pPr>
        <w:widowControl/>
        <w:ind w:left="239" w:hanging="179" w:hangingChars="85"/>
        <w:rPr>
          <w:rFonts w:ascii="Arial" w:hAnsi="Arial" w:cs="Arial"/>
          <w:b/>
          <w:color w:val="616161"/>
          <w:sz w:val="18"/>
          <w:szCs w:val="18"/>
        </w:rPr>
      </w:pPr>
      <w:r>
        <w:rPr>
          <w:rFonts w:hint="eastAsia"/>
          <w:b/>
        </w:rPr>
        <w:t>Features</w:t>
      </w:r>
    </w:p>
    <w:p>
      <w:pPr>
        <w:rPr>
          <w:color w:val="000000"/>
          <w:szCs w:val="21"/>
        </w:rPr>
      </w:pPr>
      <w:r>
        <w:rPr>
          <w:rFonts w:hint="eastAsia"/>
          <w:color w:val="000000"/>
          <w:szCs w:val="21"/>
        </w:rPr>
        <w:t>1.</w:t>
      </w:r>
      <w:r>
        <w:rPr>
          <w:color w:val="000000"/>
          <w:szCs w:val="21"/>
        </w:rPr>
        <w:t>SHANGCHAI water-cooled turbocharged diesel engine with the cold starting system.</w:t>
      </w:r>
      <w:r>
        <w:rPr>
          <w:color w:val="000000"/>
          <w:szCs w:val="21"/>
        </w:rPr>
        <w:br w:type="textWrapping"/>
      </w:r>
      <w:r>
        <w:rPr>
          <w:rFonts w:hint="eastAsia"/>
          <w:color w:val="000000"/>
          <w:szCs w:val="21"/>
        </w:rPr>
        <w:t>2.</w:t>
      </w:r>
      <w:r>
        <w:rPr>
          <w:color w:val="000000"/>
          <w:szCs w:val="21"/>
        </w:rPr>
        <w:t>Torque converter and power gearshift transmission are applied on four wheels.</w:t>
      </w:r>
      <w:r>
        <w:rPr>
          <w:color w:val="000000"/>
          <w:szCs w:val="21"/>
        </w:rPr>
        <w:br w:type="textWrapping"/>
      </w:r>
      <w:r>
        <w:rPr>
          <w:rFonts w:hint="eastAsia"/>
          <w:color w:val="000000"/>
          <w:szCs w:val="21"/>
        </w:rPr>
        <w:t>3.</w:t>
      </w:r>
      <w:r>
        <w:rPr>
          <w:color w:val="000000"/>
          <w:szCs w:val="21"/>
        </w:rPr>
        <w:t xml:space="preserve">The high wear life teeth are arranged specially, two scraper bars and two wire cutters on four </w:t>
      </w:r>
      <w:r>
        <w:rPr>
          <w:rFonts w:hint="eastAsia"/>
          <w:color w:val="000000"/>
          <w:szCs w:val="21"/>
        </w:rPr>
        <w:t xml:space="preserve">         </w:t>
      </w:r>
    </w:p>
    <w:p>
      <w:pPr>
        <w:ind w:firstLine="210" w:firstLineChars="100"/>
        <w:rPr>
          <w:color w:val="000000"/>
          <w:szCs w:val="21"/>
        </w:rPr>
      </w:pPr>
      <w:r>
        <w:rPr>
          <w:rFonts w:hint="eastAsia"/>
          <w:color w:val="000000"/>
          <w:szCs w:val="21"/>
        </w:rPr>
        <w:t>c</w:t>
      </w:r>
      <w:r>
        <w:rPr>
          <w:color w:val="000000"/>
          <w:szCs w:val="21"/>
        </w:rPr>
        <w:t xml:space="preserve">ompaction wheels will avoid the wire wrap-around and keep the wheel clean. </w:t>
      </w:r>
    </w:p>
    <w:p>
      <w:pPr>
        <w:ind w:left="280" w:hanging="210" w:hangingChars="100"/>
        <w:rPr>
          <w:color w:val="000000"/>
          <w:szCs w:val="21"/>
        </w:rPr>
      </w:pPr>
      <w:r>
        <w:rPr>
          <w:rFonts w:hint="eastAsia"/>
          <w:color w:val="000000"/>
          <w:szCs w:val="21"/>
        </w:rPr>
        <w:t>4.</w:t>
      </w:r>
      <w:r>
        <w:rPr>
          <w:color w:val="000000"/>
          <w:szCs w:val="21"/>
        </w:rPr>
        <w:t>Hydraulic system is driven by a piston pump with load sensing system, provides smooth and light control</w:t>
      </w:r>
      <w:r>
        <w:rPr>
          <w:rFonts w:hAnsi="Arial"/>
          <w:color w:val="000000"/>
          <w:szCs w:val="21"/>
        </w:rPr>
        <w:t>，</w:t>
      </w:r>
      <w:r>
        <w:rPr>
          <w:color w:val="000000"/>
          <w:szCs w:val="21"/>
        </w:rPr>
        <w:t>high efficiency and energy economy.</w:t>
      </w:r>
    </w:p>
    <w:p>
      <w:pPr>
        <w:ind w:left="280" w:hanging="210" w:hangingChars="100"/>
        <w:rPr>
          <w:color w:val="000000"/>
          <w:szCs w:val="21"/>
        </w:rPr>
      </w:pPr>
      <w:r>
        <w:rPr>
          <w:rFonts w:hint="eastAsia"/>
          <w:color w:val="000000"/>
          <w:szCs w:val="21"/>
        </w:rPr>
        <w:t>5.</w:t>
      </w:r>
      <w:r>
        <w:rPr>
          <w:color w:val="000000"/>
          <w:szCs w:val="21"/>
        </w:rPr>
        <w:t>The crucial spots are maintained regularly by the central lubrication system. The disinfector spray device is equipped to guard against mosquito.</w:t>
      </w:r>
    </w:p>
    <w:p>
      <w:pPr>
        <w:ind w:left="280" w:hanging="210" w:hangingChars="100"/>
        <w:rPr>
          <w:color w:val="000000"/>
          <w:szCs w:val="21"/>
        </w:rPr>
      </w:pPr>
      <w:r>
        <w:rPr>
          <w:rFonts w:hint="eastAsia"/>
          <w:color w:val="000000"/>
          <w:szCs w:val="21"/>
        </w:rPr>
        <w:t>6.</w:t>
      </w:r>
      <w:r>
        <w:rPr>
          <w:color w:val="000000"/>
          <w:szCs w:val="21"/>
        </w:rPr>
        <w:t xml:space="preserve">The Roll-Over Protective Structure (ROPS) as an integral part of the frame, service brakes on the front and rear axles and central parking brake will guarantee most reliable safety. </w:t>
      </w:r>
    </w:p>
    <w:p>
      <w:pPr>
        <w:ind w:left="280" w:hanging="210" w:hangingChars="100"/>
        <w:rPr>
          <w:color w:val="000000"/>
          <w:szCs w:val="21"/>
        </w:rPr>
      </w:pPr>
      <w:r>
        <w:rPr>
          <w:rFonts w:hint="eastAsia"/>
          <w:color w:val="000000"/>
          <w:szCs w:val="21"/>
        </w:rPr>
        <w:t>7.</w:t>
      </w:r>
      <w:r>
        <w:rPr>
          <w:color w:val="000000"/>
          <w:szCs w:val="21"/>
        </w:rPr>
        <w:t>Turnover driver's cabin, engine hood with three windows at dual sides, access step and protective ladder in both sides make main components accessible.</w:t>
      </w:r>
    </w:p>
    <w:p>
      <w:pPr>
        <w:ind w:left="280" w:hanging="210" w:hangingChars="100"/>
        <w:rPr>
          <w:color w:val="000000"/>
          <w:szCs w:val="21"/>
        </w:rPr>
      </w:pPr>
      <w:r>
        <w:rPr>
          <w:rFonts w:hint="eastAsia"/>
          <w:color w:val="000000"/>
          <w:szCs w:val="21"/>
        </w:rPr>
        <w:t>8.</w:t>
      </w:r>
      <w:r>
        <w:rPr>
          <w:color w:val="000000"/>
          <w:szCs w:val="21"/>
        </w:rPr>
        <w:t>Infrared vehicle video monitor system and backup buzzer are greatly convenient for driver's travel and working with more safe in increased rear view.</w:t>
      </w:r>
    </w:p>
    <w:p>
      <w:pPr>
        <w:ind w:firstLine="1280" w:firstLineChars="400"/>
        <w:rPr>
          <w:rFonts w:eastAsia="黑体"/>
          <w:sz w:val="32"/>
        </w:rPr>
      </w:pPr>
    </w:p>
    <w:p>
      <w:pPr>
        <w:ind w:firstLine="1280" w:firstLineChars="400"/>
        <w:rPr>
          <w:rFonts w:eastAsia="黑体"/>
          <w:sz w:val="32"/>
        </w:rPr>
      </w:pPr>
    </w:p>
    <w:p>
      <w:pPr>
        <w:ind w:firstLine="1280" w:firstLineChars="400"/>
        <w:rPr>
          <w:rFonts w:eastAsia="黑体"/>
          <w:sz w:val="32"/>
        </w:rPr>
      </w:pPr>
      <w:r>
        <w:rPr>
          <w:rFonts w:hint="eastAsia" w:eastAsia="黑体"/>
          <w:sz w:val="32"/>
        </w:rPr>
        <w:t>主要技术参数 MAIN TECHNICAL DATAS</w:t>
      </w:r>
    </w:p>
    <w:tbl>
      <w:tblPr>
        <w:tblStyle w:val="9"/>
        <w:tblW w:w="5165" w:type="pct"/>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1"/>
        <w:gridCol w:w="523"/>
        <w:gridCol w:w="1475"/>
        <w:gridCol w:w="1475"/>
        <w:gridCol w:w="1666"/>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p>
        </w:tc>
        <w:tc>
          <w:tcPr>
            <w:tcW w:w="304" w:type="pct"/>
            <w:noWrap/>
            <w:tcMar>
              <w:top w:w="15" w:type="dxa"/>
              <w:left w:w="15" w:type="dxa"/>
              <w:bottom w:w="0" w:type="dxa"/>
              <w:right w:w="15" w:type="dxa"/>
            </w:tcMar>
            <w:vAlign w:val="bottom"/>
          </w:tcPr>
          <w:p>
            <w:pPr>
              <w:jc w:val="center"/>
              <w:rPr>
                <w:sz w:val="18"/>
                <w:szCs w:val="18"/>
              </w:rPr>
            </w:pPr>
          </w:p>
        </w:tc>
        <w:tc>
          <w:tcPr>
            <w:tcW w:w="857" w:type="pct"/>
            <w:vAlign w:val="bottom"/>
          </w:tcPr>
          <w:p>
            <w:pPr>
              <w:jc w:val="center"/>
              <w:rPr>
                <w:rFonts w:hint="default" w:eastAsia="宋体"/>
                <w:sz w:val="18"/>
                <w:szCs w:val="18"/>
                <w:lang w:val="en-US" w:eastAsia="zh-CN"/>
              </w:rPr>
            </w:pPr>
            <w:r>
              <w:rPr>
                <w:rFonts w:hint="eastAsia"/>
                <w:sz w:val="18"/>
                <w:szCs w:val="18"/>
                <w:lang w:val="en-US" w:eastAsia="zh-CN"/>
              </w:rPr>
              <w:t>GYL203</w:t>
            </w:r>
          </w:p>
        </w:tc>
        <w:tc>
          <w:tcPr>
            <w:tcW w:w="857" w:type="pct"/>
            <w:vAlign w:val="bottom"/>
          </w:tcPr>
          <w:p>
            <w:pPr>
              <w:jc w:val="center"/>
              <w:rPr>
                <w:rFonts w:hint="default" w:eastAsia="宋体"/>
                <w:sz w:val="18"/>
                <w:szCs w:val="18"/>
                <w:lang w:val="en-US" w:eastAsia="zh-CN"/>
              </w:rPr>
            </w:pPr>
            <w:r>
              <w:rPr>
                <w:rFonts w:hint="eastAsia"/>
                <w:sz w:val="18"/>
                <w:szCs w:val="18"/>
                <w:lang w:val="en-US" w:eastAsia="zh-CN"/>
              </w:rPr>
              <w:t>GYL233</w:t>
            </w:r>
          </w:p>
        </w:tc>
        <w:tc>
          <w:tcPr>
            <w:tcW w:w="968" w:type="pct"/>
            <w:vAlign w:val="bottom"/>
          </w:tcPr>
          <w:p>
            <w:pPr>
              <w:jc w:val="center"/>
              <w:rPr>
                <w:rFonts w:hint="default" w:eastAsia="宋体"/>
                <w:sz w:val="18"/>
                <w:szCs w:val="18"/>
                <w:lang w:val="en-US" w:eastAsia="zh-CN"/>
              </w:rPr>
            </w:pPr>
            <w:r>
              <w:rPr>
                <w:rFonts w:hint="eastAsia"/>
                <w:sz w:val="18"/>
                <w:szCs w:val="18"/>
                <w:lang w:val="en-US" w:eastAsia="zh-CN"/>
              </w:rPr>
              <w:t>GYL263</w:t>
            </w:r>
          </w:p>
        </w:tc>
        <w:tc>
          <w:tcPr>
            <w:tcW w:w="968" w:type="pct"/>
            <w:vAlign w:val="bottom"/>
          </w:tcPr>
          <w:p>
            <w:pPr>
              <w:jc w:val="center"/>
              <w:rPr>
                <w:rFonts w:hint="default" w:eastAsia="宋体"/>
                <w:sz w:val="18"/>
                <w:szCs w:val="18"/>
                <w:lang w:val="en-US" w:eastAsia="zh-CN"/>
              </w:rPr>
            </w:pPr>
            <w:r>
              <w:rPr>
                <w:rFonts w:hint="eastAsia"/>
                <w:sz w:val="18"/>
                <w:szCs w:val="18"/>
                <w:lang w:val="en-US" w:eastAsia="zh-CN"/>
              </w:rPr>
              <w:t>GYL283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整机质量</w:t>
            </w:r>
          </w:p>
        </w:tc>
        <w:tc>
          <w:tcPr>
            <w:tcW w:w="304" w:type="pct"/>
            <w:noWrap/>
            <w:tcMar>
              <w:top w:w="15" w:type="dxa"/>
              <w:left w:w="15" w:type="dxa"/>
              <w:bottom w:w="0" w:type="dxa"/>
              <w:right w:w="15" w:type="dxa"/>
            </w:tcMar>
            <w:vAlign w:val="bottom"/>
          </w:tcPr>
          <w:p>
            <w:pPr>
              <w:jc w:val="center"/>
              <w:rPr>
                <w:sz w:val="18"/>
                <w:szCs w:val="18"/>
              </w:rPr>
            </w:pPr>
            <w:r>
              <w:rPr>
                <w:sz w:val="18"/>
                <w:szCs w:val="18"/>
              </w:rPr>
              <w:t>kg</w:t>
            </w:r>
          </w:p>
        </w:tc>
        <w:tc>
          <w:tcPr>
            <w:tcW w:w="857" w:type="pct"/>
            <w:vAlign w:val="bottom"/>
          </w:tcPr>
          <w:p>
            <w:pPr>
              <w:jc w:val="center"/>
              <w:rPr>
                <w:sz w:val="18"/>
                <w:szCs w:val="18"/>
              </w:rPr>
            </w:pPr>
            <w:r>
              <w:rPr>
                <w:rFonts w:hint="eastAsia"/>
                <w:sz w:val="18"/>
                <w:szCs w:val="18"/>
              </w:rPr>
              <w:t>20000</w:t>
            </w:r>
          </w:p>
        </w:tc>
        <w:tc>
          <w:tcPr>
            <w:tcW w:w="857" w:type="pct"/>
            <w:vAlign w:val="bottom"/>
          </w:tcPr>
          <w:p>
            <w:pPr>
              <w:jc w:val="center"/>
              <w:rPr>
                <w:sz w:val="18"/>
                <w:szCs w:val="18"/>
              </w:rPr>
            </w:pPr>
            <w:r>
              <w:rPr>
                <w:sz w:val="18"/>
                <w:szCs w:val="18"/>
              </w:rPr>
              <w:t>2</w:t>
            </w:r>
            <w:r>
              <w:rPr>
                <w:rFonts w:hint="eastAsia"/>
                <w:sz w:val="18"/>
                <w:szCs w:val="18"/>
              </w:rPr>
              <w:t>3</w:t>
            </w:r>
            <w:r>
              <w:rPr>
                <w:sz w:val="18"/>
                <w:szCs w:val="18"/>
              </w:rPr>
              <w:t>000</w:t>
            </w:r>
          </w:p>
        </w:tc>
        <w:tc>
          <w:tcPr>
            <w:tcW w:w="968" w:type="pct"/>
            <w:vAlign w:val="bottom"/>
          </w:tcPr>
          <w:p>
            <w:pPr>
              <w:jc w:val="center"/>
              <w:rPr>
                <w:sz w:val="18"/>
                <w:szCs w:val="18"/>
              </w:rPr>
            </w:pPr>
            <w:r>
              <w:rPr>
                <w:sz w:val="18"/>
                <w:szCs w:val="18"/>
              </w:rPr>
              <w:t>26000</w:t>
            </w:r>
          </w:p>
        </w:tc>
        <w:tc>
          <w:tcPr>
            <w:tcW w:w="968" w:type="pct"/>
            <w:vAlign w:val="bottom"/>
          </w:tcPr>
          <w:p>
            <w:pPr>
              <w:jc w:val="center"/>
              <w:rPr>
                <w:sz w:val="18"/>
                <w:szCs w:val="18"/>
              </w:rPr>
            </w:pPr>
            <w:r>
              <w:rPr>
                <w:rFonts w:hint="eastAsia"/>
                <w:sz w:val="18"/>
                <w:szCs w:val="18"/>
              </w:rPr>
              <w:t>28</w:t>
            </w:r>
            <w:r>
              <w:rPr>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前轮轴荷</w:t>
            </w:r>
          </w:p>
        </w:tc>
        <w:tc>
          <w:tcPr>
            <w:tcW w:w="304" w:type="pct"/>
            <w:noWrap/>
            <w:tcMar>
              <w:top w:w="15" w:type="dxa"/>
              <w:left w:w="15" w:type="dxa"/>
              <w:bottom w:w="0" w:type="dxa"/>
              <w:right w:w="15" w:type="dxa"/>
            </w:tcMar>
            <w:vAlign w:val="bottom"/>
          </w:tcPr>
          <w:p>
            <w:pPr>
              <w:jc w:val="center"/>
              <w:rPr>
                <w:sz w:val="18"/>
                <w:szCs w:val="18"/>
              </w:rPr>
            </w:pPr>
            <w:r>
              <w:rPr>
                <w:sz w:val="18"/>
                <w:szCs w:val="18"/>
              </w:rPr>
              <w:t>kg</w:t>
            </w:r>
          </w:p>
        </w:tc>
        <w:tc>
          <w:tcPr>
            <w:tcW w:w="857" w:type="pct"/>
            <w:vAlign w:val="bottom"/>
          </w:tcPr>
          <w:p>
            <w:pPr>
              <w:jc w:val="center"/>
              <w:rPr>
                <w:sz w:val="18"/>
                <w:szCs w:val="18"/>
              </w:rPr>
            </w:pPr>
            <w:r>
              <w:rPr>
                <w:rFonts w:hint="eastAsia"/>
                <w:sz w:val="18"/>
                <w:szCs w:val="18"/>
              </w:rPr>
              <w:t>9500</w:t>
            </w:r>
          </w:p>
        </w:tc>
        <w:tc>
          <w:tcPr>
            <w:tcW w:w="857" w:type="pct"/>
            <w:vAlign w:val="bottom"/>
          </w:tcPr>
          <w:p>
            <w:pPr>
              <w:jc w:val="center"/>
              <w:rPr>
                <w:sz w:val="18"/>
                <w:szCs w:val="18"/>
              </w:rPr>
            </w:pPr>
            <w:r>
              <w:rPr>
                <w:sz w:val="18"/>
                <w:szCs w:val="18"/>
              </w:rPr>
              <w:t>1</w:t>
            </w:r>
            <w:r>
              <w:rPr>
                <w:rFonts w:hint="eastAsia"/>
                <w:sz w:val="18"/>
                <w:szCs w:val="18"/>
              </w:rPr>
              <w:t>10</w:t>
            </w:r>
            <w:r>
              <w:rPr>
                <w:sz w:val="18"/>
                <w:szCs w:val="18"/>
              </w:rPr>
              <w:t>00</w:t>
            </w:r>
          </w:p>
        </w:tc>
        <w:tc>
          <w:tcPr>
            <w:tcW w:w="968" w:type="pct"/>
            <w:vAlign w:val="bottom"/>
          </w:tcPr>
          <w:p>
            <w:pPr>
              <w:jc w:val="center"/>
              <w:rPr>
                <w:sz w:val="18"/>
                <w:szCs w:val="18"/>
              </w:rPr>
            </w:pPr>
            <w:r>
              <w:rPr>
                <w:sz w:val="18"/>
                <w:szCs w:val="18"/>
              </w:rPr>
              <w:t>12500</w:t>
            </w:r>
          </w:p>
        </w:tc>
        <w:tc>
          <w:tcPr>
            <w:tcW w:w="968" w:type="pct"/>
            <w:vAlign w:val="bottom"/>
          </w:tcPr>
          <w:p>
            <w:pPr>
              <w:jc w:val="center"/>
              <w:rPr>
                <w:sz w:val="18"/>
                <w:szCs w:val="18"/>
              </w:rPr>
            </w:pPr>
            <w:r>
              <w:rPr>
                <w:sz w:val="18"/>
                <w:szCs w:val="18"/>
              </w:rPr>
              <w:t>1</w:t>
            </w:r>
            <w:r>
              <w:rPr>
                <w:rFonts w:hint="eastAsia"/>
                <w:sz w:val="18"/>
                <w:szCs w:val="18"/>
              </w:rPr>
              <w:t>3</w:t>
            </w:r>
            <w:r>
              <w:rPr>
                <w:sz w:val="18"/>
                <w:szCs w:val="18"/>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后轮轴荷</w:t>
            </w:r>
          </w:p>
        </w:tc>
        <w:tc>
          <w:tcPr>
            <w:tcW w:w="304" w:type="pct"/>
            <w:noWrap/>
            <w:tcMar>
              <w:top w:w="15" w:type="dxa"/>
              <w:left w:w="15" w:type="dxa"/>
              <w:bottom w:w="0" w:type="dxa"/>
              <w:right w:w="15" w:type="dxa"/>
            </w:tcMar>
            <w:vAlign w:val="bottom"/>
          </w:tcPr>
          <w:p>
            <w:pPr>
              <w:jc w:val="center"/>
              <w:rPr>
                <w:sz w:val="18"/>
                <w:szCs w:val="18"/>
              </w:rPr>
            </w:pPr>
            <w:r>
              <w:rPr>
                <w:sz w:val="18"/>
                <w:szCs w:val="18"/>
              </w:rPr>
              <w:t>kg</w:t>
            </w:r>
          </w:p>
        </w:tc>
        <w:tc>
          <w:tcPr>
            <w:tcW w:w="857" w:type="pct"/>
            <w:vAlign w:val="bottom"/>
          </w:tcPr>
          <w:p>
            <w:pPr>
              <w:jc w:val="center"/>
              <w:rPr>
                <w:sz w:val="18"/>
                <w:szCs w:val="18"/>
              </w:rPr>
            </w:pPr>
            <w:r>
              <w:rPr>
                <w:rFonts w:hint="eastAsia"/>
                <w:sz w:val="18"/>
                <w:szCs w:val="18"/>
              </w:rPr>
              <w:t>10500</w:t>
            </w:r>
          </w:p>
        </w:tc>
        <w:tc>
          <w:tcPr>
            <w:tcW w:w="857" w:type="pct"/>
            <w:vAlign w:val="bottom"/>
          </w:tcPr>
          <w:p>
            <w:pPr>
              <w:jc w:val="center"/>
              <w:rPr>
                <w:sz w:val="18"/>
                <w:szCs w:val="18"/>
              </w:rPr>
            </w:pPr>
            <w:r>
              <w:rPr>
                <w:sz w:val="18"/>
                <w:szCs w:val="18"/>
              </w:rPr>
              <w:t>1</w:t>
            </w:r>
            <w:r>
              <w:rPr>
                <w:rFonts w:hint="eastAsia"/>
                <w:sz w:val="18"/>
                <w:szCs w:val="18"/>
              </w:rPr>
              <w:t>20</w:t>
            </w:r>
            <w:r>
              <w:rPr>
                <w:sz w:val="18"/>
                <w:szCs w:val="18"/>
              </w:rPr>
              <w:t>00</w:t>
            </w:r>
          </w:p>
        </w:tc>
        <w:tc>
          <w:tcPr>
            <w:tcW w:w="968" w:type="pct"/>
            <w:vAlign w:val="bottom"/>
          </w:tcPr>
          <w:p>
            <w:pPr>
              <w:jc w:val="center"/>
              <w:rPr>
                <w:sz w:val="18"/>
                <w:szCs w:val="18"/>
              </w:rPr>
            </w:pPr>
            <w:r>
              <w:rPr>
                <w:sz w:val="18"/>
                <w:szCs w:val="18"/>
              </w:rPr>
              <w:t>13500</w:t>
            </w:r>
          </w:p>
        </w:tc>
        <w:tc>
          <w:tcPr>
            <w:tcW w:w="968" w:type="pct"/>
            <w:vAlign w:val="bottom"/>
          </w:tcPr>
          <w:p>
            <w:pPr>
              <w:jc w:val="center"/>
              <w:rPr>
                <w:sz w:val="18"/>
                <w:szCs w:val="18"/>
              </w:rPr>
            </w:pPr>
            <w:r>
              <w:rPr>
                <w:sz w:val="18"/>
                <w:szCs w:val="18"/>
              </w:rPr>
              <w:t>1</w:t>
            </w:r>
            <w:r>
              <w:rPr>
                <w:rFonts w:hint="eastAsia"/>
                <w:sz w:val="18"/>
                <w:szCs w:val="18"/>
              </w:rPr>
              <w:t>4</w:t>
            </w:r>
            <w:r>
              <w:rPr>
                <w:sz w:val="18"/>
                <w:szCs w:val="18"/>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长</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7355</w:t>
            </w:r>
          </w:p>
        </w:tc>
        <w:tc>
          <w:tcPr>
            <w:tcW w:w="857" w:type="pct"/>
            <w:vAlign w:val="bottom"/>
          </w:tcPr>
          <w:p>
            <w:pPr>
              <w:jc w:val="center"/>
              <w:rPr>
                <w:sz w:val="18"/>
                <w:szCs w:val="18"/>
              </w:rPr>
            </w:pPr>
            <w:r>
              <w:rPr>
                <w:rFonts w:hint="eastAsia"/>
                <w:sz w:val="18"/>
                <w:szCs w:val="18"/>
              </w:rPr>
              <w:t>7355</w:t>
            </w:r>
          </w:p>
        </w:tc>
        <w:tc>
          <w:tcPr>
            <w:tcW w:w="968" w:type="pct"/>
            <w:vAlign w:val="bottom"/>
          </w:tcPr>
          <w:p>
            <w:pPr>
              <w:jc w:val="center"/>
              <w:rPr>
                <w:sz w:val="18"/>
                <w:szCs w:val="18"/>
              </w:rPr>
            </w:pPr>
            <w:r>
              <w:rPr>
                <w:rFonts w:hint="eastAsia"/>
                <w:sz w:val="18"/>
                <w:szCs w:val="18"/>
              </w:rPr>
              <w:t>8150</w:t>
            </w:r>
          </w:p>
        </w:tc>
        <w:tc>
          <w:tcPr>
            <w:tcW w:w="968" w:type="pct"/>
            <w:vAlign w:val="bottom"/>
          </w:tcPr>
          <w:p>
            <w:pPr>
              <w:jc w:val="center"/>
              <w:rPr>
                <w:sz w:val="18"/>
                <w:szCs w:val="18"/>
              </w:rPr>
            </w:pPr>
            <w:r>
              <w:rPr>
                <w:rFonts w:hint="eastAsia"/>
                <w:sz w:val="18"/>
                <w:szCs w:val="18"/>
              </w:rPr>
              <w:t>8150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宽</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3000</w:t>
            </w:r>
          </w:p>
        </w:tc>
        <w:tc>
          <w:tcPr>
            <w:tcW w:w="857" w:type="pct"/>
            <w:vAlign w:val="bottom"/>
          </w:tcPr>
          <w:p>
            <w:pPr>
              <w:jc w:val="center"/>
              <w:rPr>
                <w:sz w:val="18"/>
                <w:szCs w:val="18"/>
              </w:rPr>
            </w:pPr>
            <w:r>
              <w:rPr>
                <w:rFonts w:hint="eastAsia"/>
                <w:sz w:val="18"/>
                <w:szCs w:val="18"/>
              </w:rPr>
              <w:t>3000</w:t>
            </w:r>
          </w:p>
        </w:tc>
        <w:tc>
          <w:tcPr>
            <w:tcW w:w="968" w:type="pct"/>
            <w:vAlign w:val="bottom"/>
          </w:tcPr>
          <w:p>
            <w:pPr>
              <w:jc w:val="center"/>
              <w:rPr>
                <w:sz w:val="18"/>
                <w:szCs w:val="18"/>
              </w:rPr>
            </w:pPr>
            <w:r>
              <w:rPr>
                <w:rFonts w:hint="eastAsia"/>
                <w:sz w:val="18"/>
                <w:szCs w:val="18"/>
              </w:rPr>
              <w:t>3800</w:t>
            </w:r>
          </w:p>
        </w:tc>
        <w:tc>
          <w:tcPr>
            <w:tcW w:w="968" w:type="pct"/>
            <w:vAlign w:val="bottom"/>
          </w:tcPr>
          <w:p>
            <w:pPr>
              <w:jc w:val="center"/>
              <w:rPr>
                <w:sz w:val="18"/>
                <w:szCs w:val="18"/>
              </w:rPr>
            </w:pPr>
            <w:r>
              <w:rPr>
                <w:rFonts w:hint="eastAsia"/>
                <w:sz w:val="18"/>
                <w:szCs w:val="18"/>
              </w:rPr>
              <w:t>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高</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3600</w:t>
            </w:r>
          </w:p>
        </w:tc>
        <w:tc>
          <w:tcPr>
            <w:tcW w:w="857" w:type="pct"/>
            <w:vAlign w:val="bottom"/>
          </w:tcPr>
          <w:p>
            <w:pPr>
              <w:jc w:val="center"/>
              <w:rPr>
                <w:sz w:val="18"/>
                <w:szCs w:val="18"/>
              </w:rPr>
            </w:pPr>
            <w:r>
              <w:rPr>
                <w:rFonts w:hint="eastAsia"/>
                <w:sz w:val="18"/>
                <w:szCs w:val="18"/>
              </w:rPr>
              <w:t>3600</w:t>
            </w:r>
          </w:p>
        </w:tc>
        <w:tc>
          <w:tcPr>
            <w:tcW w:w="968" w:type="pct"/>
            <w:vAlign w:val="bottom"/>
          </w:tcPr>
          <w:p>
            <w:pPr>
              <w:jc w:val="center"/>
              <w:rPr>
                <w:color w:val="000000"/>
                <w:sz w:val="18"/>
                <w:szCs w:val="18"/>
              </w:rPr>
            </w:pPr>
            <w:r>
              <w:rPr>
                <w:rFonts w:hint="eastAsia"/>
                <w:color w:val="000000"/>
                <w:sz w:val="18"/>
                <w:szCs w:val="18"/>
              </w:rPr>
              <w:t>3650</w:t>
            </w:r>
          </w:p>
        </w:tc>
        <w:tc>
          <w:tcPr>
            <w:tcW w:w="968" w:type="pct"/>
            <w:vAlign w:val="bottom"/>
          </w:tcPr>
          <w:p>
            <w:pPr>
              <w:jc w:val="center"/>
              <w:rPr>
                <w:color w:val="000000"/>
                <w:sz w:val="18"/>
                <w:szCs w:val="18"/>
              </w:rPr>
            </w:pPr>
            <w:r>
              <w:rPr>
                <w:rFonts w:hint="eastAsia"/>
                <w:color w:val="000000"/>
                <w:sz w:val="18"/>
                <w:szCs w:val="18"/>
              </w:rPr>
              <w:t>3650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轴距</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3350</w:t>
            </w:r>
          </w:p>
        </w:tc>
        <w:tc>
          <w:tcPr>
            <w:tcW w:w="857" w:type="pct"/>
            <w:vAlign w:val="bottom"/>
          </w:tcPr>
          <w:p>
            <w:pPr>
              <w:jc w:val="center"/>
              <w:rPr>
                <w:sz w:val="18"/>
                <w:szCs w:val="18"/>
              </w:rPr>
            </w:pPr>
            <w:r>
              <w:rPr>
                <w:rFonts w:hint="eastAsia"/>
                <w:sz w:val="18"/>
                <w:szCs w:val="18"/>
              </w:rPr>
              <w:t>3350</w:t>
            </w:r>
          </w:p>
        </w:tc>
        <w:tc>
          <w:tcPr>
            <w:tcW w:w="968" w:type="pct"/>
            <w:vAlign w:val="bottom"/>
          </w:tcPr>
          <w:p>
            <w:pPr>
              <w:jc w:val="center"/>
              <w:rPr>
                <w:sz w:val="18"/>
                <w:szCs w:val="18"/>
              </w:rPr>
            </w:pPr>
            <w:r>
              <w:rPr>
                <w:rFonts w:hint="eastAsia"/>
                <w:sz w:val="18"/>
                <w:szCs w:val="18"/>
              </w:rPr>
              <w:t>3500</w:t>
            </w:r>
          </w:p>
        </w:tc>
        <w:tc>
          <w:tcPr>
            <w:tcW w:w="968" w:type="pct"/>
            <w:vAlign w:val="bottom"/>
          </w:tcPr>
          <w:p>
            <w:pPr>
              <w:jc w:val="center"/>
              <w:rPr>
                <w:sz w:val="18"/>
                <w:szCs w:val="18"/>
              </w:rPr>
            </w:pPr>
            <w:r>
              <w:rPr>
                <w:rFonts w:hint="eastAsia"/>
                <w:sz w:val="18"/>
                <w:szCs w:val="18"/>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离地间隙</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435</w:t>
            </w:r>
          </w:p>
        </w:tc>
        <w:tc>
          <w:tcPr>
            <w:tcW w:w="857" w:type="pct"/>
            <w:vAlign w:val="bottom"/>
          </w:tcPr>
          <w:p>
            <w:pPr>
              <w:jc w:val="center"/>
              <w:rPr>
                <w:sz w:val="18"/>
                <w:szCs w:val="18"/>
              </w:rPr>
            </w:pPr>
            <w:r>
              <w:rPr>
                <w:rFonts w:hint="eastAsia"/>
                <w:sz w:val="18"/>
                <w:szCs w:val="18"/>
              </w:rPr>
              <w:t>435</w:t>
            </w:r>
          </w:p>
        </w:tc>
        <w:tc>
          <w:tcPr>
            <w:tcW w:w="968" w:type="pct"/>
            <w:vAlign w:val="bottom"/>
          </w:tcPr>
          <w:p>
            <w:pPr>
              <w:jc w:val="center"/>
              <w:rPr>
                <w:sz w:val="18"/>
                <w:szCs w:val="18"/>
              </w:rPr>
            </w:pPr>
            <w:r>
              <w:rPr>
                <w:rFonts w:hint="eastAsia"/>
                <w:sz w:val="18"/>
                <w:szCs w:val="18"/>
              </w:rPr>
              <w:t>490</w:t>
            </w:r>
          </w:p>
        </w:tc>
        <w:tc>
          <w:tcPr>
            <w:tcW w:w="968" w:type="pct"/>
            <w:vAlign w:val="bottom"/>
          </w:tcPr>
          <w:p>
            <w:pPr>
              <w:jc w:val="center"/>
              <w:rPr>
                <w:sz w:val="18"/>
                <w:szCs w:val="18"/>
              </w:rPr>
            </w:pPr>
            <w:r>
              <w:rPr>
                <w:rFonts w:hint="eastAsia"/>
                <w:sz w:val="18"/>
                <w:szCs w:val="18"/>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压轮宽度（前</w:t>
            </w:r>
            <w:r>
              <w:rPr>
                <w:sz w:val="18"/>
                <w:szCs w:val="18"/>
              </w:rPr>
              <w:t>/</w:t>
            </w:r>
            <w:r>
              <w:rPr>
                <w:rFonts w:hint="eastAsia" w:ascii="宋体" w:hAnsi="宋体"/>
                <w:sz w:val="18"/>
                <w:szCs w:val="18"/>
              </w:rPr>
              <w:t>后）</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ascii="黑体" w:eastAsia="黑体"/>
                <w:sz w:val="18"/>
                <w:szCs w:val="18"/>
              </w:rPr>
              <w:t>1040</w:t>
            </w:r>
            <w:r>
              <w:rPr>
                <w:rFonts w:ascii="黑体" w:eastAsia="黑体"/>
                <w:sz w:val="18"/>
                <w:szCs w:val="18"/>
              </w:rPr>
              <w:t>/</w:t>
            </w:r>
            <w:r>
              <w:rPr>
                <w:rFonts w:hint="eastAsia" w:ascii="黑体" w:eastAsia="黑体"/>
                <w:sz w:val="18"/>
                <w:szCs w:val="18"/>
              </w:rPr>
              <w:t>835</w:t>
            </w:r>
          </w:p>
        </w:tc>
        <w:tc>
          <w:tcPr>
            <w:tcW w:w="857" w:type="pct"/>
            <w:vAlign w:val="bottom"/>
          </w:tcPr>
          <w:p>
            <w:pPr>
              <w:jc w:val="center"/>
              <w:rPr>
                <w:sz w:val="18"/>
                <w:szCs w:val="18"/>
              </w:rPr>
            </w:pPr>
            <w:r>
              <w:rPr>
                <w:rFonts w:hint="eastAsia" w:ascii="黑体" w:eastAsia="黑体"/>
                <w:sz w:val="18"/>
                <w:szCs w:val="18"/>
              </w:rPr>
              <w:t>1040</w:t>
            </w:r>
            <w:r>
              <w:rPr>
                <w:rFonts w:ascii="黑体" w:eastAsia="黑体"/>
                <w:sz w:val="18"/>
                <w:szCs w:val="18"/>
              </w:rPr>
              <w:t>/</w:t>
            </w:r>
            <w:r>
              <w:rPr>
                <w:rFonts w:hint="eastAsia" w:ascii="黑体" w:eastAsia="黑体"/>
                <w:sz w:val="18"/>
                <w:szCs w:val="18"/>
              </w:rPr>
              <w:t>835</w:t>
            </w:r>
          </w:p>
        </w:tc>
        <w:tc>
          <w:tcPr>
            <w:tcW w:w="968" w:type="pct"/>
            <w:vAlign w:val="bottom"/>
          </w:tcPr>
          <w:p>
            <w:pPr>
              <w:jc w:val="center"/>
              <w:rPr>
                <w:sz w:val="18"/>
                <w:szCs w:val="18"/>
              </w:rPr>
            </w:pPr>
            <w:r>
              <w:rPr>
                <w:rFonts w:hint="eastAsia"/>
                <w:sz w:val="18"/>
                <w:szCs w:val="18"/>
              </w:rPr>
              <w:t>1195/970</w:t>
            </w:r>
          </w:p>
        </w:tc>
        <w:tc>
          <w:tcPr>
            <w:tcW w:w="968" w:type="pct"/>
            <w:vAlign w:val="bottom"/>
          </w:tcPr>
          <w:p>
            <w:pPr>
              <w:jc w:val="center"/>
              <w:rPr>
                <w:sz w:val="18"/>
                <w:szCs w:val="18"/>
              </w:rPr>
            </w:pPr>
            <w:r>
              <w:rPr>
                <w:rFonts w:hint="eastAsia"/>
                <w:sz w:val="18"/>
                <w:szCs w:val="18"/>
              </w:rPr>
              <w:t>1195/970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压轮直径（前</w:t>
            </w:r>
            <w:r>
              <w:rPr>
                <w:sz w:val="18"/>
                <w:szCs w:val="18"/>
              </w:rPr>
              <w:t>/</w:t>
            </w:r>
            <w:r>
              <w:rPr>
                <w:rFonts w:hint="eastAsia" w:ascii="宋体" w:hAnsi="宋体"/>
                <w:sz w:val="18"/>
                <w:szCs w:val="18"/>
              </w:rPr>
              <w:t>后）</w:t>
            </w:r>
          </w:p>
        </w:tc>
        <w:tc>
          <w:tcPr>
            <w:tcW w:w="304" w:type="pct"/>
            <w:noWrap/>
            <w:tcMar>
              <w:top w:w="15" w:type="dxa"/>
              <w:left w:w="15" w:type="dxa"/>
              <w:bottom w:w="0" w:type="dxa"/>
              <w:right w:w="15" w:type="dxa"/>
            </w:tcMar>
            <w:vAlign w:val="bottom"/>
          </w:tcPr>
          <w:p>
            <w:pPr>
              <w:jc w:val="center"/>
              <w:rPr>
                <w:sz w:val="18"/>
                <w:szCs w:val="18"/>
              </w:rPr>
            </w:pPr>
            <w:r>
              <w:rPr>
                <w:sz w:val="18"/>
                <w:szCs w:val="18"/>
              </w:rPr>
              <w:t>mm</w:t>
            </w:r>
          </w:p>
        </w:tc>
        <w:tc>
          <w:tcPr>
            <w:tcW w:w="857" w:type="pct"/>
            <w:vAlign w:val="bottom"/>
          </w:tcPr>
          <w:p>
            <w:pPr>
              <w:jc w:val="center"/>
              <w:rPr>
                <w:sz w:val="18"/>
                <w:szCs w:val="18"/>
              </w:rPr>
            </w:pPr>
            <w:r>
              <w:rPr>
                <w:rFonts w:hint="eastAsia"/>
                <w:sz w:val="18"/>
                <w:szCs w:val="18"/>
              </w:rPr>
              <w:t>1500/1500</w:t>
            </w:r>
          </w:p>
        </w:tc>
        <w:tc>
          <w:tcPr>
            <w:tcW w:w="857" w:type="pct"/>
            <w:vAlign w:val="bottom"/>
          </w:tcPr>
          <w:p>
            <w:pPr>
              <w:jc w:val="center"/>
              <w:rPr>
                <w:sz w:val="18"/>
                <w:szCs w:val="18"/>
              </w:rPr>
            </w:pPr>
            <w:r>
              <w:rPr>
                <w:rFonts w:hint="eastAsia"/>
                <w:sz w:val="18"/>
                <w:szCs w:val="18"/>
              </w:rPr>
              <w:t>1500/1500</w:t>
            </w:r>
          </w:p>
        </w:tc>
        <w:tc>
          <w:tcPr>
            <w:tcW w:w="968" w:type="pct"/>
            <w:vAlign w:val="bottom"/>
          </w:tcPr>
          <w:p>
            <w:pPr>
              <w:jc w:val="center"/>
              <w:rPr>
                <w:sz w:val="18"/>
                <w:szCs w:val="18"/>
              </w:rPr>
            </w:pPr>
            <w:r>
              <w:rPr>
                <w:sz w:val="18"/>
                <w:szCs w:val="18"/>
              </w:rPr>
              <w:t>1620</w:t>
            </w:r>
            <w:r>
              <w:rPr>
                <w:rFonts w:ascii="黑体" w:eastAsia="黑体"/>
                <w:sz w:val="18"/>
                <w:szCs w:val="18"/>
              </w:rPr>
              <w:t>/</w:t>
            </w:r>
            <w:r>
              <w:rPr>
                <w:sz w:val="18"/>
                <w:szCs w:val="18"/>
              </w:rPr>
              <w:t>1620</w:t>
            </w:r>
          </w:p>
        </w:tc>
        <w:tc>
          <w:tcPr>
            <w:tcW w:w="968" w:type="pct"/>
            <w:vAlign w:val="bottom"/>
          </w:tcPr>
          <w:p>
            <w:pPr>
              <w:jc w:val="center"/>
              <w:rPr>
                <w:sz w:val="18"/>
                <w:szCs w:val="18"/>
              </w:rPr>
            </w:pPr>
            <w:r>
              <w:rPr>
                <w:sz w:val="18"/>
                <w:szCs w:val="18"/>
              </w:rPr>
              <w:t>1620</w:t>
            </w:r>
            <w:r>
              <w:rPr>
                <w:rFonts w:ascii="黑体" w:eastAsia="黑体"/>
                <w:sz w:val="18"/>
                <w:szCs w:val="18"/>
              </w:rPr>
              <w:t>/</w:t>
            </w:r>
            <w:r>
              <w:rPr>
                <w:sz w:val="18"/>
                <w:szCs w:val="18"/>
              </w:rPr>
              <w:t>1620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压轮齿数（前</w:t>
            </w:r>
            <w:r>
              <w:rPr>
                <w:sz w:val="18"/>
                <w:szCs w:val="18"/>
              </w:rPr>
              <w:t>/</w:t>
            </w:r>
            <w:r>
              <w:rPr>
                <w:rFonts w:hint="eastAsia" w:ascii="宋体" w:hAnsi="宋体"/>
                <w:sz w:val="18"/>
                <w:szCs w:val="18"/>
              </w:rPr>
              <w:t>后）</w:t>
            </w:r>
          </w:p>
        </w:tc>
        <w:tc>
          <w:tcPr>
            <w:tcW w:w="304" w:type="pct"/>
            <w:noWrap/>
            <w:tcMar>
              <w:top w:w="15" w:type="dxa"/>
              <w:left w:w="15" w:type="dxa"/>
              <w:bottom w:w="0" w:type="dxa"/>
              <w:right w:w="15" w:type="dxa"/>
            </w:tcMar>
            <w:vAlign w:val="bottom"/>
          </w:tcPr>
          <w:p>
            <w:pPr>
              <w:jc w:val="center"/>
              <w:rPr>
                <w:rFonts w:ascii="宋体" w:hAnsi="宋体" w:cs="Arial Unicode MS"/>
                <w:sz w:val="18"/>
                <w:szCs w:val="18"/>
              </w:rPr>
            </w:pPr>
          </w:p>
        </w:tc>
        <w:tc>
          <w:tcPr>
            <w:tcW w:w="857" w:type="pct"/>
            <w:vAlign w:val="bottom"/>
          </w:tcPr>
          <w:p>
            <w:pPr>
              <w:jc w:val="center"/>
              <w:rPr>
                <w:sz w:val="18"/>
                <w:szCs w:val="18"/>
              </w:rPr>
            </w:pPr>
            <w:r>
              <w:rPr>
                <w:sz w:val="18"/>
                <w:szCs w:val="18"/>
              </w:rPr>
              <w:t>50</w:t>
            </w:r>
            <w:r>
              <w:rPr>
                <w:rFonts w:ascii="黑体" w:eastAsia="黑体"/>
                <w:sz w:val="18"/>
                <w:szCs w:val="18"/>
              </w:rPr>
              <w:t>/</w:t>
            </w:r>
            <w:r>
              <w:rPr>
                <w:sz w:val="18"/>
                <w:szCs w:val="18"/>
              </w:rPr>
              <w:t>40</w:t>
            </w:r>
          </w:p>
        </w:tc>
        <w:tc>
          <w:tcPr>
            <w:tcW w:w="857" w:type="pct"/>
            <w:vAlign w:val="bottom"/>
          </w:tcPr>
          <w:p>
            <w:pPr>
              <w:jc w:val="center"/>
              <w:rPr>
                <w:sz w:val="18"/>
                <w:szCs w:val="18"/>
              </w:rPr>
            </w:pPr>
            <w:r>
              <w:rPr>
                <w:sz w:val="18"/>
                <w:szCs w:val="18"/>
              </w:rPr>
              <w:t>50</w:t>
            </w:r>
            <w:r>
              <w:rPr>
                <w:rFonts w:ascii="黑体" w:eastAsia="黑体"/>
                <w:sz w:val="18"/>
                <w:szCs w:val="18"/>
              </w:rPr>
              <w:t>/</w:t>
            </w:r>
            <w:r>
              <w:rPr>
                <w:sz w:val="18"/>
                <w:szCs w:val="18"/>
              </w:rPr>
              <w:t>40</w:t>
            </w:r>
          </w:p>
        </w:tc>
        <w:tc>
          <w:tcPr>
            <w:tcW w:w="968" w:type="pct"/>
            <w:vAlign w:val="bottom"/>
          </w:tcPr>
          <w:p>
            <w:pPr>
              <w:jc w:val="center"/>
              <w:rPr>
                <w:sz w:val="18"/>
                <w:szCs w:val="18"/>
              </w:rPr>
            </w:pPr>
            <w:r>
              <w:rPr>
                <w:sz w:val="18"/>
                <w:szCs w:val="18"/>
              </w:rPr>
              <w:t>50</w:t>
            </w:r>
            <w:r>
              <w:rPr>
                <w:rFonts w:ascii="黑体" w:eastAsia="黑体"/>
                <w:sz w:val="18"/>
                <w:szCs w:val="18"/>
              </w:rPr>
              <w:t>/</w:t>
            </w:r>
            <w:r>
              <w:rPr>
                <w:sz w:val="18"/>
                <w:szCs w:val="18"/>
              </w:rPr>
              <w:t>40</w:t>
            </w:r>
          </w:p>
        </w:tc>
        <w:tc>
          <w:tcPr>
            <w:tcW w:w="968" w:type="pct"/>
            <w:vAlign w:val="bottom"/>
          </w:tcPr>
          <w:p>
            <w:pPr>
              <w:jc w:val="center"/>
              <w:rPr>
                <w:sz w:val="18"/>
                <w:szCs w:val="18"/>
              </w:rPr>
            </w:pPr>
            <w:r>
              <w:rPr>
                <w:sz w:val="18"/>
                <w:szCs w:val="18"/>
              </w:rPr>
              <w:t>50</w:t>
            </w:r>
            <w:r>
              <w:rPr>
                <w:rFonts w:ascii="黑体" w:eastAsia="黑体"/>
                <w:sz w:val="18"/>
                <w:szCs w:val="18"/>
              </w:rPr>
              <w:t>/</w:t>
            </w:r>
            <w:r>
              <w:rPr>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发动机厂家</w:t>
            </w:r>
          </w:p>
        </w:tc>
        <w:tc>
          <w:tcPr>
            <w:tcW w:w="304" w:type="pct"/>
            <w:noWrap/>
            <w:tcMar>
              <w:top w:w="15" w:type="dxa"/>
              <w:left w:w="15" w:type="dxa"/>
              <w:bottom w:w="0" w:type="dxa"/>
              <w:right w:w="15" w:type="dxa"/>
            </w:tcMar>
            <w:vAlign w:val="bottom"/>
          </w:tcPr>
          <w:p>
            <w:pPr>
              <w:jc w:val="center"/>
              <w:rPr>
                <w:sz w:val="18"/>
                <w:szCs w:val="18"/>
              </w:rPr>
            </w:pPr>
          </w:p>
        </w:tc>
        <w:tc>
          <w:tcPr>
            <w:tcW w:w="857" w:type="pct"/>
            <w:vAlign w:val="bottom"/>
          </w:tcPr>
          <w:p>
            <w:pPr>
              <w:jc w:val="center"/>
              <w:rPr>
                <w:sz w:val="18"/>
                <w:szCs w:val="18"/>
              </w:rPr>
            </w:pPr>
            <w:r>
              <w:rPr>
                <w:rFonts w:hint="eastAsia"/>
                <w:sz w:val="18"/>
                <w:szCs w:val="18"/>
              </w:rPr>
              <w:t>SHANGCHAI</w:t>
            </w:r>
          </w:p>
        </w:tc>
        <w:tc>
          <w:tcPr>
            <w:tcW w:w="857" w:type="pct"/>
            <w:vAlign w:val="bottom"/>
          </w:tcPr>
          <w:p>
            <w:pPr>
              <w:jc w:val="center"/>
              <w:rPr>
                <w:sz w:val="18"/>
                <w:szCs w:val="18"/>
              </w:rPr>
            </w:pPr>
            <w:r>
              <w:rPr>
                <w:rFonts w:hint="eastAsia"/>
                <w:sz w:val="18"/>
                <w:szCs w:val="18"/>
              </w:rPr>
              <w:t>SHANGCHAI</w:t>
            </w:r>
          </w:p>
        </w:tc>
        <w:tc>
          <w:tcPr>
            <w:tcW w:w="968" w:type="pct"/>
            <w:vAlign w:val="bottom"/>
          </w:tcPr>
          <w:p>
            <w:pPr>
              <w:jc w:val="center"/>
              <w:rPr>
                <w:sz w:val="18"/>
                <w:szCs w:val="18"/>
              </w:rPr>
            </w:pPr>
            <w:r>
              <w:rPr>
                <w:rFonts w:hint="eastAsia"/>
                <w:sz w:val="18"/>
                <w:szCs w:val="18"/>
              </w:rPr>
              <w:t>SHANGCHAI</w:t>
            </w:r>
          </w:p>
        </w:tc>
        <w:tc>
          <w:tcPr>
            <w:tcW w:w="968" w:type="pct"/>
            <w:vAlign w:val="bottom"/>
          </w:tcPr>
          <w:p>
            <w:pPr>
              <w:jc w:val="center"/>
              <w:rPr>
                <w:sz w:val="18"/>
                <w:szCs w:val="18"/>
              </w:rPr>
            </w:pPr>
            <w:r>
              <w:rPr>
                <w:rFonts w:hint="eastAsia"/>
                <w:sz w:val="18"/>
                <w:szCs w:val="18"/>
              </w:rPr>
              <w:t>SHANGCHAI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1046" w:type="pct"/>
            <w:noWrap/>
            <w:tcMar>
              <w:top w:w="15" w:type="dxa"/>
              <w:left w:w="15" w:type="dxa"/>
              <w:bottom w:w="0" w:type="dxa"/>
              <w:right w:w="15" w:type="dxa"/>
            </w:tcMar>
            <w:vAlign w:val="center"/>
          </w:tcPr>
          <w:p>
            <w:pPr>
              <w:rPr>
                <w:rFonts w:ascii="宋体" w:hAnsi="宋体" w:cs="Arial Unicode MS"/>
                <w:sz w:val="18"/>
                <w:szCs w:val="18"/>
              </w:rPr>
            </w:pPr>
            <w:r>
              <w:rPr>
                <w:rFonts w:hint="eastAsia" w:ascii="宋体" w:hAnsi="宋体"/>
                <w:sz w:val="18"/>
                <w:szCs w:val="18"/>
              </w:rPr>
              <w:t>发动机型号</w:t>
            </w:r>
          </w:p>
        </w:tc>
        <w:tc>
          <w:tcPr>
            <w:tcW w:w="304" w:type="pct"/>
            <w:noWrap/>
            <w:tcMar>
              <w:top w:w="15" w:type="dxa"/>
              <w:left w:w="15" w:type="dxa"/>
              <w:bottom w:w="0" w:type="dxa"/>
              <w:right w:w="15" w:type="dxa"/>
            </w:tcMar>
            <w:vAlign w:val="center"/>
          </w:tcPr>
          <w:p>
            <w:pPr>
              <w:jc w:val="center"/>
              <w:rPr>
                <w:sz w:val="18"/>
                <w:szCs w:val="18"/>
              </w:rPr>
            </w:pPr>
          </w:p>
        </w:tc>
        <w:tc>
          <w:tcPr>
            <w:tcW w:w="857" w:type="pct"/>
            <w:vAlign w:val="center"/>
          </w:tcPr>
          <w:p>
            <w:pPr>
              <w:jc w:val="center"/>
              <w:rPr>
                <w:sz w:val="18"/>
                <w:szCs w:val="18"/>
              </w:rPr>
            </w:pPr>
            <w:r>
              <w:rPr>
                <w:rFonts w:hint="eastAsia"/>
                <w:sz w:val="18"/>
                <w:szCs w:val="18"/>
              </w:rPr>
              <w:t>SC8DK200G3</w:t>
            </w:r>
          </w:p>
        </w:tc>
        <w:tc>
          <w:tcPr>
            <w:tcW w:w="857" w:type="pct"/>
            <w:vAlign w:val="center"/>
          </w:tcPr>
          <w:p>
            <w:pPr>
              <w:jc w:val="center"/>
              <w:rPr>
                <w:sz w:val="18"/>
                <w:szCs w:val="18"/>
              </w:rPr>
            </w:pPr>
            <w:r>
              <w:rPr>
                <w:rFonts w:hint="eastAsia"/>
                <w:sz w:val="18"/>
                <w:szCs w:val="18"/>
              </w:rPr>
              <w:t>SC8DK200G3</w:t>
            </w:r>
          </w:p>
        </w:tc>
        <w:tc>
          <w:tcPr>
            <w:tcW w:w="968" w:type="pct"/>
            <w:vAlign w:val="center"/>
          </w:tcPr>
          <w:p>
            <w:pPr>
              <w:jc w:val="center"/>
              <w:rPr>
                <w:sz w:val="18"/>
                <w:szCs w:val="18"/>
              </w:rPr>
            </w:pPr>
            <w:r>
              <w:rPr>
                <w:rFonts w:hint="eastAsia"/>
                <w:sz w:val="18"/>
                <w:szCs w:val="18"/>
              </w:rPr>
              <w:t>SC9DK260G3</w:t>
            </w:r>
          </w:p>
        </w:tc>
        <w:tc>
          <w:tcPr>
            <w:tcW w:w="968" w:type="pct"/>
            <w:vAlign w:val="center"/>
          </w:tcPr>
          <w:p>
            <w:pPr>
              <w:jc w:val="center"/>
              <w:rPr>
                <w:sz w:val="18"/>
                <w:szCs w:val="18"/>
              </w:rPr>
            </w:pPr>
            <w:r>
              <w:rPr>
                <w:rFonts w:hint="eastAsia"/>
                <w:sz w:val="18"/>
                <w:szCs w:val="18"/>
              </w:rPr>
              <w:t>SC9DK260G3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发动机功率</w:t>
            </w:r>
            <w:r>
              <w:rPr>
                <w:sz w:val="18"/>
                <w:szCs w:val="18"/>
              </w:rPr>
              <w:t xml:space="preserve">   </w:t>
            </w:r>
          </w:p>
        </w:tc>
        <w:tc>
          <w:tcPr>
            <w:tcW w:w="304" w:type="pct"/>
            <w:noWrap/>
            <w:tcMar>
              <w:top w:w="15" w:type="dxa"/>
              <w:left w:w="15" w:type="dxa"/>
              <w:bottom w:w="0" w:type="dxa"/>
              <w:right w:w="15" w:type="dxa"/>
            </w:tcMar>
            <w:vAlign w:val="bottom"/>
          </w:tcPr>
          <w:p>
            <w:pPr>
              <w:jc w:val="center"/>
              <w:rPr>
                <w:sz w:val="18"/>
                <w:szCs w:val="18"/>
              </w:rPr>
            </w:pPr>
            <w:r>
              <w:rPr>
                <w:sz w:val="18"/>
                <w:szCs w:val="18"/>
              </w:rPr>
              <w:t>kW</w:t>
            </w:r>
          </w:p>
        </w:tc>
        <w:tc>
          <w:tcPr>
            <w:tcW w:w="857" w:type="pct"/>
            <w:vAlign w:val="bottom"/>
          </w:tcPr>
          <w:p>
            <w:pPr>
              <w:jc w:val="center"/>
              <w:rPr>
                <w:sz w:val="18"/>
                <w:szCs w:val="18"/>
              </w:rPr>
            </w:pPr>
            <w:r>
              <w:rPr>
                <w:rFonts w:hint="eastAsia"/>
                <w:sz w:val="18"/>
                <w:szCs w:val="18"/>
              </w:rPr>
              <w:t>147</w:t>
            </w:r>
          </w:p>
        </w:tc>
        <w:tc>
          <w:tcPr>
            <w:tcW w:w="857" w:type="pct"/>
            <w:vAlign w:val="bottom"/>
          </w:tcPr>
          <w:p>
            <w:pPr>
              <w:jc w:val="center"/>
              <w:rPr>
                <w:sz w:val="18"/>
                <w:szCs w:val="18"/>
              </w:rPr>
            </w:pPr>
            <w:r>
              <w:rPr>
                <w:rFonts w:hint="eastAsia"/>
                <w:sz w:val="18"/>
                <w:szCs w:val="18"/>
              </w:rPr>
              <w:t>147</w:t>
            </w:r>
          </w:p>
        </w:tc>
        <w:tc>
          <w:tcPr>
            <w:tcW w:w="968" w:type="pct"/>
            <w:vAlign w:val="bottom"/>
          </w:tcPr>
          <w:p>
            <w:pPr>
              <w:jc w:val="center"/>
              <w:rPr>
                <w:sz w:val="18"/>
                <w:szCs w:val="18"/>
              </w:rPr>
            </w:pPr>
            <w:r>
              <w:rPr>
                <w:rFonts w:hint="eastAsia"/>
                <w:sz w:val="18"/>
                <w:szCs w:val="18"/>
              </w:rPr>
              <w:t>192</w:t>
            </w:r>
          </w:p>
        </w:tc>
        <w:tc>
          <w:tcPr>
            <w:tcW w:w="968" w:type="pct"/>
            <w:vAlign w:val="bottom"/>
          </w:tcPr>
          <w:p>
            <w:pPr>
              <w:jc w:val="center"/>
              <w:rPr>
                <w:sz w:val="18"/>
                <w:szCs w:val="18"/>
              </w:rPr>
            </w:pPr>
            <w:r>
              <w:rPr>
                <w:rFonts w:hint="eastAsia"/>
                <w:sz w:val="18"/>
                <w:szCs w:val="18"/>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发动机转速</w:t>
            </w:r>
          </w:p>
        </w:tc>
        <w:tc>
          <w:tcPr>
            <w:tcW w:w="304" w:type="pct"/>
            <w:noWrap/>
            <w:tcMar>
              <w:top w:w="15" w:type="dxa"/>
              <w:left w:w="15" w:type="dxa"/>
              <w:bottom w:w="0" w:type="dxa"/>
              <w:right w:w="15" w:type="dxa"/>
            </w:tcMar>
            <w:vAlign w:val="bottom"/>
          </w:tcPr>
          <w:p>
            <w:pPr>
              <w:jc w:val="center"/>
              <w:rPr>
                <w:sz w:val="18"/>
                <w:szCs w:val="18"/>
              </w:rPr>
            </w:pPr>
            <w:r>
              <w:rPr>
                <w:sz w:val="18"/>
                <w:szCs w:val="18"/>
              </w:rPr>
              <w:t>r/min</w:t>
            </w:r>
          </w:p>
        </w:tc>
        <w:tc>
          <w:tcPr>
            <w:tcW w:w="857" w:type="pct"/>
            <w:vAlign w:val="bottom"/>
          </w:tcPr>
          <w:p>
            <w:pPr>
              <w:jc w:val="center"/>
              <w:rPr>
                <w:color w:val="000000"/>
                <w:sz w:val="18"/>
                <w:szCs w:val="18"/>
              </w:rPr>
            </w:pPr>
            <w:r>
              <w:rPr>
                <w:rFonts w:hint="eastAsia"/>
                <w:color w:val="000000"/>
                <w:sz w:val="18"/>
                <w:szCs w:val="18"/>
              </w:rPr>
              <w:t>2200</w:t>
            </w:r>
          </w:p>
        </w:tc>
        <w:tc>
          <w:tcPr>
            <w:tcW w:w="857" w:type="pct"/>
            <w:vAlign w:val="bottom"/>
          </w:tcPr>
          <w:p>
            <w:pPr>
              <w:jc w:val="center"/>
              <w:rPr>
                <w:color w:val="000000"/>
                <w:sz w:val="18"/>
                <w:szCs w:val="18"/>
              </w:rPr>
            </w:pPr>
            <w:r>
              <w:rPr>
                <w:rFonts w:hint="eastAsia"/>
                <w:color w:val="000000"/>
                <w:sz w:val="18"/>
                <w:szCs w:val="18"/>
              </w:rPr>
              <w:t>2200</w:t>
            </w:r>
          </w:p>
        </w:tc>
        <w:tc>
          <w:tcPr>
            <w:tcW w:w="968" w:type="pct"/>
            <w:vAlign w:val="bottom"/>
          </w:tcPr>
          <w:p>
            <w:pPr>
              <w:jc w:val="center"/>
              <w:rPr>
                <w:sz w:val="18"/>
                <w:szCs w:val="18"/>
              </w:rPr>
            </w:pPr>
            <w:r>
              <w:rPr>
                <w:sz w:val="18"/>
                <w:szCs w:val="18"/>
              </w:rPr>
              <w:t>2200</w:t>
            </w:r>
          </w:p>
        </w:tc>
        <w:tc>
          <w:tcPr>
            <w:tcW w:w="968" w:type="pct"/>
            <w:vAlign w:val="bottom"/>
          </w:tcPr>
          <w:p>
            <w:pPr>
              <w:jc w:val="center"/>
              <w:rPr>
                <w:sz w:val="18"/>
                <w:szCs w:val="18"/>
              </w:rPr>
            </w:pPr>
            <w:r>
              <w:rPr>
                <w:sz w:val="18"/>
                <w:szCs w:val="18"/>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前进速度Ⅰ档</w:t>
            </w:r>
            <w:r>
              <w:rPr>
                <w:sz w:val="18"/>
                <w:szCs w:val="18"/>
              </w:rPr>
              <w:t xml:space="preserve">     </w:t>
            </w:r>
          </w:p>
        </w:tc>
        <w:tc>
          <w:tcPr>
            <w:tcW w:w="304" w:type="pct"/>
            <w:noWrap/>
            <w:tcMar>
              <w:top w:w="15" w:type="dxa"/>
              <w:left w:w="15" w:type="dxa"/>
              <w:bottom w:w="0" w:type="dxa"/>
              <w:right w:w="15" w:type="dxa"/>
            </w:tcMar>
            <w:vAlign w:val="bottom"/>
          </w:tcPr>
          <w:p>
            <w:pPr>
              <w:jc w:val="center"/>
              <w:rPr>
                <w:sz w:val="18"/>
                <w:szCs w:val="18"/>
              </w:rPr>
            </w:pPr>
            <w:r>
              <w:rPr>
                <w:sz w:val="18"/>
                <w:szCs w:val="18"/>
              </w:rPr>
              <w:t>km/h</w:t>
            </w:r>
          </w:p>
        </w:tc>
        <w:tc>
          <w:tcPr>
            <w:tcW w:w="857" w:type="pct"/>
            <w:vAlign w:val="bottom"/>
          </w:tcPr>
          <w:p>
            <w:pPr>
              <w:jc w:val="center"/>
              <w:rPr>
                <w:sz w:val="18"/>
                <w:szCs w:val="18"/>
              </w:rPr>
            </w:pPr>
            <w:r>
              <w:rPr>
                <w:rFonts w:hint="eastAsia"/>
                <w:sz w:val="18"/>
                <w:szCs w:val="18"/>
              </w:rPr>
              <w:t>0-4.2</w:t>
            </w:r>
          </w:p>
        </w:tc>
        <w:tc>
          <w:tcPr>
            <w:tcW w:w="857" w:type="pct"/>
            <w:vAlign w:val="bottom"/>
          </w:tcPr>
          <w:p>
            <w:pPr>
              <w:jc w:val="center"/>
              <w:rPr>
                <w:sz w:val="18"/>
                <w:szCs w:val="18"/>
              </w:rPr>
            </w:pPr>
            <w:r>
              <w:rPr>
                <w:rFonts w:hint="eastAsia"/>
                <w:sz w:val="18"/>
                <w:szCs w:val="18"/>
              </w:rPr>
              <w:t>0-4.2</w:t>
            </w:r>
          </w:p>
        </w:tc>
        <w:tc>
          <w:tcPr>
            <w:tcW w:w="968" w:type="pct"/>
            <w:vAlign w:val="bottom"/>
          </w:tcPr>
          <w:p>
            <w:pPr>
              <w:jc w:val="center"/>
              <w:rPr>
                <w:sz w:val="18"/>
                <w:szCs w:val="18"/>
              </w:rPr>
            </w:pPr>
            <w:r>
              <w:rPr>
                <w:rFonts w:hint="eastAsia"/>
                <w:sz w:val="18"/>
                <w:szCs w:val="18"/>
              </w:rPr>
              <w:t>0-</w:t>
            </w:r>
            <w:r>
              <w:rPr>
                <w:sz w:val="18"/>
                <w:szCs w:val="18"/>
              </w:rPr>
              <w:t>4.41</w:t>
            </w:r>
          </w:p>
        </w:tc>
        <w:tc>
          <w:tcPr>
            <w:tcW w:w="968" w:type="pct"/>
            <w:vAlign w:val="bottom"/>
          </w:tcPr>
          <w:p>
            <w:pPr>
              <w:jc w:val="center"/>
              <w:rPr>
                <w:sz w:val="18"/>
                <w:szCs w:val="18"/>
              </w:rPr>
            </w:pPr>
            <w:r>
              <w:rPr>
                <w:rFonts w:hint="eastAsia"/>
                <w:sz w:val="18"/>
                <w:szCs w:val="18"/>
              </w:rPr>
              <w:t>0-</w:t>
            </w:r>
            <w:r>
              <w:rPr>
                <w:sz w:val="18"/>
                <w:szCs w:val="18"/>
              </w:rPr>
              <w:t>4.41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前进速度Ⅱ档</w:t>
            </w:r>
            <w:r>
              <w:rPr>
                <w:sz w:val="18"/>
                <w:szCs w:val="18"/>
              </w:rPr>
              <w:t xml:space="preserve">      </w:t>
            </w:r>
          </w:p>
        </w:tc>
        <w:tc>
          <w:tcPr>
            <w:tcW w:w="304" w:type="pct"/>
            <w:noWrap/>
            <w:tcMar>
              <w:top w:w="15" w:type="dxa"/>
              <w:left w:w="15" w:type="dxa"/>
              <w:bottom w:w="0" w:type="dxa"/>
              <w:right w:w="15" w:type="dxa"/>
            </w:tcMar>
            <w:vAlign w:val="bottom"/>
          </w:tcPr>
          <w:p>
            <w:pPr>
              <w:jc w:val="center"/>
              <w:rPr>
                <w:sz w:val="18"/>
                <w:szCs w:val="18"/>
              </w:rPr>
            </w:pPr>
            <w:r>
              <w:rPr>
                <w:sz w:val="18"/>
                <w:szCs w:val="18"/>
              </w:rPr>
              <w:t>km/h</w:t>
            </w:r>
          </w:p>
        </w:tc>
        <w:tc>
          <w:tcPr>
            <w:tcW w:w="857" w:type="pct"/>
            <w:vAlign w:val="bottom"/>
          </w:tcPr>
          <w:p>
            <w:pPr>
              <w:jc w:val="center"/>
              <w:rPr>
                <w:color w:val="000000"/>
                <w:sz w:val="18"/>
                <w:szCs w:val="18"/>
              </w:rPr>
            </w:pPr>
            <w:r>
              <w:rPr>
                <w:rFonts w:hint="eastAsia"/>
                <w:color w:val="000000"/>
                <w:sz w:val="18"/>
                <w:szCs w:val="18"/>
              </w:rPr>
              <w:t>0-10</w:t>
            </w:r>
          </w:p>
        </w:tc>
        <w:tc>
          <w:tcPr>
            <w:tcW w:w="857" w:type="pct"/>
            <w:vAlign w:val="bottom"/>
          </w:tcPr>
          <w:p>
            <w:pPr>
              <w:jc w:val="center"/>
              <w:rPr>
                <w:color w:val="000000"/>
                <w:sz w:val="18"/>
                <w:szCs w:val="18"/>
              </w:rPr>
            </w:pPr>
            <w:r>
              <w:rPr>
                <w:rFonts w:hint="eastAsia"/>
                <w:color w:val="000000"/>
                <w:sz w:val="18"/>
                <w:szCs w:val="18"/>
              </w:rPr>
              <w:t>0-10</w:t>
            </w:r>
          </w:p>
        </w:tc>
        <w:tc>
          <w:tcPr>
            <w:tcW w:w="968" w:type="pct"/>
            <w:vAlign w:val="bottom"/>
          </w:tcPr>
          <w:p>
            <w:pPr>
              <w:jc w:val="center"/>
              <w:rPr>
                <w:sz w:val="18"/>
                <w:szCs w:val="18"/>
              </w:rPr>
            </w:pPr>
            <w:r>
              <w:rPr>
                <w:rFonts w:hint="eastAsia"/>
                <w:sz w:val="18"/>
                <w:szCs w:val="18"/>
              </w:rPr>
              <w:t>0-</w:t>
            </w:r>
            <w:r>
              <w:rPr>
                <w:sz w:val="18"/>
                <w:szCs w:val="18"/>
              </w:rPr>
              <w:t>7.1</w:t>
            </w:r>
          </w:p>
        </w:tc>
        <w:tc>
          <w:tcPr>
            <w:tcW w:w="968" w:type="pct"/>
            <w:vAlign w:val="bottom"/>
          </w:tcPr>
          <w:p>
            <w:pPr>
              <w:jc w:val="center"/>
              <w:rPr>
                <w:sz w:val="18"/>
                <w:szCs w:val="18"/>
              </w:rPr>
            </w:pPr>
            <w:r>
              <w:rPr>
                <w:rFonts w:hint="eastAsia"/>
                <w:sz w:val="18"/>
                <w:szCs w:val="18"/>
              </w:rPr>
              <w:t>0-</w:t>
            </w:r>
            <w:r>
              <w:rPr>
                <w:sz w:val="18"/>
                <w:szCs w:val="18"/>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前进速度Ⅲ档</w:t>
            </w:r>
          </w:p>
        </w:tc>
        <w:tc>
          <w:tcPr>
            <w:tcW w:w="304" w:type="pct"/>
            <w:noWrap/>
            <w:tcMar>
              <w:top w:w="15" w:type="dxa"/>
              <w:left w:w="15" w:type="dxa"/>
              <w:bottom w:w="0" w:type="dxa"/>
              <w:right w:w="15" w:type="dxa"/>
            </w:tcMar>
            <w:vAlign w:val="bottom"/>
          </w:tcPr>
          <w:p>
            <w:pPr>
              <w:jc w:val="center"/>
              <w:rPr>
                <w:sz w:val="18"/>
                <w:szCs w:val="18"/>
              </w:rPr>
            </w:pPr>
          </w:p>
        </w:tc>
        <w:tc>
          <w:tcPr>
            <w:tcW w:w="857" w:type="pct"/>
            <w:vAlign w:val="bottom"/>
          </w:tcPr>
          <w:p>
            <w:pPr>
              <w:jc w:val="center"/>
              <w:rPr>
                <w:sz w:val="18"/>
                <w:szCs w:val="18"/>
              </w:rPr>
            </w:pPr>
          </w:p>
        </w:tc>
        <w:tc>
          <w:tcPr>
            <w:tcW w:w="857" w:type="pct"/>
            <w:vAlign w:val="bottom"/>
          </w:tcPr>
          <w:p>
            <w:pPr>
              <w:jc w:val="center"/>
              <w:rPr>
                <w:sz w:val="18"/>
                <w:szCs w:val="18"/>
              </w:rPr>
            </w:pPr>
          </w:p>
        </w:tc>
        <w:tc>
          <w:tcPr>
            <w:tcW w:w="968" w:type="pct"/>
            <w:vAlign w:val="bottom"/>
          </w:tcPr>
          <w:p>
            <w:pPr>
              <w:jc w:val="center"/>
              <w:rPr>
                <w:sz w:val="18"/>
                <w:szCs w:val="18"/>
              </w:rPr>
            </w:pPr>
            <w:r>
              <w:rPr>
                <w:rFonts w:hint="eastAsia"/>
                <w:sz w:val="18"/>
                <w:szCs w:val="18"/>
              </w:rPr>
              <w:t>0-</w:t>
            </w:r>
            <w:r>
              <w:rPr>
                <w:sz w:val="18"/>
                <w:szCs w:val="18"/>
              </w:rPr>
              <w:t>10.87</w:t>
            </w:r>
          </w:p>
        </w:tc>
        <w:tc>
          <w:tcPr>
            <w:tcW w:w="968" w:type="pct"/>
            <w:vAlign w:val="bottom"/>
          </w:tcPr>
          <w:p>
            <w:pPr>
              <w:jc w:val="center"/>
              <w:rPr>
                <w:sz w:val="18"/>
                <w:szCs w:val="18"/>
              </w:rPr>
            </w:pPr>
            <w:r>
              <w:rPr>
                <w:rFonts w:hint="eastAsia"/>
                <w:sz w:val="18"/>
                <w:szCs w:val="18"/>
              </w:rPr>
              <w:t>0-</w:t>
            </w:r>
            <w:r>
              <w:rPr>
                <w:sz w:val="18"/>
                <w:szCs w:val="18"/>
              </w:rPr>
              <w:t>10.87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后退速度Ⅰ档</w:t>
            </w:r>
            <w:r>
              <w:rPr>
                <w:sz w:val="18"/>
                <w:szCs w:val="18"/>
              </w:rPr>
              <w:t xml:space="preserve">      </w:t>
            </w:r>
          </w:p>
        </w:tc>
        <w:tc>
          <w:tcPr>
            <w:tcW w:w="304" w:type="pct"/>
            <w:noWrap/>
            <w:tcMar>
              <w:top w:w="15" w:type="dxa"/>
              <w:left w:w="15" w:type="dxa"/>
              <w:bottom w:w="0" w:type="dxa"/>
              <w:right w:w="15" w:type="dxa"/>
            </w:tcMar>
            <w:vAlign w:val="bottom"/>
          </w:tcPr>
          <w:p>
            <w:pPr>
              <w:jc w:val="center"/>
              <w:rPr>
                <w:sz w:val="18"/>
                <w:szCs w:val="18"/>
              </w:rPr>
            </w:pPr>
            <w:r>
              <w:rPr>
                <w:sz w:val="18"/>
                <w:szCs w:val="18"/>
              </w:rPr>
              <w:t>km/h</w:t>
            </w:r>
          </w:p>
        </w:tc>
        <w:tc>
          <w:tcPr>
            <w:tcW w:w="857" w:type="pct"/>
            <w:vAlign w:val="bottom"/>
          </w:tcPr>
          <w:p>
            <w:pPr>
              <w:jc w:val="center"/>
              <w:rPr>
                <w:sz w:val="18"/>
                <w:szCs w:val="18"/>
              </w:rPr>
            </w:pPr>
            <w:r>
              <w:rPr>
                <w:rFonts w:hint="eastAsia"/>
                <w:sz w:val="18"/>
                <w:szCs w:val="18"/>
              </w:rPr>
              <w:t>0-5.8</w:t>
            </w:r>
          </w:p>
        </w:tc>
        <w:tc>
          <w:tcPr>
            <w:tcW w:w="857" w:type="pct"/>
            <w:vAlign w:val="bottom"/>
          </w:tcPr>
          <w:p>
            <w:pPr>
              <w:jc w:val="center"/>
              <w:rPr>
                <w:sz w:val="18"/>
                <w:szCs w:val="18"/>
              </w:rPr>
            </w:pPr>
            <w:r>
              <w:rPr>
                <w:rFonts w:hint="eastAsia"/>
                <w:sz w:val="18"/>
                <w:szCs w:val="18"/>
              </w:rPr>
              <w:t>0-5.8</w:t>
            </w:r>
          </w:p>
        </w:tc>
        <w:tc>
          <w:tcPr>
            <w:tcW w:w="968" w:type="pct"/>
            <w:vAlign w:val="bottom"/>
          </w:tcPr>
          <w:p>
            <w:pPr>
              <w:jc w:val="center"/>
              <w:rPr>
                <w:sz w:val="18"/>
                <w:szCs w:val="18"/>
              </w:rPr>
            </w:pPr>
            <w:r>
              <w:rPr>
                <w:rFonts w:hint="eastAsia"/>
                <w:sz w:val="18"/>
                <w:szCs w:val="18"/>
              </w:rPr>
              <w:t>0-</w:t>
            </w:r>
            <w:r>
              <w:rPr>
                <w:sz w:val="18"/>
                <w:szCs w:val="18"/>
              </w:rPr>
              <w:t>4.41</w:t>
            </w:r>
          </w:p>
        </w:tc>
        <w:tc>
          <w:tcPr>
            <w:tcW w:w="968" w:type="pct"/>
            <w:vAlign w:val="bottom"/>
          </w:tcPr>
          <w:p>
            <w:pPr>
              <w:jc w:val="center"/>
              <w:rPr>
                <w:sz w:val="18"/>
                <w:szCs w:val="18"/>
              </w:rPr>
            </w:pPr>
            <w:r>
              <w:rPr>
                <w:rFonts w:hint="eastAsia"/>
                <w:sz w:val="18"/>
                <w:szCs w:val="18"/>
              </w:rPr>
              <w:t>0-</w:t>
            </w:r>
            <w:r>
              <w:rPr>
                <w:sz w:val="18"/>
                <w:szCs w:val="18"/>
              </w:rPr>
              <w:t>4.41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后退速度Ⅱ档</w:t>
            </w:r>
          </w:p>
        </w:tc>
        <w:tc>
          <w:tcPr>
            <w:tcW w:w="304" w:type="pct"/>
            <w:noWrap/>
            <w:tcMar>
              <w:top w:w="15" w:type="dxa"/>
              <w:left w:w="15" w:type="dxa"/>
              <w:bottom w:w="0" w:type="dxa"/>
              <w:right w:w="15" w:type="dxa"/>
            </w:tcMar>
            <w:vAlign w:val="bottom"/>
          </w:tcPr>
          <w:p>
            <w:pPr>
              <w:jc w:val="center"/>
              <w:rPr>
                <w:sz w:val="18"/>
                <w:szCs w:val="18"/>
              </w:rPr>
            </w:pPr>
          </w:p>
        </w:tc>
        <w:tc>
          <w:tcPr>
            <w:tcW w:w="857" w:type="pct"/>
            <w:vAlign w:val="bottom"/>
          </w:tcPr>
          <w:p>
            <w:pPr>
              <w:jc w:val="center"/>
              <w:rPr>
                <w:sz w:val="18"/>
                <w:szCs w:val="18"/>
              </w:rPr>
            </w:pPr>
          </w:p>
        </w:tc>
        <w:tc>
          <w:tcPr>
            <w:tcW w:w="857" w:type="pct"/>
            <w:vAlign w:val="bottom"/>
          </w:tcPr>
          <w:p>
            <w:pPr>
              <w:jc w:val="center"/>
              <w:rPr>
                <w:sz w:val="18"/>
                <w:szCs w:val="18"/>
              </w:rPr>
            </w:pPr>
          </w:p>
        </w:tc>
        <w:tc>
          <w:tcPr>
            <w:tcW w:w="968" w:type="pct"/>
            <w:vAlign w:val="bottom"/>
          </w:tcPr>
          <w:p>
            <w:pPr>
              <w:jc w:val="center"/>
              <w:rPr>
                <w:sz w:val="18"/>
                <w:szCs w:val="18"/>
              </w:rPr>
            </w:pPr>
            <w:r>
              <w:rPr>
                <w:rFonts w:hint="eastAsia"/>
                <w:sz w:val="18"/>
                <w:szCs w:val="18"/>
              </w:rPr>
              <w:t>0-</w:t>
            </w:r>
            <w:r>
              <w:rPr>
                <w:sz w:val="18"/>
                <w:szCs w:val="18"/>
              </w:rPr>
              <w:t>7.1</w:t>
            </w:r>
          </w:p>
        </w:tc>
        <w:tc>
          <w:tcPr>
            <w:tcW w:w="968" w:type="pct"/>
            <w:vAlign w:val="bottom"/>
          </w:tcPr>
          <w:p>
            <w:pPr>
              <w:jc w:val="center"/>
              <w:rPr>
                <w:sz w:val="18"/>
                <w:szCs w:val="18"/>
              </w:rPr>
            </w:pPr>
            <w:r>
              <w:rPr>
                <w:rFonts w:hint="eastAsia"/>
                <w:sz w:val="18"/>
                <w:szCs w:val="18"/>
              </w:rPr>
              <w:t>0-</w:t>
            </w:r>
            <w:r>
              <w:rPr>
                <w:sz w:val="18"/>
                <w:szCs w:val="18"/>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最大爬坡能力</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w:t>
            </w:r>
          </w:p>
        </w:tc>
        <w:tc>
          <w:tcPr>
            <w:tcW w:w="857" w:type="pct"/>
            <w:vAlign w:val="bottom"/>
          </w:tcPr>
          <w:p>
            <w:pPr>
              <w:jc w:val="center"/>
              <w:rPr>
                <w:sz w:val="18"/>
                <w:szCs w:val="18"/>
              </w:rPr>
            </w:pPr>
            <w:r>
              <w:rPr>
                <w:rFonts w:hint="eastAsia"/>
                <w:sz w:val="18"/>
                <w:szCs w:val="18"/>
              </w:rPr>
              <w:t>100</w:t>
            </w:r>
          </w:p>
        </w:tc>
        <w:tc>
          <w:tcPr>
            <w:tcW w:w="857" w:type="pct"/>
            <w:vAlign w:val="bottom"/>
          </w:tcPr>
          <w:p>
            <w:pPr>
              <w:jc w:val="center"/>
              <w:rPr>
                <w:sz w:val="18"/>
                <w:szCs w:val="18"/>
              </w:rPr>
            </w:pPr>
            <w:r>
              <w:rPr>
                <w:rFonts w:hint="eastAsia"/>
                <w:sz w:val="18"/>
                <w:szCs w:val="18"/>
              </w:rPr>
              <w:t>100</w:t>
            </w:r>
          </w:p>
        </w:tc>
        <w:tc>
          <w:tcPr>
            <w:tcW w:w="968" w:type="pct"/>
            <w:vAlign w:val="bottom"/>
          </w:tcPr>
          <w:p>
            <w:pPr>
              <w:jc w:val="center"/>
              <w:rPr>
                <w:sz w:val="18"/>
                <w:szCs w:val="18"/>
              </w:rPr>
            </w:pPr>
            <w:r>
              <w:rPr>
                <w:rFonts w:hint="eastAsia"/>
                <w:sz w:val="18"/>
                <w:szCs w:val="18"/>
              </w:rPr>
              <w:t>100</w:t>
            </w:r>
          </w:p>
        </w:tc>
        <w:tc>
          <w:tcPr>
            <w:tcW w:w="968" w:type="pct"/>
            <w:vAlign w:val="bottom"/>
          </w:tcPr>
          <w:p>
            <w:pPr>
              <w:jc w:val="center"/>
              <w:rPr>
                <w:sz w:val="18"/>
                <w:szCs w:val="18"/>
              </w:rPr>
            </w:pPr>
            <w:r>
              <w:rPr>
                <w:rFonts w:hint="eastAsia"/>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推铲高度</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1650</w:t>
            </w:r>
          </w:p>
        </w:tc>
        <w:tc>
          <w:tcPr>
            <w:tcW w:w="857" w:type="pct"/>
            <w:vAlign w:val="bottom"/>
          </w:tcPr>
          <w:p>
            <w:pPr>
              <w:jc w:val="center"/>
              <w:rPr>
                <w:sz w:val="18"/>
                <w:szCs w:val="18"/>
              </w:rPr>
            </w:pPr>
            <w:r>
              <w:rPr>
                <w:rFonts w:hint="eastAsia"/>
                <w:sz w:val="18"/>
                <w:szCs w:val="18"/>
              </w:rPr>
              <w:t>1650</w:t>
            </w:r>
          </w:p>
        </w:tc>
        <w:tc>
          <w:tcPr>
            <w:tcW w:w="968" w:type="pct"/>
            <w:vAlign w:val="bottom"/>
          </w:tcPr>
          <w:p>
            <w:pPr>
              <w:jc w:val="center"/>
              <w:rPr>
                <w:sz w:val="18"/>
                <w:szCs w:val="18"/>
              </w:rPr>
            </w:pPr>
            <w:r>
              <w:rPr>
                <w:rFonts w:hint="eastAsia"/>
                <w:sz w:val="18"/>
                <w:szCs w:val="18"/>
              </w:rPr>
              <w:t>1880</w:t>
            </w:r>
          </w:p>
        </w:tc>
        <w:tc>
          <w:tcPr>
            <w:tcW w:w="968" w:type="pct"/>
            <w:vAlign w:val="bottom"/>
          </w:tcPr>
          <w:p>
            <w:pPr>
              <w:jc w:val="center"/>
              <w:rPr>
                <w:sz w:val="18"/>
                <w:szCs w:val="18"/>
              </w:rPr>
            </w:pPr>
            <w:r>
              <w:rPr>
                <w:rFonts w:hint="eastAsia"/>
                <w:sz w:val="18"/>
                <w:szCs w:val="18"/>
              </w:rPr>
              <w:t>1880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推铲宽度</w:t>
            </w:r>
            <w:r>
              <w:rPr>
                <w:sz w:val="18"/>
                <w:szCs w:val="18"/>
              </w:rPr>
              <w:t xml:space="preserve">       </w:t>
            </w:r>
          </w:p>
        </w:tc>
        <w:tc>
          <w:tcPr>
            <w:tcW w:w="304" w:type="pct"/>
            <w:noWrap/>
            <w:tcMar>
              <w:top w:w="15" w:type="dxa"/>
              <w:left w:w="15" w:type="dxa"/>
              <w:bottom w:w="0" w:type="dxa"/>
              <w:right w:w="15" w:type="dxa"/>
            </w:tcMar>
            <w:vAlign w:val="bottom"/>
          </w:tcPr>
          <w:p>
            <w:pPr>
              <w:jc w:val="center"/>
              <w:rPr>
                <w:sz w:val="18"/>
                <w:szCs w:val="18"/>
              </w:rPr>
            </w:pPr>
            <w:r>
              <w:rPr>
                <w:sz w:val="18"/>
                <w:szCs w:val="18"/>
              </w:rPr>
              <w:t>mm</w:t>
            </w:r>
          </w:p>
        </w:tc>
        <w:tc>
          <w:tcPr>
            <w:tcW w:w="857" w:type="pct"/>
            <w:vAlign w:val="bottom"/>
          </w:tcPr>
          <w:p>
            <w:pPr>
              <w:jc w:val="center"/>
              <w:rPr>
                <w:sz w:val="18"/>
                <w:szCs w:val="18"/>
              </w:rPr>
            </w:pPr>
            <w:r>
              <w:rPr>
                <w:rFonts w:hint="eastAsia"/>
                <w:sz w:val="18"/>
                <w:szCs w:val="18"/>
              </w:rPr>
              <w:t>3000</w:t>
            </w:r>
          </w:p>
        </w:tc>
        <w:tc>
          <w:tcPr>
            <w:tcW w:w="857" w:type="pct"/>
            <w:vAlign w:val="bottom"/>
          </w:tcPr>
          <w:p>
            <w:pPr>
              <w:jc w:val="center"/>
              <w:rPr>
                <w:sz w:val="18"/>
                <w:szCs w:val="18"/>
              </w:rPr>
            </w:pPr>
            <w:r>
              <w:rPr>
                <w:rFonts w:hint="eastAsia"/>
                <w:sz w:val="18"/>
                <w:szCs w:val="18"/>
              </w:rPr>
              <w:t>3000</w:t>
            </w:r>
          </w:p>
        </w:tc>
        <w:tc>
          <w:tcPr>
            <w:tcW w:w="968" w:type="pct"/>
            <w:vAlign w:val="bottom"/>
          </w:tcPr>
          <w:p>
            <w:pPr>
              <w:jc w:val="center"/>
              <w:rPr>
                <w:sz w:val="18"/>
                <w:szCs w:val="18"/>
              </w:rPr>
            </w:pPr>
            <w:r>
              <w:rPr>
                <w:sz w:val="18"/>
                <w:szCs w:val="18"/>
              </w:rPr>
              <w:t>3800</w:t>
            </w:r>
          </w:p>
        </w:tc>
        <w:tc>
          <w:tcPr>
            <w:tcW w:w="968" w:type="pct"/>
            <w:vAlign w:val="bottom"/>
          </w:tcPr>
          <w:p>
            <w:pPr>
              <w:jc w:val="center"/>
              <w:rPr>
                <w:sz w:val="18"/>
                <w:szCs w:val="18"/>
              </w:rPr>
            </w:pPr>
            <w:r>
              <w:rPr>
                <w:sz w:val="18"/>
                <w:szCs w:val="18"/>
              </w:rPr>
              <w:t>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046" w:type="pct"/>
            <w:noWrap/>
            <w:tcMar>
              <w:top w:w="15" w:type="dxa"/>
              <w:left w:w="15" w:type="dxa"/>
              <w:bottom w:w="0" w:type="dxa"/>
              <w:right w:w="15" w:type="dxa"/>
            </w:tcMar>
            <w:vAlign w:val="bottom"/>
          </w:tcPr>
          <w:p>
            <w:pPr>
              <w:rPr>
                <w:rFonts w:ascii="宋体" w:hAnsi="宋体" w:cs="Arial Unicode MS"/>
                <w:sz w:val="18"/>
                <w:szCs w:val="18"/>
              </w:rPr>
            </w:pPr>
            <w:r>
              <w:rPr>
                <w:rFonts w:hint="eastAsia" w:ascii="宋体" w:hAnsi="宋体"/>
                <w:sz w:val="18"/>
                <w:szCs w:val="18"/>
              </w:rPr>
              <w:t>推铲提升高度</w:t>
            </w:r>
            <w:r>
              <w:rPr>
                <w:sz w:val="18"/>
                <w:szCs w:val="18"/>
              </w:rPr>
              <w:t xml:space="preserve">   </w:t>
            </w:r>
          </w:p>
        </w:tc>
        <w:tc>
          <w:tcPr>
            <w:tcW w:w="304" w:type="pct"/>
            <w:noWrap/>
            <w:tcMar>
              <w:top w:w="15" w:type="dxa"/>
              <w:left w:w="15" w:type="dxa"/>
              <w:bottom w:w="0" w:type="dxa"/>
              <w:right w:w="15" w:type="dxa"/>
            </w:tcMar>
            <w:vAlign w:val="bottom"/>
          </w:tcPr>
          <w:p>
            <w:pPr>
              <w:jc w:val="center"/>
              <w:rPr>
                <w:sz w:val="18"/>
                <w:szCs w:val="18"/>
              </w:rPr>
            </w:pPr>
            <w:r>
              <w:rPr>
                <w:sz w:val="18"/>
                <w:szCs w:val="18"/>
              </w:rPr>
              <w:t>mm</w:t>
            </w:r>
          </w:p>
        </w:tc>
        <w:tc>
          <w:tcPr>
            <w:tcW w:w="857" w:type="pct"/>
            <w:vAlign w:val="bottom"/>
          </w:tcPr>
          <w:p>
            <w:pPr>
              <w:jc w:val="center"/>
              <w:rPr>
                <w:sz w:val="18"/>
                <w:szCs w:val="18"/>
              </w:rPr>
            </w:pPr>
            <w:r>
              <w:rPr>
                <w:sz w:val="18"/>
                <w:szCs w:val="18"/>
              </w:rPr>
              <w:t>1</w:t>
            </w:r>
            <w:r>
              <w:rPr>
                <w:rFonts w:hint="eastAsia"/>
                <w:sz w:val="18"/>
                <w:szCs w:val="18"/>
              </w:rPr>
              <w:t>00</w:t>
            </w:r>
            <w:r>
              <w:rPr>
                <w:sz w:val="18"/>
                <w:szCs w:val="18"/>
              </w:rPr>
              <w:t>0</w:t>
            </w:r>
          </w:p>
        </w:tc>
        <w:tc>
          <w:tcPr>
            <w:tcW w:w="857" w:type="pct"/>
            <w:vAlign w:val="bottom"/>
          </w:tcPr>
          <w:p>
            <w:pPr>
              <w:jc w:val="center"/>
              <w:rPr>
                <w:sz w:val="18"/>
                <w:szCs w:val="18"/>
              </w:rPr>
            </w:pPr>
            <w:r>
              <w:rPr>
                <w:sz w:val="18"/>
                <w:szCs w:val="18"/>
              </w:rPr>
              <w:t>1</w:t>
            </w:r>
            <w:r>
              <w:rPr>
                <w:rFonts w:hint="eastAsia"/>
                <w:sz w:val="18"/>
                <w:szCs w:val="18"/>
              </w:rPr>
              <w:t>00</w:t>
            </w:r>
            <w:r>
              <w:rPr>
                <w:sz w:val="18"/>
                <w:szCs w:val="18"/>
              </w:rPr>
              <w:t>0</w:t>
            </w:r>
          </w:p>
        </w:tc>
        <w:tc>
          <w:tcPr>
            <w:tcW w:w="968" w:type="pct"/>
            <w:vAlign w:val="bottom"/>
          </w:tcPr>
          <w:p>
            <w:pPr>
              <w:jc w:val="center"/>
              <w:rPr>
                <w:sz w:val="18"/>
                <w:szCs w:val="18"/>
              </w:rPr>
            </w:pPr>
            <w:r>
              <w:rPr>
                <w:sz w:val="18"/>
                <w:szCs w:val="18"/>
              </w:rPr>
              <w:t>12</w:t>
            </w:r>
            <w:r>
              <w:rPr>
                <w:rFonts w:hint="eastAsia"/>
                <w:sz w:val="18"/>
                <w:szCs w:val="18"/>
              </w:rPr>
              <w:t>0</w:t>
            </w:r>
            <w:r>
              <w:rPr>
                <w:sz w:val="18"/>
                <w:szCs w:val="18"/>
              </w:rPr>
              <w:t>0</w:t>
            </w:r>
          </w:p>
        </w:tc>
        <w:tc>
          <w:tcPr>
            <w:tcW w:w="968" w:type="pct"/>
            <w:vAlign w:val="bottom"/>
          </w:tcPr>
          <w:p>
            <w:pPr>
              <w:jc w:val="center"/>
              <w:rPr>
                <w:sz w:val="18"/>
                <w:szCs w:val="18"/>
              </w:rPr>
            </w:pPr>
            <w:r>
              <w:rPr>
                <w:sz w:val="18"/>
                <w:szCs w:val="18"/>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推铲入地深度</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150</w:t>
            </w:r>
          </w:p>
        </w:tc>
        <w:tc>
          <w:tcPr>
            <w:tcW w:w="857" w:type="pct"/>
            <w:vAlign w:val="bottom"/>
          </w:tcPr>
          <w:p>
            <w:pPr>
              <w:jc w:val="center"/>
              <w:rPr>
                <w:sz w:val="18"/>
                <w:szCs w:val="18"/>
              </w:rPr>
            </w:pPr>
            <w:r>
              <w:rPr>
                <w:rFonts w:hint="eastAsia"/>
                <w:sz w:val="18"/>
                <w:szCs w:val="18"/>
              </w:rPr>
              <w:t>150</w:t>
            </w:r>
          </w:p>
        </w:tc>
        <w:tc>
          <w:tcPr>
            <w:tcW w:w="968" w:type="pct"/>
            <w:vAlign w:val="bottom"/>
          </w:tcPr>
          <w:p>
            <w:pPr>
              <w:jc w:val="center"/>
              <w:rPr>
                <w:sz w:val="18"/>
                <w:szCs w:val="18"/>
              </w:rPr>
            </w:pPr>
            <w:r>
              <w:rPr>
                <w:rFonts w:hint="eastAsia"/>
                <w:sz w:val="18"/>
                <w:szCs w:val="18"/>
              </w:rPr>
              <w:t>200</w:t>
            </w:r>
          </w:p>
        </w:tc>
        <w:tc>
          <w:tcPr>
            <w:tcW w:w="968" w:type="pct"/>
            <w:vAlign w:val="bottom"/>
          </w:tcPr>
          <w:p>
            <w:pPr>
              <w:jc w:val="center"/>
              <w:rPr>
                <w:sz w:val="18"/>
                <w:szCs w:val="18"/>
              </w:rPr>
            </w:pPr>
            <w:r>
              <w:rPr>
                <w:rFonts w:hint="eastAsia"/>
                <w:sz w:val="18"/>
                <w:szCs w:val="18"/>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转向角</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w:t>
            </w:r>
          </w:p>
        </w:tc>
        <w:tc>
          <w:tcPr>
            <w:tcW w:w="857" w:type="pct"/>
            <w:vAlign w:val="bottom"/>
          </w:tcPr>
          <w:p>
            <w:pPr>
              <w:jc w:val="center"/>
              <w:rPr>
                <w:sz w:val="18"/>
                <w:szCs w:val="18"/>
              </w:rPr>
            </w:pPr>
            <w:r>
              <w:rPr>
                <w:rFonts w:hint="eastAsia"/>
                <w:sz w:val="18"/>
                <w:szCs w:val="18"/>
              </w:rPr>
              <w:t>40</w:t>
            </w:r>
          </w:p>
        </w:tc>
        <w:tc>
          <w:tcPr>
            <w:tcW w:w="857" w:type="pct"/>
            <w:vAlign w:val="bottom"/>
          </w:tcPr>
          <w:p>
            <w:pPr>
              <w:jc w:val="center"/>
              <w:rPr>
                <w:sz w:val="18"/>
                <w:szCs w:val="18"/>
              </w:rPr>
            </w:pPr>
            <w:r>
              <w:rPr>
                <w:rFonts w:hint="eastAsia"/>
                <w:sz w:val="18"/>
                <w:szCs w:val="18"/>
              </w:rPr>
              <w:t>40</w:t>
            </w:r>
          </w:p>
        </w:tc>
        <w:tc>
          <w:tcPr>
            <w:tcW w:w="968" w:type="pct"/>
            <w:vAlign w:val="bottom"/>
          </w:tcPr>
          <w:p>
            <w:pPr>
              <w:jc w:val="center"/>
              <w:rPr>
                <w:sz w:val="18"/>
                <w:szCs w:val="18"/>
              </w:rPr>
            </w:pPr>
            <w:r>
              <w:rPr>
                <w:rFonts w:hint="eastAsia"/>
                <w:sz w:val="18"/>
                <w:szCs w:val="18"/>
              </w:rPr>
              <w:t>40</w:t>
            </w:r>
          </w:p>
        </w:tc>
        <w:tc>
          <w:tcPr>
            <w:tcW w:w="968" w:type="pct"/>
            <w:vAlign w:val="bottom"/>
          </w:tcPr>
          <w:p>
            <w:pPr>
              <w:jc w:val="center"/>
              <w:rPr>
                <w:sz w:val="18"/>
                <w:szCs w:val="18"/>
              </w:rPr>
            </w:pPr>
            <w:r>
              <w:rPr>
                <w:rFonts w:hint="eastAsia"/>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横向摆动角</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w:t>
            </w:r>
          </w:p>
        </w:tc>
        <w:tc>
          <w:tcPr>
            <w:tcW w:w="857" w:type="pct"/>
            <w:vAlign w:val="bottom"/>
          </w:tcPr>
          <w:p>
            <w:pPr>
              <w:jc w:val="center"/>
              <w:rPr>
                <w:sz w:val="18"/>
                <w:szCs w:val="18"/>
              </w:rPr>
            </w:pPr>
            <w:r>
              <w:rPr>
                <w:rFonts w:hint="eastAsia"/>
                <w:sz w:val="18"/>
                <w:szCs w:val="18"/>
              </w:rPr>
              <w:t>15</w:t>
            </w:r>
          </w:p>
        </w:tc>
        <w:tc>
          <w:tcPr>
            <w:tcW w:w="857" w:type="pct"/>
            <w:vAlign w:val="bottom"/>
          </w:tcPr>
          <w:p>
            <w:pPr>
              <w:jc w:val="center"/>
              <w:rPr>
                <w:sz w:val="18"/>
                <w:szCs w:val="18"/>
              </w:rPr>
            </w:pPr>
            <w:r>
              <w:rPr>
                <w:rFonts w:hint="eastAsia"/>
                <w:sz w:val="18"/>
                <w:szCs w:val="18"/>
              </w:rPr>
              <w:t>15</w:t>
            </w:r>
          </w:p>
        </w:tc>
        <w:tc>
          <w:tcPr>
            <w:tcW w:w="968" w:type="pct"/>
            <w:vAlign w:val="bottom"/>
          </w:tcPr>
          <w:p>
            <w:pPr>
              <w:jc w:val="center"/>
              <w:rPr>
                <w:sz w:val="18"/>
                <w:szCs w:val="18"/>
              </w:rPr>
            </w:pPr>
            <w:r>
              <w:rPr>
                <w:rFonts w:hint="eastAsia"/>
                <w:sz w:val="18"/>
                <w:szCs w:val="18"/>
              </w:rPr>
              <w:t>15</w:t>
            </w:r>
          </w:p>
        </w:tc>
        <w:tc>
          <w:tcPr>
            <w:tcW w:w="968" w:type="pct"/>
            <w:vAlign w:val="bottom"/>
          </w:tcPr>
          <w:p>
            <w:pPr>
              <w:jc w:val="center"/>
              <w:rPr>
                <w:sz w:val="18"/>
                <w:szCs w:val="18"/>
              </w:rPr>
            </w:pPr>
            <w:r>
              <w:rPr>
                <w:rFonts w:hint="eastAsia"/>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转弯半径（前轮外侧）</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mm</w:t>
            </w:r>
          </w:p>
        </w:tc>
        <w:tc>
          <w:tcPr>
            <w:tcW w:w="857" w:type="pct"/>
            <w:vAlign w:val="bottom"/>
          </w:tcPr>
          <w:p>
            <w:pPr>
              <w:jc w:val="center"/>
              <w:rPr>
                <w:sz w:val="18"/>
                <w:szCs w:val="18"/>
              </w:rPr>
            </w:pPr>
            <w:r>
              <w:rPr>
                <w:rFonts w:hint="eastAsia"/>
                <w:sz w:val="18"/>
                <w:szCs w:val="18"/>
              </w:rPr>
              <w:t>6250</w:t>
            </w:r>
          </w:p>
        </w:tc>
        <w:tc>
          <w:tcPr>
            <w:tcW w:w="857" w:type="pct"/>
            <w:vAlign w:val="bottom"/>
          </w:tcPr>
          <w:p>
            <w:pPr>
              <w:jc w:val="center"/>
              <w:rPr>
                <w:sz w:val="18"/>
                <w:szCs w:val="18"/>
              </w:rPr>
            </w:pPr>
            <w:r>
              <w:rPr>
                <w:rFonts w:hint="eastAsia"/>
                <w:sz w:val="18"/>
                <w:szCs w:val="18"/>
              </w:rPr>
              <w:t>6250</w:t>
            </w:r>
          </w:p>
        </w:tc>
        <w:tc>
          <w:tcPr>
            <w:tcW w:w="968" w:type="pct"/>
            <w:vAlign w:val="bottom"/>
          </w:tcPr>
          <w:p>
            <w:pPr>
              <w:jc w:val="center"/>
              <w:rPr>
                <w:sz w:val="18"/>
                <w:szCs w:val="18"/>
              </w:rPr>
            </w:pPr>
            <w:r>
              <w:rPr>
                <w:rFonts w:hint="eastAsia"/>
                <w:sz w:val="18"/>
                <w:szCs w:val="18"/>
              </w:rPr>
              <w:t>7200</w:t>
            </w:r>
          </w:p>
        </w:tc>
        <w:tc>
          <w:tcPr>
            <w:tcW w:w="968" w:type="pct"/>
            <w:vAlign w:val="bottom"/>
          </w:tcPr>
          <w:p>
            <w:pPr>
              <w:jc w:val="center"/>
              <w:rPr>
                <w:sz w:val="18"/>
                <w:szCs w:val="18"/>
              </w:rPr>
            </w:pPr>
            <w:r>
              <w:rPr>
                <w:rFonts w:hint="eastAsia"/>
                <w:sz w:val="18"/>
                <w:szCs w:val="18"/>
              </w:rPr>
              <w:t>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燃油箱</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L</w:t>
            </w:r>
          </w:p>
        </w:tc>
        <w:tc>
          <w:tcPr>
            <w:tcW w:w="857" w:type="pct"/>
            <w:vAlign w:val="bottom"/>
          </w:tcPr>
          <w:p>
            <w:pPr>
              <w:jc w:val="center"/>
              <w:rPr>
                <w:sz w:val="18"/>
                <w:szCs w:val="18"/>
              </w:rPr>
            </w:pPr>
            <w:r>
              <w:rPr>
                <w:rFonts w:hint="eastAsia"/>
                <w:sz w:val="18"/>
                <w:szCs w:val="18"/>
              </w:rPr>
              <w:t>450</w:t>
            </w:r>
          </w:p>
        </w:tc>
        <w:tc>
          <w:tcPr>
            <w:tcW w:w="857" w:type="pct"/>
            <w:vAlign w:val="bottom"/>
          </w:tcPr>
          <w:p>
            <w:pPr>
              <w:jc w:val="center"/>
              <w:rPr>
                <w:sz w:val="18"/>
                <w:szCs w:val="18"/>
              </w:rPr>
            </w:pPr>
            <w:r>
              <w:rPr>
                <w:rFonts w:hint="eastAsia"/>
                <w:sz w:val="18"/>
                <w:szCs w:val="18"/>
              </w:rPr>
              <w:t>450</w:t>
            </w:r>
          </w:p>
        </w:tc>
        <w:tc>
          <w:tcPr>
            <w:tcW w:w="968" w:type="pct"/>
            <w:vAlign w:val="bottom"/>
          </w:tcPr>
          <w:p>
            <w:pPr>
              <w:jc w:val="center"/>
              <w:rPr>
                <w:sz w:val="18"/>
                <w:szCs w:val="18"/>
              </w:rPr>
            </w:pPr>
            <w:r>
              <w:rPr>
                <w:rFonts w:hint="eastAsia"/>
                <w:sz w:val="18"/>
                <w:szCs w:val="18"/>
              </w:rPr>
              <w:t>500</w:t>
            </w:r>
          </w:p>
        </w:tc>
        <w:tc>
          <w:tcPr>
            <w:tcW w:w="968" w:type="pct"/>
            <w:vAlign w:val="bottom"/>
          </w:tcPr>
          <w:p>
            <w:pPr>
              <w:jc w:val="center"/>
              <w:rPr>
                <w:sz w:val="18"/>
                <w:szCs w:val="18"/>
              </w:rPr>
            </w:pPr>
            <w:r>
              <w:rPr>
                <w:rFonts w:hint="eastAsia"/>
                <w:sz w:val="18"/>
                <w:szCs w:val="18"/>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液压油箱</w:t>
            </w:r>
          </w:p>
        </w:tc>
        <w:tc>
          <w:tcPr>
            <w:tcW w:w="304" w:type="pct"/>
            <w:noWrap/>
            <w:tcMar>
              <w:top w:w="15" w:type="dxa"/>
              <w:left w:w="15" w:type="dxa"/>
              <w:bottom w:w="0" w:type="dxa"/>
              <w:right w:w="15" w:type="dxa"/>
            </w:tcMar>
            <w:vAlign w:val="bottom"/>
          </w:tcPr>
          <w:p>
            <w:pPr>
              <w:jc w:val="center"/>
              <w:rPr>
                <w:sz w:val="18"/>
                <w:szCs w:val="18"/>
              </w:rPr>
            </w:pPr>
            <w:r>
              <w:rPr>
                <w:rFonts w:hint="eastAsia"/>
                <w:sz w:val="18"/>
                <w:szCs w:val="18"/>
              </w:rPr>
              <w:t>L</w:t>
            </w:r>
          </w:p>
        </w:tc>
        <w:tc>
          <w:tcPr>
            <w:tcW w:w="857" w:type="pct"/>
            <w:vAlign w:val="bottom"/>
          </w:tcPr>
          <w:p>
            <w:pPr>
              <w:jc w:val="center"/>
              <w:rPr>
                <w:sz w:val="18"/>
                <w:szCs w:val="18"/>
              </w:rPr>
            </w:pPr>
            <w:r>
              <w:rPr>
                <w:rFonts w:hint="eastAsia"/>
                <w:sz w:val="18"/>
                <w:szCs w:val="18"/>
              </w:rPr>
              <w:t>236</w:t>
            </w:r>
          </w:p>
        </w:tc>
        <w:tc>
          <w:tcPr>
            <w:tcW w:w="857" w:type="pct"/>
            <w:vAlign w:val="bottom"/>
          </w:tcPr>
          <w:p>
            <w:pPr>
              <w:jc w:val="center"/>
              <w:rPr>
                <w:sz w:val="18"/>
                <w:szCs w:val="18"/>
              </w:rPr>
            </w:pPr>
            <w:r>
              <w:rPr>
                <w:rFonts w:hint="eastAsia"/>
                <w:sz w:val="18"/>
                <w:szCs w:val="18"/>
              </w:rPr>
              <w:t>236</w:t>
            </w:r>
          </w:p>
        </w:tc>
        <w:tc>
          <w:tcPr>
            <w:tcW w:w="968" w:type="pct"/>
            <w:vAlign w:val="bottom"/>
          </w:tcPr>
          <w:p>
            <w:pPr>
              <w:jc w:val="center"/>
              <w:rPr>
                <w:sz w:val="18"/>
                <w:szCs w:val="18"/>
              </w:rPr>
            </w:pPr>
            <w:r>
              <w:rPr>
                <w:rFonts w:hint="eastAsia"/>
                <w:sz w:val="18"/>
                <w:szCs w:val="18"/>
              </w:rPr>
              <w:t>236</w:t>
            </w:r>
          </w:p>
        </w:tc>
        <w:tc>
          <w:tcPr>
            <w:tcW w:w="968" w:type="pct"/>
            <w:vAlign w:val="bottom"/>
          </w:tcPr>
          <w:p>
            <w:pPr>
              <w:jc w:val="center"/>
              <w:rPr>
                <w:sz w:val="18"/>
                <w:szCs w:val="18"/>
              </w:rPr>
            </w:pPr>
            <w:r>
              <w:rPr>
                <w:rFonts w:hint="eastAsia"/>
                <w:sz w:val="18"/>
                <w:szCs w:val="18"/>
              </w:rPr>
              <w:t>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驱动方式</w:t>
            </w:r>
          </w:p>
        </w:tc>
        <w:tc>
          <w:tcPr>
            <w:tcW w:w="304" w:type="pct"/>
            <w:noWrap/>
            <w:tcMar>
              <w:top w:w="15" w:type="dxa"/>
              <w:left w:w="15" w:type="dxa"/>
              <w:bottom w:w="0" w:type="dxa"/>
              <w:right w:w="15" w:type="dxa"/>
            </w:tcMar>
            <w:vAlign w:val="bottom"/>
          </w:tcPr>
          <w:p>
            <w:pPr>
              <w:jc w:val="center"/>
              <w:rPr>
                <w:sz w:val="18"/>
                <w:szCs w:val="18"/>
              </w:rPr>
            </w:pPr>
          </w:p>
        </w:tc>
        <w:tc>
          <w:tcPr>
            <w:tcW w:w="3650" w:type="pct"/>
            <w:gridSpan w:val="4"/>
            <w:vAlign w:val="bottom"/>
          </w:tcPr>
          <w:p>
            <w:pPr>
              <w:jc w:val="center"/>
              <w:rPr>
                <w:sz w:val="18"/>
                <w:szCs w:val="18"/>
              </w:rPr>
            </w:pPr>
            <w:r>
              <w:rPr>
                <w:rFonts w:hint="eastAsia"/>
                <w:sz w:val="18"/>
                <w:szCs w:val="18"/>
              </w:rPr>
              <w:t>液力传动，动力换挡，全轮驱动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行车制动</w:t>
            </w:r>
          </w:p>
        </w:tc>
        <w:tc>
          <w:tcPr>
            <w:tcW w:w="304" w:type="pct"/>
            <w:noWrap/>
            <w:tcMar>
              <w:top w:w="15" w:type="dxa"/>
              <w:left w:w="15" w:type="dxa"/>
              <w:bottom w:w="0" w:type="dxa"/>
              <w:right w:w="15" w:type="dxa"/>
            </w:tcMar>
            <w:vAlign w:val="bottom"/>
          </w:tcPr>
          <w:p>
            <w:pPr>
              <w:jc w:val="center"/>
              <w:rPr>
                <w:sz w:val="18"/>
                <w:szCs w:val="18"/>
              </w:rPr>
            </w:pPr>
          </w:p>
        </w:tc>
        <w:tc>
          <w:tcPr>
            <w:tcW w:w="3650" w:type="pct"/>
            <w:gridSpan w:val="4"/>
            <w:vAlign w:val="bottom"/>
          </w:tcPr>
          <w:p>
            <w:pPr>
              <w:jc w:val="center"/>
              <w:rPr>
                <w:sz w:val="18"/>
                <w:szCs w:val="18"/>
              </w:rPr>
            </w:pPr>
            <w:r>
              <w:rPr>
                <w:rFonts w:hint="eastAsia"/>
                <w:sz w:val="18"/>
                <w:szCs w:val="18"/>
              </w:rPr>
              <w:t>气推油，四轮钳盘制动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驻车/紧急制动</w:t>
            </w:r>
          </w:p>
        </w:tc>
        <w:tc>
          <w:tcPr>
            <w:tcW w:w="304" w:type="pct"/>
            <w:noWrap/>
            <w:tcMar>
              <w:top w:w="15" w:type="dxa"/>
              <w:left w:w="15" w:type="dxa"/>
              <w:bottom w:w="0" w:type="dxa"/>
              <w:right w:w="15" w:type="dxa"/>
            </w:tcMar>
            <w:vAlign w:val="bottom"/>
          </w:tcPr>
          <w:p>
            <w:pPr>
              <w:jc w:val="center"/>
              <w:rPr>
                <w:sz w:val="18"/>
                <w:szCs w:val="18"/>
              </w:rPr>
            </w:pPr>
          </w:p>
        </w:tc>
        <w:tc>
          <w:tcPr>
            <w:tcW w:w="3650" w:type="pct"/>
            <w:gridSpan w:val="4"/>
            <w:vAlign w:val="bottom"/>
          </w:tcPr>
          <w:p>
            <w:pPr>
              <w:jc w:val="center"/>
              <w:rPr>
                <w:sz w:val="18"/>
                <w:szCs w:val="18"/>
              </w:rPr>
            </w:pPr>
            <w:r>
              <w:rPr>
                <w:rFonts w:hint="eastAsia"/>
                <w:sz w:val="18"/>
                <w:szCs w:val="18"/>
              </w:rPr>
              <w:t>机械，涨蹄式制动器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1046" w:type="pct"/>
            <w:noWrap/>
            <w:tcMar>
              <w:top w:w="15" w:type="dxa"/>
              <w:left w:w="15" w:type="dxa"/>
              <w:bottom w:w="0" w:type="dxa"/>
              <w:right w:w="15" w:type="dxa"/>
            </w:tcMar>
            <w:vAlign w:val="bottom"/>
          </w:tcPr>
          <w:p>
            <w:pPr>
              <w:rPr>
                <w:rFonts w:ascii="宋体" w:hAnsi="宋体"/>
                <w:sz w:val="18"/>
                <w:szCs w:val="18"/>
              </w:rPr>
            </w:pPr>
            <w:r>
              <w:rPr>
                <w:rFonts w:hint="eastAsia" w:ascii="宋体" w:hAnsi="宋体"/>
                <w:sz w:val="18"/>
                <w:szCs w:val="18"/>
              </w:rPr>
              <w:t>转向方式</w:t>
            </w:r>
          </w:p>
        </w:tc>
        <w:tc>
          <w:tcPr>
            <w:tcW w:w="304" w:type="pct"/>
            <w:noWrap/>
            <w:tcMar>
              <w:top w:w="15" w:type="dxa"/>
              <w:left w:w="15" w:type="dxa"/>
              <w:bottom w:w="0" w:type="dxa"/>
              <w:right w:w="15" w:type="dxa"/>
            </w:tcMar>
            <w:vAlign w:val="bottom"/>
          </w:tcPr>
          <w:p>
            <w:pPr>
              <w:jc w:val="center"/>
              <w:rPr>
                <w:sz w:val="18"/>
                <w:szCs w:val="18"/>
              </w:rPr>
            </w:pPr>
          </w:p>
        </w:tc>
        <w:tc>
          <w:tcPr>
            <w:tcW w:w="3650" w:type="pct"/>
            <w:gridSpan w:val="4"/>
            <w:vAlign w:val="bottom"/>
          </w:tcPr>
          <w:p>
            <w:pPr>
              <w:jc w:val="center"/>
              <w:rPr>
                <w:sz w:val="18"/>
                <w:szCs w:val="18"/>
              </w:rPr>
            </w:pPr>
            <w:r>
              <w:rPr>
                <w:rFonts w:hint="eastAsia"/>
                <w:sz w:val="18"/>
                <w:szCs w:val="18"/>
              </w:rPr>
              <w:t>液压，中央铰接，可摆动</w:t>
            </w:r>
          </w:p>
        </w:tc>
      </w:tr>
    </w:tbl>
    <w:p/>
    <w:p/>
    <w:p>
      <w:pPr>
        <w:tabs>
          <w:tab w:val="left" w:pos="3885"/>
          <w:tab w:val="left" w:pos="4200"/>
        </w:tabs>
        <w:spacing w:line="600" w:lineRule="exact"/>
        <w:ind w:left="-525" w:leftChars="-250" w:right="-525" w:rightChars="-250" w:firstLine="441" w:firstLineChars="210"/>
        <w:jc w:val="center"/>
      </w:pPr>
    </w:p>
    <w:p>
      <w:pPr>
        <w:rPr>
          <w:szCs w:val="32"/>
        </w:rPr>
      </w:pPr>
      <w:bookmarkStart w:id="0" w:name="_GoBack"/>
      <w:bookmarkEnd w:id="0"/>
    </w:p>
    <w:sectPr>
      <w:headerReference r:id="rId3" w:type="default"/>
      <w:footerReference r:id="rId4" w:type="default"/>
      <w:pgSz w:w="11906" w:h="16838"/>
      <w:pgMar w:top="1361" w:right="1797" w:bottom="1247" w:left="1797" w:header="510"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1134" w:leftChars="-540"/>
      <w:jc w:val="right"/>
    </w:pPr>
    <w:r>
      <w:rPr>
        <w:b/>
        <w:bCs/>
      </w:rPr>
      <w:fldChar w:fldCharType="begin"/>
    </w:r>
    <w:r>
      <w:rPr>
        <w:b/>
        <w:bCs/>
      </w:rPr>
      <w:instrText xml:space="preserve">PAGE  \* Arabic  \* MERGEFORMAT</w:instrText>
    </w:r>
    <w:r>
      <w:rPr>
        <w:b/>
        <w:bCs/>
      </w:rPr>
      <w:fldChar w:fldCharType="separate"/>
    </w:r>
    <w:r>
      <w:rPr>
        <w:b/>
        <w:bCs/>
        <w:lang w:val="zh-CN"/>
      </w:rPr>
      <w:t>3</w:t>
    </w:r>
    <w:r>
      <w:rPr>
        <w:b/>
        <w:bCs/>
      </w:rPr>
      <w:fldChar w:fldCharType="end"/>
    </w:r>
    <w:r>
      <w:rPr>
        <w:lang w:val="zh-CN"/>
      </w:rPr>
      <w:t xml:space="preserve"> / </w:t>
    </w:r>
    <w:r>
      <w:fldChar w:fldCharType="begin"/>
    </w:r>
    <w:r>
      <w:instrText xml:space="preserve">NUMPAGES  \* Arabic  \* MERGEFORMAT</w:instrText>
    </w:r>
    <w:r>
      <w:fldChar w:fldCharType="separate"/>
    </w:r>
    <w:r>
      <w:rPr>
        <w:b/>
        <w:bCs/>
        <w:lang w:val="zh-CN"/>
      </w:rPr>
      <w:t>3</w:t>
    </w:r>
    <w:r>
      <w:fldChar w:fldCharType="end"/>
    </w:r>
    <w:r>
      <w:rPr>
        <w:b/>
        <w:bCs/>
      </w:rPr>
      <w:t xml:space="preserve"> pages</w:t>
    </w:r>
    <w:r>
      <w:drawing>
        <wp:inline distT="0" distB="0" distL="114300" distR="114300">
          <wp:extent cx="7570470" cy="586105"/>
          <wp:effectExtent l="0" t="0" r="1143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7570470" cy="586105"/>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r>
      <w:rPr>
        <w:color w:val="1D2380"/>
      </w:rPr>
      <w:t xml:space="preserve">                    </w:t>
    </w:r>
    <w: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8255"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420745" cy="360680"/>
                  </a:xfrm>
                  <a:prstGeom prst="rect">
                    <a:avLst/>
                  </a:prstGeom>
                  <a:noFill/>
                  <a:ln>
                    <a:noFill/>
                  </a:ln>
                </pic:spPr>
              </pic:pic>
            </a:graphicData>
          </a:graphic>
        </wp:anchor>
      </w:drawing>
    </w:r>
  </w:p>
  <w:p>
    <w:pPr>
      <w:pStyle w:val="7"/>
      <w:pBdr>
        <w:bottom w:val="none" w:color="auto" w:sz="0" w:space="0"/>
      </w:pBdr>
      <w:wordWrap w:val="0"/>
      <w:jc w:val="right"/>
      <w:rPr>
        <w:rFonts w:ascii="Arial" w:hAnsi="Arial" w:cs="Arial"/>
        <w:color w:val="0075C2"/>
        <w:sz w:val="14"/>
        <w:szCs w:val="14"/>
      </w:rPr>
    </w:pPr>
    <w:r>
      <w:rPr>
        <w:rFonts w:ascii="Arial" w:hAnsi="Arial" w:cs="Arial"/>
        <w:color w:val="0075C2"/>
        <w:sz w:val="14"/>
        <w:szCs w:val="14"/>
      </w:rPr>
      <w:t xml:space="preserve">       </w:t>
    </w:r>
  </w:p>
  <w:p>
    <w:pPr>
      <w:pStyle w:val="7"/>
      <w:pBdr>
        <w:bottom w:val="none" w:color="auto" w:sz="0" w:space="0"/>
      </w:pBdr>
      <w:ind w:right="70"/>
      <w:jc w:val="right"/>
    </w:pPr>
    <w:r>
      <w:rPr>
        <w:rFonts w:ascii="Arial" w:hAnsi="Arial" w:cs="Arial"/>
        <w:color w:val="0075C2"/>
        <w:sz w:val="14"/>
        <w:szCs w:val="14"/>
      </w:rPr>
      <w:t xml:space="preserve"> www.sinomach-hi.com</w:t>
    </w:r>
  </w:p>
  <w:p>
    <w:pPr>
      <w:pStyle w:val="7"/>
      <w:jc w:val="left"/>
      <w:rPr>
        <w:color w:val="1D2380"/>
        <w:sz w:val="4"/>
        <w:szCs w:val="4"/>
      </w:rPr>
    </w:pPr>
    <w:r>
      <w:rPr>
        <w:rFonts w:hint="eastAsia"/>
        <w:color w:val="1D23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9"/>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MThlNTJlYzA2NjhiMmMzZmIxN2I0MTQ1MGU1YzkifQ=="/>
  </w:docVars>
  <w:rsids>
    <w:rsidRoot w:val="006A45AB"/>
    <w:rsid w:val="0003498F"/>
    <w:rsid w:val="00062E80"/>
    <w:rsid w:val="00070731"/>
    <w:rsid w:val="00081690"/>
    <w:rsid w:val="000A3BD7"/>
    <w:rsid w:val="000A4B59"/>
    <w:rsid w:val="000F7392"/>
    <w:rsid w:val="00157ACB"/>
    <w:rsid w:val="00173666"/>
    <w:rsid w:val="001A0B0E"/>
    <w:rsid w:val="001E5B47"/>
    <w:rsid w:val="001F723C"/>
    <w:rsid w:val="001F7786"/>
    <w:rsid w:val="00221E2D"/>
    <w:rsid w:val="002E4150"/>
    <w:rsid w:val="002F7DC5"/>
    <w:rsid w:val="00306E5D"/>
    <w:rsid w:val="0034260D"/>
    <w:rsid w:val="00385785"/>
    <w:rsid w:val="00387CB5"/>
    <w:rsid w:val="003D36D8"/>
    <w:rsid w:val="003D389F"/>
    <w:rsid w:val="003F7F7C"/>
    <w:rsid w:val="00401FAC"/>
    <w:rsid w:val="004103C0"/>
    <w:rsid w:val="00451A04"/>
    <w:rsid w:val="00462421"/>
    <w:rsid w:val="00474FB6"/>
    <w:rsid w:val="00475400"/>
    <w:rsid w:val="00480B3B"/>
    <w:rsid w:val="004A0471"/>
    <w:rsid w:val="004B6666"/>
    <w:rsid w:val="004D0051"/>
    <w:rsid w:val="0050153A"/>
    <w:rsid w:val="005111BD"/>
    <w:rsid w:val="005327BD"/>
    <w:rsid w:val="00534478"/>
    <w:rsid w:val="00552857"/>
    <w:rsid w:val="00575FF1"/>
    <w:rsid w:val="00582D8B"/>
    <w:rsid w:val="005C6ADC"/>
    <w:rsid w:val="00604E6B"/>
    <w:rsid w:val="006114EE"/>
    <w:rsid w:val="00612923"/>
    <w:rsid w:val="00670974"/>
    <w:rsid w:val="00671E22"/>
    <w:rsid w:val="0068402D"/>
    <w:rsid w:val="006A45AB"/>
    <w:rsid w:val="006A658D"/>
    <w:rsid w:val="00741CBC"/>
    <w:rsid w:val="00747ED2"/>
    <w:rsid w:val="0075291F"/>
    <w:rsid w:val="00754415"/>
    <w:rsid w:val="007D57F0"/>
    <w:rsid w:val="007F3D9D"/>
    <w:rsid w:val="00835AE1"/>
    <w:rsid w:val="00853B29"/>
    <w:rsid w:val="008C3DAB"/>
    <w:rsid w:val="00996BAC"/>
    <w:rsid w:val="00997699"/>
    <w:rsid w:val="009A4E8F"/>
    <w:rsid w:val="009D2F96"/>
    <w:rsid w:val="009D49A9"/>
    <w:rsid w:val="009E7BF9"/>
    <w:rsid w:val="00A53A61"/>
    <w:rsid w:val="00A57058"/>
    <w:rsid w:val="00A678C0"/>
    <w:rsid w:val="00A82470"/>
    <w:rsid w:val="00A87304"/>
    <w:rsid w:val="00AB27D8"/>
    <w:rsid w:val="00AB48F2"/>
    <w:rsid w:val="00AD7ACD"/>
    <w:rsid w:val="00AF4391"/>
    <w:rsid w:val="00B04113"/>
    <w:rsid w:val="00B05F7C"/>
    <w:rsid w:val="00B62646"/>
    <w:rsid w:val="00B659C4"/>
    <w:rsid w:val="00BF54A5"/>
    <w:rsid w:val="00BF5E79"/>
    <w:rsid w:val="00C07BEB"/>
    <w:rsid w:val="00C14CD1"/>
    <w:rsid w:val="00C2170D"/>
    <w:rsid w:val="00C374FD"/>
    <w:rsid w:val="00C46DA3"/>
    <w:rsid w:val="00C602B2"/>
    <w:rsid w:val="00C602E5"/>
    <w:rsid w:val="00C70FEA"/>
    <w:rsid w:val="00C94315"/>
    <w:rsid w:val="00CA05F0"/>
    <w:rsid w:val="00CA1DF7"/>
    <w:rsid w:val="00D04B73"/>
    <w:rsid w:val="00D14A9D"/>
    <w:rsid w:val="00D15426"/>
    <w:rsid w:val="00D304D9"/>
    <w:rsid w:val="00D35ADE"/>
    <w:rsid w:val="00D55EA4"/>
    <w:rsid w:val="00D73D1D"/>
    <w:rsid w:val="00D9637F"/>
    <w:rsid w:val="00DA0CCB"/>
    <w:rsid w:val="00DA5F80"/>
    <w:rsid w:val="00DE6324"/>
    <w:rsid w:val="00E01AF7"/>
    <w:rsid w:val="00E155AA"/>
    <w:rsid w:val="00E31229"/>
    <w:rsid w:val="00E47650"/>
    <w:rsid w:val="00E93BA5"/>
    <w:rsid w:val="00EB42D3"/>
    <w:rsid w:val="00EF54A3"/>
    <w:rsid w:val="00F03C47"/>
    <w:rsid w:val="00F13BBA"/>
    <w:rsid w:val="00F3163B"/>
    <w:rsid w:val="00F36952"/>
    <w:rsid w:val="00F43586"/>
    <w:rsid w:val="00FA1498"/>
    <w:rsid w:val="00FA4A43"/>
    <w:rsid w:val="00FC0C34"/>
    <w:rsid w:val="00FC1C8B"/>
    <w:rsid w:val="00FC4470"/>
    <w:rsid w:val="00FD15D4"/>
    <w:rsid w:val="00FD2BE8"/>
    <w:rsid w:val="01001B5E"/>
    <w:rsid w:val="01714809"/>
    <w:rsid w:val="01DB7ED5"/>
    <w:rsid w:val="021D04ED"/>
    <w:rsid w:val="03B64756"/>
    <w:rsid w:val="04025BED"/>
    <w:rsid w:val="04BA0275"/>
    <w:rsid w:val="053E2C54"/>
    <w:rsid w:val="054B711F"/>
    <w:rsid w:val="056B76C1"/>
    <w:rsid w:val="0607573C"/>
    <w:rsid w:val="0664626B"/>
    <w:rsid w:val="076646E5"/>
    <w:rsid w:val="08BB280E"/>
    <w:rsid w:val="08CA47FF"/>
    <w:rsid w:val="0AF0679F"/>
    <w:rsid w:val="0C7D0506"/>
    <w:rsid w:val="0C8E2713"/>
    <w:rsid w:val="0CCC6D98"/>
    <w:rsid w:val="0D091D9A"/>
    <w:rsid w:val="0D2F0F31"/>
    <w:rsid w:val="0D9A6E96"/>
    <w:rsid w:val="0DB747EB"/>
    <w:rsid w:val="0E06452B"/>
    <w:rsid w:val="0E1924B1"/>
    <w:rsid w:val="0F1D1B2D"/>
    <w:rsid w:val="0F895414"/>
    <w:rsid w:val="10F16DCD"/>
    <w:rsid w:val="11511F61"/>
    <w:rsid w:val="11875983"/>
    <w:rsid w:val="11B20C52"/>
    <w:rsid w:val="125C471A"/>
    <w:rsid w:val="12FB3F33"/>
    <w:rsid w:val="14447B5C"/>
    <w:rsid w:val="14C33176"/>
    <w:rsid w:val="14D7277E"/>
    <w:rsid w:val="165822B9"/>
    <w:rsid w:val="16A9014A"/>
    <w:rsid w:val="17312619"/>
    <w:rsid w:val="17A32DEB"/>
    <w:rsid w:val="17BD3EAD"/>
    <w:rsid w:val="17D47448"/>
    <w:rsid w:val="18475E6C"/>
    <w:rsid w:val="19650358"/>
    <w:rsid w:val="1B2E4E30"/>
    <w:rsid w:val="1B426584"/>
    <w:rsid w:val="1B8A679C"/>
    <w:rsid w:val="1BCE2A30"/>
    <w:rsid w:val="1C4A5F2B"/>
    <w:rsid w:val="1C550B58"/>
    <w:rsid w:val="1C6172DD"/>
    <w:rsid w:val="1C705992"/>
    <w:rsid w:val="1C7B7E93"/>
    <w:rsid w:val="1E200CF1"/>
    <w:rsid w:val="1E3B1FCF"/>
    <w:rsid w:val="1FBF453A"/>
    <w:rsid w:val="20191E9C"/>
    <w:rsid w:val="20DB1848"/>
    <w:rsid w:val="20F6042F"/>
    <w:rsid w:val="21902632"/>
    <w:rsid w:val="225C2514"/>
    <w:rsid w:val="22673393"/>
    <w:rsid w:val="22CD6922"/>
    <w:rsid w:val="22D24584"/>
    <w:rsid w:val="231D7EF5"/>
    <w:rsid w:val="23272B22"/>
    <w:rsid w:val="26D703BB"/>
    <w:rsid w:val="270D202F"/>
    <w:rsid w:val="2818512F"/>
    <w:rsid w:val="28BA1D43"/>
    <w:rsid w:val="2A0C2A72"/>
    <w:rsid w:val="2B6C1A1A"/>
    <w:rsid w:val="2B9E594C"/>
    <w:rsid w:val="2C02412C"/>
    <w:rsid w:val="2C701096"/>
    <w:rsid w:val="2CFE48F4"/>
    <w:rsid w:val="2ED55B28"/>
    <w:rsid w:val="2FE204FD"/>
    <w:rsid w:val="30C776F3"/>
    <w:rsid w:val="315A0567"/>
    <w:rsid w:val="317F3BED"/>
    <w:rsid w:val="31A31F0E"/>
    <w:rsid w:val="32452FC5"/>
    <w:rsid w:val="33CF0D98"/>
    <w:rsid w:val="34E97C37"/>
    <w:rsid w:val="35FE3BB6"/>
    <w:rsid w:val="365657A0"/>
    <w:rsid w:val="36687282"/>
    <w:rsid w:val="37FD18F5"/>
    <w:rsid w:val="39697599"/>
    <w:rsid w:val="39B822CE"/>
    <w:rsid w:val="3A2D4A6A"/>
    <w:rsid w:val="3A483652"/>
    <w:rsid w:val="3A655FB2"/>
    <w:rsid w:val="3A6D30B9"/>
    <w:rsid w:val="3A720A7C"/>
    <w:rsid w:val="3B3770E9"/>
    <w:rsid w:val="3BE949C1"/>
    <w:rsid w:val="3D121CF5"/>
    <w:rsid w:val="3D22462E"/>
    <w:rsid w:val="3D2A34E3"/>
    <w:rsid w:val="3D98669F"/>
    <w:rsid w:val="3F6F342F"/>
    <w:rsid w:val="3FA23805"/>
    <w:rsid w:val="41F83BB0"/>
    <w:rsid w:val="4320516C"/>
    <w:rsid w:val="466E7CFD"/>
    <w:rsid w:val="47FC5A7C"/>
    <w:rsid w:val="48BA1BBF"/>
    <w:rsid w:val="4ABD7744"/>
    <w:rsid w:val="4ACE1952"/>
    <w:rsid w:val="4AF3760A"/>
    <w:rsid w:val="4B26353C"/>
    <w:rsid w:val="4BC52D55"/>
    <w:rsid w:val="4BE17463"/>
    <w:rsid w:val="4D5C1497"/>
    <w:rsid w:val="4D752558"/>
    <w:rsid w:val="4DA36531"/>
    <w:rsid w:val="4DFF0074"/>
    <w:rsid w:val="4F8B7E11"/>
    <w:rsid w:val="5038161B"/>
    <w:rsid w:val="50F47C38"/>
    <w:rsid w:val="51654692"/>
    <w:rsid w:val="52DD4E28"/>
    <w:rsid w:val="533662E6"/>
    <w:rsid w:val="53A05E55"/>
    <w:rsid w:val="53D8739D"/>
    <w:rsid w:val="575E22AF"/>
    <w:rsid w:val="578A4E52"/>
    <w:rsid w:val="57E427B4"/>
    <w:rsid w:val="583A6878"/>
    <w:rsid w:val="58403763"/>
    <w:rsid w:val="589C4E3D"/>
    <w:rsid w:val="58D5034F"/>
    <w:rsid w:val="59170968"/>
    <w:rsid w:val="592B4413"/>
    <w:rsid w:val="595079D6"/>
    <w:rsid w:val="597E2795"/>
    <w:rsid w:val="5A054C64"/>
    <w:rsid w:val="5A6E0A5B"/>
    <w:rsid w:val="5A8B5169"/>
    <w:rsid w:val="5B286E5C"/>
    <w:rsid w:val="5B8F0C89"/>
    <w:rsid w:val="5BAA5AC3"/>
    <w:rsid w:val="5BBC1352"/>
    <w:rsid w:val="5C967DF5"/>
    <w:rsid w:val="5CA70254"/>
    <w:rsid w:val="5D1C479E"/>
    <w:rsid w:val="5D30024A"/>
    <w:rsid w:val="5D4A130C"/>
    <w:rsid w:val="5DF42709"/>
    <w:rsid w:val="5FE07D05"/>
    <w:rsid w:val="60395667"/>
    <w:rsid w:val="61045C75"/>
    <w:rsid w:val="623460E6"/>
    <w:rsid w:val="62A019CE"/>
    <w:rsid w:val="63D01E3F"/>
    <w:rsid w:val="642503DD"/>
    <w:rsid w:val="64FD4EB5"/>
    <w:rsid w:val="659A0956"/>
    <w:rsid w:val="65AE4402"/>
    <w:rsid w:val="65F173BB"/>
    <w:rsid w:val="6716225F"/>
    <w:rsid w:val="6865349E"/>
    <w:rsid w:val="689773CF"/>
    <w:rsid w:val="68A67612"/>
    <w:rsid w:val="69132EFA"/>
    <w:rsid w:val="69A00505"/>
    <w:rsid w:val="6A0779D8"/>
    <w:rsid w:val="6D6830E8"/>
    <w:rsid w:val="6F1572A0"/>
    <w:rsid w:val="6F8561D3"/>
    <w:rsid w:val="6FF11ABB"/>
    <w:rsid w:val="71041D82"/>
    <w:rsid w:val="719646C8"/>
    <w:rsid w:val="71EA67C2"/>
    <w:rsid w:val="723B526F"/>
    <w:rsid w:val="731A6C33"/>
    <w:rsid w:val="737722D7"/>
    <w:rsid w:val="73BE3A62"/>
    <w:rsid w:val="74123DAE"/>
    <w:rsid w:val="773724A9"/>
    <w:rsid w:val="78063C29"/>
    <w:rsid w:val="78085BF3"/>
    <w:rsid w:val="78AD0549"/>
    <w:rsid w:val="78C23FF4"/>
    <w:rsid w:val="792C5912"/>
    <w:rsid w:val="7AA31C03"/>
    <w:rsid w:val="7B4B6523"/>
    <w:rsid w:val="7CED7166"/>
    <w:rsid w:val="7D537911"/>
    <w:rsid w:val="7DC205F3"/>
    <w:rsid w:val="7E1A042F"/>
    <w:rsid w:val="7E484F9C"/>
    <w:rsid w:val="7F2552DD"/>
    <w:rsid w:val="7F5654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link w:val="15"/>
    <w:qFormat/>
    <w:uiPriority w:val="0"/>
    <w:rPr>
      <w:rFonts w:eastAsia="楷体_GB2312"/>
      <w:sz w:val="30"/>
      <w:szCs w:val="20"/>
    </w:rPr>
  </w:style>
  <w:style w:type="paragraph" w:styleId="4">
    <w:name w:val="Plain Text"/>
    <w:basedOn w:val="1"/>
    <w:link w:val="16"/>
    <w:qFormat/>
    <w:uiPriority w:val="0"/>
    <w:rPr>
      <w:rFonts w:ascii="宋体" w:hAnsi="Courier New"/>
      <w:kern w:val="0"/>
      <w:sz w:val="20"/>
    </w:rPr>
  </w:style>
  <w:style w:type="paragraph" w:styleId="5">
    <w:name w:val="Balloon Text"/>
    <w:basedOn w:val="1"/>
    <w:link w:val="17"/>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Hyperlink"/>
    <w:basedOn w:val="11"/>
    <w:unhideWhenUsed/>
    <w:qFormat/>
    <w:uiPriority w:val="99"/>
    <w:rPr>
      <w:color w:val="0563C1"/>
      <w:u w:val="single"/>
    </w:rPr>
  </w:style>
  <w:style w:type="character" w:customStyle="1" w:styleId="14">
    <w:name w:val="标题 1 Char"/>
    <w:basedOn w:val="11"/>
    <w:link w:val="2"/>
    <w:qFormat/>
    <w:uiPriority w:val="0"/>
    <w:rPr>
      <w:rFonts w:ascii="Times New Roman" w:hAnsi="Times New Roman" w:eastAsia="宋体" w:cs="Times New Roman"/>
      <w:b/>
      <w:bCs/>
      <w:kern w:val="44"/>
      <w:sz w:val="44"/>
      <w:szCs w:val="44"/>
    </w:rPr>
  </w:style>
  <w:style w:type="character" w:customStyle="1" w:styleId="15">
    <w:name w:val="正文文本 Char"/>
    <w:basedOn w:val="11"/>
    <w:link w:val="3"/>
    <w:qFormat/>
    <w:uiPriority w:val="0"/>
    <w:rPr>
      <w:rFonts w:ascii="Times New Roman" w:hAnsi="Times New Roman" w:eastAsia="楷体_GB2312" w:cs="Times New Roman"/>
      <w:sz w:val="30"/>
      <w:szCs w:val="20"/>
    </w:rPr>
  </w:style>
  <w:style w:type="character" w:customStyle="1" w:styleId="16">
    <w:name w:val="纯文本 Char1"/>
    <w:link w:val="4"/>
    <w:qFormat/>
    <w:uiPriority w:val="0"/>
    <w:rPr>
      <w:rFonts w:ascii="宋体" w:hAnsi="Courier New" w:eastAsia="宋体" w:cs="Courier New"/>
      <w:szCs w:val="21"/>
    </w:rPr>
  </w:style>
  <w:style w:type="character" w:customStyle="1" w:styleId="17">
    <w:name w:val="批注框文本 Char"/>
    <w:basedOn w:val="11"/>
    <w:link w:val="5"/>
    <w:semiHidden/>
    <w:qFormat/>
    <w:uiPriority w:val="99"/>
    <w:rPr>
      <w:sz w:val="18"/>
      <w:szCs w:val="18"/>
    </w:rPr>
  </w:style>
  <w:style w:type="character" w:customStyle="1" w:styleId="18">
    <w:name w:val="页脚 Char"/>
    <w:basedOn w:val="11"/>
    <w:link w:val="6"/>
    <w:qFormat/>
    <w:uiPriority w:val="99"/>
    <w:rPr>
      <w:sz w:val="18"/>
      <w:szCs w:val="18"/>
    </w:rPr>
  </w:style>
  <w:style w:type="character" w:customStyle="1" w:styleId="19">
    <w:name w:val="页眉 Char"/>
    <w:basedOn w:val="11"/>
    <w:link w:val="7"/>
    <w:qFormat/>
    <w:uiPriority w:val="99"/>
    <w:rPr>
      <w:sz w:val="18"/>
      <w:szCs w:val="18"/>
    </w:rPr>
  </w:style>
  <w:style w:type="paragraph" w:styleId="20">
    <w:name w:val="List Paragraph"/>
    <w:basedOn w:val="1"/>
    <w:qFormat/>
    <w:uiPriority w:val="99"/>
    <w:pPr>
      <w:ind w:firstLine="420" w:firstLineChars="200"/>
    </w:pPr>
  </w:style>
  <w:style w:type="paragraph" w:styleId="21">
    <w:name w:val="No Spacing"/>
    <w:qFormat/>
    <w:uiPriority w:val="1"/>
    <w:pPr>
      <w:widowControl w:val="0"/>
      <w:jc w:val="both"/>
    </w:pPr>
    <w:rPr>
      <w:rFonts w:ascii="Times New Roman" w:hAnsi="Times New Roman" w:eastAsia="宋体" w:cs="Times New Roman"/>
      <w:kern w:val="2"/>
      <w:sz w:val="21"/>
      <w:szCs w:val="21"/>
      <w:lang w:val="en-US" w:eastAsia="zh-CN" w:bidi="ar-SA"/>
    </w:rPr>
  </w:style>
  <w:style w:type="character" w:customStyle="1" w:styleId="22">
    <w:name w:val="纯文本 Char"/>
    <w:basedOn w:val="11"/>
    <w:semiHidden/>
    <w:qFormat/>
    <w:uiPriority w:val="99"/>
    <w:rPr>
      <w:rFonts w:ascii="宋体" w:hAnsi="Courier New" w:eastAsia="宋体" w:cs="Courier New"/>
      <w:szCs w:val="21"/>
    </w:rPr>
  </w:style>
  <w:style w:type="character" w:customStyle="1" w:styleId="23">
    <w:name w:val="style11"/>
    <w:basedOn w:val="11"/>
    <w:qFormat/>
    <w:uiPriority w:val="0"/>
    <w:rPr>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36164;&#26009;&#24211;\&#40857;&#33150;&#39033;&#30446;\87&#24120;&#26519;&#32929;&#20221;\&#24120;&#26519;&#25991;&#21270;&#23454;&#26045;\019&#25552;&#20132;&#25104;&#26524;\WORD+PPT&#27169;&#26495;\WORD&#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WORD模板.dotx</Template>
  <Company>http:/sdwm.org</Company>
  <Pages>3</Pages>
  <Words>865</Words>
  <Characters>2241</Characters>
  <Lines>12</Lines>
  <Paragraphs>3</Paragraphs>
  <TotalTime>1</TotalTime>
  <ScaleCrop>false</ScaleCrop>
  <LinksUpToDate>false</LinksUpToDate>
  <CharactersWithSpaces>2496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2023-03-17T00:18:00Z</dcterms:created>
  <dc:creator>Think</dc:creator>
  <cp:lastModifiedBy>HP</cp:lastModifiedBy>
  <dcterms:modified xsi:type="dcterms:W3CDTF">2023-08-14T12:50:40Z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36D28DB1481048C884F3786DC87AC30B_13</vt:lpwstr>
  </property>
</Properties>
</file>