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1、630A图片</w:t>
      </w:r>
    </w:p>
    <w:p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drawing>
          <wp:inline distT="0" distB="0" distL="0" distR="0">
            <wp:extent cx="6120130" cy="4108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2、630A性能参数 Specification</w:t>
      </w:r>
    </w:p>
    <w:tbl>
      <w:tblPr>
        <w:tblStyle w:val="18"/>
        <w:tblW w:w="10216" w:type="dxa"/>
        <w:tblInd w:w="-823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"/>
        <w:gridCol w:w="2127"/>
        <w:gridCol w:w="1545"/>
        <w:gridCol w:w="757"/>
        <w:gridCol w:w="1185"/>
        <w:gridCol w:w="743"/>
        <w:gridCol w:w="23"/>
        <w:gridCol w:w="1176"/>
        <w:gridCol w:w="230"/>
        <w:gridCol w:w="1863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9"/>
              <w:keepNext/>
              <w:numPr>
                <w:ilvl w:val="0"/>
                <w:numId w:val="1"/>
              </w:numPr>
              <w:spacing w:line="360" w:lineRule="auto"/>
              <w:ind w:firstLineChars="0"/>
              <w:outlineLvl w:val="1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Overall Dimension</w:t>
            </w:r>
            <w:r>
              <w:rPr>
                <w:rFonts w:hint="eastAsia" w:ascii="Arial" w:hAnsi="Arial" w:cs="Arial"/>
                <w:b/>
                <w:bCs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总尺寸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1" w:hRule="atLeast"/>
        </w:trPr>
        <w:tc>
          <w:tcPr>
            <w:tcW w:w="567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6380" w:type="dxa"/>
            <w:gridSpan w:val="6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Length(with bucket on ground)</w:t>
            </w:r>
            <w:r>
              <w:rPr>
                <w:rFonts w:hint="eastAsia" w:ascii="Arial" w:hAnsi="Arial" w:eastAsia="楷体_GB2312" w:cs="Arial"/>
                <w:sz w:val="24"/>
              </w:rPr>
              <w:t>总长（铲斗放置地面）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Standard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Telescopic arm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1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</w:pPr>
          </w:p>
        </w:tc>
        <w:tc>
          <w:tcPr>
            <w:tcW w:w="6380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</w:pPr>
            <w:r>
              <w:rPr>
                <w:rFonts w:ascii="Arial" w:hAnsi="Arial" w:eastAsia="楷体_GB2312" w:cs="Arial"/>
                <w:sz w:val="24"/>
              </w:rPr>
              <w:t>7085(mm)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7272</w:t>
            </w:r>
            <w:r>
              <w:rPr>
                <w:rFonts w:ascii="Arial" w:hAnsi="Arial" w:eastAsia="楷体_GB2312" w:cs="Arial"/>
                <w:color w:val="FF0000"/>
                <w:sz w:val="24"/>
              </w:rPr>
              <w:t>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Width</w:t>
            </w:r>
            <w:r>
              <w:rPr>
                <w:rFonts w:hint="eastAsia" w:ascii="Arial" w:hAnsi="Arial" w:eastAsia="楷体_GB2312" w:cs="Arial"/>
                <w:sz w:val="24"/>
              </w:rPr>
              <w:t>总宽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2313(mm)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Load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</w:t>
            </w:r>
            <w:r>
              <w:rPr>
                <w:rFonts w:ascii="Arial" w:hAnsi="Arial" w:eastAsia="楷体_GB2312" w:cs="Arial"/>
                <w:sz w:val="24"/>
              </w:rPr>
              <w:t>Bucket width</w:t>
            </w:r>
            <w:r>
              <w:rPr>
                <w:rFonts w:hint="eastAsia" w:ascii="Arial" w:hAnsi="Arial" w:eastAsia="楷体_GB2312" w:cs="Arial"/>
                <w:sz w:val="24"/>
              </w:rPr>
              <w:t>铲斗宽度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2313(mm)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sz w:val="24"/>
              </w:rPr>
              <w:t>高度（到驾驶室顶）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2710 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7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638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digging pole)</w:t>
            </w:r>
            <w:r>
              <w:rPr>
                <w:rFonts w:hint="eastAsia" w:ascii="Arial" w:hAnsi="Arial" w:eastAsia="楷体_GB2312" w:cs="Arial"/>
                <w:sz w:val="24"/>
              </w:rPr>
              <w:t>整机高度</w:t>
            </w:r>
            <w:r>
              <w:rPr>
                <w:rFonts w:ascii="Arial" w:hAnsi="Arial" w:eastAsia="楷体_GB2312" w:cs="Arial"/>
                <w:sz w:val="24"/>
              </w:rPr>
              <w:t>(</w:t>
            </w:r>
            <w:r>
              <w:rPr>
                <w:rFonts w:hint="eastAsia" w:ascii="Arial" w:hAnsi="Arial" w:eastAsia="楷体_GB2312" w:cs="Arial"/>
                <w:sz w:val="24"/>
              </w:rPr>
              <w:t>到挖掘臂顶部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Standard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Telescopic arm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7" w:hRule="atLeast"/>
        </w:trPr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</w:pPr>
          </w:p>
        </w:tc>
        <w:tc>
          <w:tcPr>
            <w:tcW w:w="6380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</w:pPr>
            <w:r>
              <w:rPr>
                <w:rFonts w:ascii="Arial" w:hAnsi="Arial" w:eastAsia="楷体_GB2312" w:cs="Arial"/>
                <w:sz w:val="24"/>
              </w:rPr>
              <w:t>3424 (mm)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3457</w:t>
            </w:r>
            <w:r>
              <w:rPr>
                <w:rFonts w:ascii="Arial" w:hAnsi="Arial" w:eastAsia="楷体_GB2312" w:cs="Arial"/>
                <w:color w:val="FF0000"/>
                <w:sz w:val="24"/>
              </w:rPr>
              <w:t>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sz w:val="24"/>
              </w:rPr>
              <w:t>轴距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2155.5(mm)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7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Back wheel Tread</w:t>
            </w:r>
            <w:r>
              <w:rPr>
                <w:rFonts w:hint="eastAsia" w:ascii="Arial" w:hAnsi="Arial" w:eastAsia="楷体_GB2312" w:cs="Arial"/>
                <w:sz w:val="24"/>
              </w:rPr>
              <w:t>后轮轮距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1700(mm)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8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Fore wheel Tread</w:t>
            </w:r>
            <w:r>
              <w:rPr>
                <w:rFonts w:hint="eastAsia" w:ascii="Arial" w:hAnsi="Arial" w:eastAsia="楷体_GB2312" w:cs="Arial"/>
                <w:sz w:val="24"/>
              </w:rPr>
              <w:t>前轮轮距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1880(mm)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Min. ground clearance</w:t>
            </w:r>
            <w:r>
              <w:rPr>
                <w:rFonts w:hint="eastAsia" w:ascii="Arial" w:hAnsi="Arial" w:eastAsia="楷体_GB2312" w:cs="Arial"/>
                <w:sz w:val="24"/>
              </w:rPr>
              <w:t>最小离地间隙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355(mm) for 2WD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275(mm) for 4WD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9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Main Loading Technical Specification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装载主要技术参数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load</w:t>
            </w:r>
            <w:r>
              <w:rPr>
                <w:rFonts w:hint="eastAsia" w:ascii="Arial" w:hAnsi="Arial" w:eastAsia="楷体_GB2312" w:cs="Arial"/>
                <w:sz w:val="24"/>
              </w:rPr>
              <w:t>额定载重量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1700(Kg)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sz w:val="24"/>
              </w:rPr>
              <w:t>操作重量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7600</w:t>
            </w:r>
            <w:r>
              <w:rPr>
                <w:rFonts w:hint="eastAsia" w:ascii="Arial" w:hAns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KG</w:t>
            </w:r>
            <w:r>
              <w:rPr>
                <w:rFonts w:hint="eastAsia" w:ascii="Arial" w:hAnsi="Arial" w:eastAsia="楷体_GB2312" w:cs="Arial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bucket capacity</w:t>
            </w:r>
            <w:r>
              <w:rPr>
                <w:rFonts w:hint="eastAsia" w:ascii="Arial" w:hAnsi="Arial" w:eastAsia="楷体_GB2312" w:cs="Arial"/>
                <w:sz w:val="24"/>
              </w:rPr>
              <w:t>额定斗容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1.0(m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dump clearance</w:t>
            </w:r>
            <w:r>
              <w:rPr>
                <w:rFonts w:hint="eastAsia" w:ascii="Arial" w:hAnsi="Arial" w:eastAsia="楷体_GB2312" w:cs="Arial"/>
                <w:sz w:val="24"/>
              </w:rPr>
              <w:t>最大卸载高度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2714(mm)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Dump reach</w:t>
            </w:r>
            <w:r>
              <w:rPr>
                <w:rFonts w:hint="eastAsia" w:ascii="Arial" w:hAnsi="Arial" w:eastAsia="楷体_GB2312" w:cs="Arial"/>
                <w:sz w:val="24"/>
              </w:rPr>
              <w:t>卸载距离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845(mm)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Min. turning radius</w:t>
            </w:r>
            <w:r>
              <w:rPr>
                <w:rFonts w:hint="eastAsia" w:ascii="Arial" w:hAnsi="Arial" w:eastAsia="楷体_GB2312" w:cs="Arial"/>
                <w:sz w:val="24"/>
              </w:rPr>
              <w:t>最小转弯半径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(1) Outside of bucket </w:t>
            </w:r>
            <w:r>
              <w:rPr>
                <w:rFonts w:hint="eastAsia" w:ascii="Arial" w:hAnsi="Arial" w:eastAsia="楷体_GB2312" w:cs="Arial"/>
                <w:sz w:val="24"/>
              </w:rPr>
              <w:t>以铲斗边缘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5280(mm) for 2WD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5670(mm) for 4WD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(2) Center of front wheel</w:t>
            </w:r>
            <w:r>
              <w:rPr>
                <w:rFonts w:hint="eastAsia" w:ascii="Arial" w:hAnsi="Arial" w:eastAsia="楷体_GB2312" w:cs="Arial"/>
                <w:sz w:val="24"/>
              </w:rPr>
              <w:t>以前轮胎痕迹中心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3795 (mm) for 2WD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4380(mm) for 4WD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7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Max lifting capability </w:t>
            </w:r>
            <w:r>
              <w:rPr>
                <w:rFonts w:hint="eastAsia" w:ascii="Arial" w:hAnsi="Arial" w:eastAsia="楷体_GB2312" w:cs="Arial"/>
                <w:sz w:val="24"/>
              </w:rPr>
              <w:t>最大提升能力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3400KG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8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load breakout force</w:t>
            </w:r>
            <w:r>
              <w:rPr>
                <w:rFonts w:hint="eastAsia" w:ascii="Arial" w:hAnsi="Arial" w:eastAsia="楷体_GB2312" w:cs="Arial"/>
                <w:sz w:val="24"/>
              </w:rPr>
              <w:t>最大掘起力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&gt;60kN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before="240" w:line="240" w:lineRule="atLeast"/>
              <w:jc w:val="lef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Main Digging Technical Specification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挖掘主要技术参数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digging bucket capacity</w:t>
            </w:r>
            <w:r>
              <w:rPr>
                <w:rFonts w:hint="eastAsia" w:ascii="Arial" w:hAnsi="Arial" w:eastAsia="楷体_GB2312" w:cs="Arial"/>
                <w:sz w:val="24"/>
              </w:rPr>
              <w:t>额定挖掘斗斗容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0.3(m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Arm and Boom斗杆和动臂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0"/>
              <w:jc w:val="center"/>
              <w:rPr>
                <w:rFonts w:hint="eastAsia" w:ascii="Arial" w:hAnsi="Arial" w:eastAsia="楷体_GB2312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Standard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0"/>
              <w:jc w:val="center"/>
              <w:rPr>
                <w:rFonts w:hint="eastAsia" w:ascii="Arial" w:hAnsi="Arial" w:eastAsia="楷体_GB2312" w:cs="Arial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Telescopic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.1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digging depth</w:t>
            </w:r>
            <w:r>
              <w:rPr>
                <w:rFonts w:hint="eastAsia" w:ascii="Arial" w:hAnsi="Arial" w:eastAsia="楷体_GB2312" w:cs="Arial"/>
                <w:sz w:val="24"/>
              </w:rPr>
              <w:t>最大挖掘深度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4405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4550</w:t>
            </w: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-</w:t>
            </w: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5550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2.2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digging radius</w:t>
            </w:r>
            <w:r>
              <w:rPr>
                <w:rFonts w:hint="eastAsia" w:ascii="Arial" w:hAnsi="Arial" w:eastAsia="楷体_GB2312" w:cs="Arial"/>
                <w:sz w:val="24"/>
              </w:rPr>
              <w:t>最大挖掘半径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5481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5695</w:t>
            </w: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-</w:t>
            </w: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6685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2.3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Max. dumping height </w:t>
            </w:r>
            <w:r>
              <w:rPr>
                <w:rFonts w:hint="eastAsia" w:ascii="Arial" w:hAnsi="Arial" w:eastAsia="楷体_GB2312" w:cs="Arial"/>
                <w:sz w:val="24"/>
              </w:rPr>
              <w:t>最大卸载高度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3737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400</w:t>
            </w:r>
            <w:r>
              <w:rPr>
                <w:rFonts w:hint="eastAsia" w:ascii="Arial" w:hAnsi="Arial" w:eastAsia="楷体_GB2312" w:cs="Arial"/>
                <w:color w:val="FF0000"/>
                <w:sz w:val="24"/>
                <w:lang w:val="en-US" w:eastAsia="zh-CN"/>
              </w:rPr>
              <w:t>8-</w:t>
            </w:r>
            <w:r>
              <w:rPr>
                <w:rFonts w:hint="eastAsia" w:ascii="Arial" w:hAnsi="Arial" w:eastAsia="楷体_GB2312" w:cs="Arial"/>
                <w:color w:val="FF0000"/>
                <w:sz w:val="24"/>
              </w:rPr>
              <w:t>4950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sz w:val="24"/>
                <w:lang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3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digging  force</w:t>
            </w:r>
            <w:r>
              <w:rPr>
                <w:rFonts w:hint="eastAsia" w:ascii="Arial" w:hAnsi="Arial" w:eastAsia="楷体_GB2312" w:cs="Arial"/>
                <w:sz w:val="24"/>
              </w:rPr>
              <w:t>最大挖掘力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&gt;50</w:t>
            </w:r>
            <w:r>
              <w:rPr>
                <w:rFonts w:ascii="Arial" w:hAnsi="Arial" w:eastAsia="楷体_GB2312" w:cs="Arial"/>
                <w:sz w:val="24"/>
                <w:u w:val="single"/>
              </w:rPr>
              <w:t>+</w:t>
            </w:r>
            <w:r>
              <w:rPr>
                <w:rFonts w:ascii="Arial" w:hAnsi="Arial" w:eastAsia="楷体_GB2312" w:cs="Arial"/>
                <w:sz w:val="24"/>
              </w:rPr>
              <w:t>10</w:t>
            </w:r>
            <w:r>
              <w:rPr>
                <w:rFonts w:hint="eastAsia" w:ascii="Arial" w:hAnsi="Arial" w:eastAsia="楷体_GB2312" w:cs="Arial"/>
                <w:sz w:val="24"/>
              </w:rPr>
              <w:t>％</w:t>
            </w:r>
            <w:r>
              <w:rPr>
                <w:rFonts w:ascii="Arial" w:hAnsi="Arial" w:eastAsia="楷体_GB2312" w:cs="Arial"/>
                <w:sz w:val="24"/>
              </w:rPr>
              <w:t>kN(</w:t>
            </w:r>
            <w:r>
              <w:rPr>
                <w:rFonts w:hint="eastAsia" w:ascii="Arial" w:hAnsi="Arial" w:eastAsia="楷体_GB2312" w:cs="Arial"/>
                <w:sz w:val="24"/>
              </w:rPr>
              <w:t>斗刃）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9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发动机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</w:rPr>
            </w:pPr>
            <w:r>
              <w:rPr>
                <w:rFonts w:hint="eastAsia" w:ascii="Arial" w:hAnsi="Arial" w:eastAsia="楷体_GB2312" w:cs="Arial"/>
              </w:rPr>
              <w:t>WEICHAI</w:t>
            </w:r>
          </w:p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</w:rPr>
              <w:t>WP4G95E221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" w:hAnsi="Arial" w:eastAsia="楷体_GB2312" w:cs="Arial"/>
              </w:rPr>
            </w:pPr>
            <w:r>
              <w:rPr>
                <w:rFonts w:hint="eastAsia" w:ascii="Arial" w:hAnsi="Arial" w:eastAsia="楷体_GB2312" w:cs="Arial"/>
              </w:rPr>
              <w:t>Cummins</w:t>
            </w:r>
          </w:p>
          <w:p>
            <w:pPr>
              <w:adjustRightInd w:val="0"/>
              <w:snapToGrid w:val="0"/>
              <w:jc w:val="center"/>
              <w:rPr>
                <w:rFonts w:hint="eastAsia" w:ascii="Arial" w:hAnsi="Arial" w:eastAsia="楷体_GB2312" w:cs="Arial"/>
              </w:rPr>
            </w:pPr>
            <w:r>
              <w:rPr>
                <w:rFonts w:ascii="Arial" w:hAnsi="Arial" w:eastAsia="楷体_GB2312" w:cs="Arial"/>
              </w:rPr>
              <w:t>4BTA3.9-C110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</w:rPr>
            </w:pPr>
            <w:r>
              <w:rPr>
                <w:rFonts w:hint="eastAsia" w:ascii="Arial" w:hAnsi="Arial" w:eastAsia="楷体_GB2312" w:cs="Arial"/>
              </w:rPr>
              <w:t>WEICHAI</w:t>
            </w:r>
          </w:p>
          <w:p>
            <w:pPr>
              <w:jc w:val="center"/>
              <w:rPr>
                <w:rFonts w:ascii="Arial" w:hAnsi="Arial" w:eastAsia="楷体_GB2312" w:cs="Arial"/>
              </w:rPr>
            </w:pPr>
            <w:r>
              <w:rPr>
                <w:rFonts w:ascii="Arial" w:hAnsi="Arial" w:eastAsia="楷体_GB2312" w:cs="Arial"/>
              </w:rPr>
              <w:t>WP4.1G100E311</w:t>
            </w:r>
          </w:p>
          <w:p>
            <w:pPr>
              <w:jc w:val="center"/>
              <w:rPr>
                <w:rFonts w:hint="eastAsia" w:ascii="Arial" w:hAnsi="Arial" w:eastAsia="楷体_GB2312" w:cs="Arial"/>
              </w:rPr>
            </w:pPr>
            <w:r>
              <w:rPr>
                <w:rFonts w:hint="eastAsia" w:ascii="Arial" w:hAnsi="Arial" w:eastAsia="楷体_GB2312" w:cs="Arial"/>
              </w:rPr>
              <w:t>TIER</w:t>
            </w:r>
            <w:r>
              <w:rPr>
                <w:rFonts w:ascii="Arial" w:hAnsi="Arial" w:eastAsia="楷体_GB2312" w:cs="Arial"/>
              </w:rPr>
              <w:t xml:space="preserve"> </w:t>
            </w:r>
            <w:r>
              <w:rPr>
                <w:rFonts w:hint="eastAsia" w:ascii="Arial" w:hAnsi="Arial" w:eastAsia="楷体_GB2312" w:cs="Arial"/>
              </w:rPr>
              <w:t>III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Direct injection. Turbocharged. Water cooling</w:t>
            </w:r>
          </w:p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直列、增压、水冷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Direct injection. Turbocharged. Water cooling</w:t>
            </w:r>
          </w:p>
          <w:p>
            <w:pPr>
              <w:widowControl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直列、增压、水冷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电喷、增压、水冷</w:t>
            </w:r>
          </w:p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sz w:val="24"/>
              </w:rPr>
              <w:t>额定功率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70 (kW)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82 (kW)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74 (kW)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Total exhaust of cylinder</w:t>
            </w:r>
            <w:r>
              <w:rPr>
                <w:rFonts w:hint="eastAsia" w:ascii="Arial" w:hAnsi="Arial" w:eastAsia="楷体_GB2312" w:cs="Arial"/>
                <w:sz w:val="24"/>
              </w:rPr>
              <w:t>排气量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4.5(L)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3.9(L)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4.088(L)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9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sz w:val="24"/>
              </w:rPr>
              <w:t>额定转速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2200(r/min)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2200(r/min)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2200(r/min)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10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sz w:val="24"/>
              </w:rPr>
              <w:t>最大扭矩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380(N.M)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460(N.M)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420(N.M)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9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Transmission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传动系统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bCs/>
                <w:sz w:val="24"/>
              </w:rPr>
              <w:t>Torque Converter</w:t>
            </w:r>
            <w:r>
              <w:rPr>
                <w:rFonts w:hint="eastAsia" w:ascii="Arial" w:hAnsi="Arial" w:eastAsia="楷体_GB2312" w:cs="Arial"/>
                <w:bCs/>
                <w:sz w:val="24"/>
              </w:rPr>
              <w:t>液力变矩器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CARRARO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Cooling type </w:t>
            </w:r>
            <w:r>
              <w:rPr>
                <w:rFonts w:hint="eastAsia" w:ascii="Arial" w:hAnsi="Arial" w:eastAsia="楷体_GB2312" w:cs="Arial"/>
                <w:sz w:val="24"/>
              </w:rPr>
              <w:t>冷却方式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Pressure oil circulating</w:t>
            </w:r>
            <w:r>
              <w:rPr>
                <w:rFonts w:hint="eastAsia" w:ascii="Arial" w:hAnsi="Arial" w:eastAsia="楷体_GB2312" w:cs="Arial"/>
                <w:sz w:val="24"/>
              </w:rPr>
              <w:t>压力油循环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bCs/>
                <w:sz w:val="24"/>
              </w:rPr>
              <w:t>Transmission case</w:t>
            </w:r>
            <w:r>
              <w:rPr>
                <w:rFonts w:hint="eastAsia" w:ascii="Arial" w:hAnsi="Arial" w:eastAsia="楷体_GB2312" w:cs="Arial"/>
                <w:bCs/>
                <w:sz w:val="24"/>
              </w:rPr>
              <w:t>变速箱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CARRARO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Synchromesh mechanical shift  </w:t>
            </w:r>
            <w:r>
              <w:rPr>
                <w:rFonts w:hint="eastAsia" w:ascii="Arial" w:hAnsi="Arial" w:eastAsia="楷体_GB2312" w:cs="Arial"/>
                <w:sz w:val="24"/>
              </w:rPr>
              <w:t>同步机械换档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bCs/>
                <w:sz w:val="24"/>
              </w:rPr>
              <w:t>Axle and Tire</w:t>
            </w:r>
            <w:r>
              <w:rPr>
                <w:rFonts w:hint="eastAsia" w:ascii="Arial" w:hAnsi="Arial" w:eastAsia="楷体_GB2312" w:cs="Arial"/>
                <w:bCs/>
                <w:sz w:val="24"/>
              </w:rPr>
              <w:t>桥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CARRARO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bCs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main reducer</w:t>
            </w:r>
          </w:p>
          <w:p>
            <w:pPr>
              <w:spacing w:before="240" w:line="24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主传动形式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exac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spiral bevel gear, single stage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单级螺旋伞齿轮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bCs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final reducer</w:t>
            </w:r>
          </w:p>
          <w:p>
            <w:pPr>
              <w:spacing w:before="240" w:line="24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终传动形式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exac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Single stage planetary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单级行星轮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Gear shift position</w:t>
            </w:r>
            <w:r>
              <w:rPr>
                <w:rFonts w:hint="eastAsia" w:ascii="Arial" w:hAnsi="Arial" w:eastAsia="楷体_GB2312" w:cs="Arial"/>
                <w:sz w:val="24"/>
              </w:rPr>
              <w:t>档位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 xml:space="preserve">4 </w:t>
            </w:r>
            <w:r>
              <w:rPr>
                <w:rFonts w:ascii="Arial" w:hAnsi="Arial" w:eastAsia="楷体_GB2312" w:cs="Arial"/>
                <w:sz w:val="24"/>
              </w:rPr>
              <w:t>F</w:t>
            </w:r>
            <w:r>
              <w:rPr>
                <w:rFonts w:hint="eastAsia" w:ascii="Arial" w:hAnsi="Arial" w:eastAsia="楷体_GB2312" w:cs="Arial"/>
                <w:sz w:val="24"/>
              </w:rPr>
              <w:t>、</w:t>
            </w:r>
            <w:r>
              <w:rPr>
                <w:rFonts w:ascii="Arial" w:hAnsi="Arial" w:eastAsia="楷体_GB2312" w:cs="Arial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4</w:t>
            </w:r>
            <w:r>
              <w:rPr>
                <w:rFonts w:ascii="Arial" w:hAnsi="Arial" w:eastAsia="楷体_GB2312" w:cs="Arial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R前四后四档位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Speed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速度（F/R）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6</w:t>
            </w:r>
            <w:r>
              <w:rPr>
                <w:rFonts w:hint="eastAsia" w:ascii="Arial" w:hAnsi="Arial" w:eastAsia="楷体_GB2312" w:cs="Arial"/>
                <w:sz w:val="24"/>
              </w:rPr>
              <w:t>/6，</w:t>
            </w:r>
            <w:r>
              <w:rPr>
                <w:rFonts w:ascii="Arial" w:hAnsi="Arial" w:eastAsia="楷体_GB2312" w:cs="Arial"/>
                <w:sz w:val="24"/>
              </w:rPr>
              <w:t>9.6</w:t>
            </w:r>
            <w:r>
              <w:rPr>
                <w:rFonts w:hint="eastAsia" w:ascii="Arial" w:hAnsi="Arial" w:eastAsia="楷体_GB2312" w:cs="Arial"/>
                <w:sz w:val="24"/>
              </w:rPr>
              <w:t>/9.6，</w:t>
            </w:r>
            <w:r>
              <w:rPr>
                <w:rFonts w:ascii="Arial" w:hAnsi="Arial" w:eastAsia="楷体_GB2312" w:cs="Arial"/>
                <w:sz w:val="24"/>
              </w:rPr>
              <w:t>20.5</w:t>
            </w:r>
            <w:r>
              <w:rPr>
                <w:rFonts w:hint="eastAsia" w:ascii="Arial" w:hAnsi="Arial" w:eastAsia="楷体_GB2312" w:cs="Arial"/>
                <w:sz w:val="24"/>
              </w:rPr>
              <w:t>/20.5，</w:t>
            </w:r>
            <w:r>
              <w:rPr>
                <w:rFonts w:ascii="Arial" w:hAnsi="Arial" w:eastAsia="楷体_GB2312" w:cs="Arial"/>
                <w:sz w:val="24"/>
              </w:rPr>
              <w:t>38</w:t>
            </w:r>
            <w:r>
              <w:rPr>
                <w:rFonts w:hint="eastAsia" w:ascii="Arial" w:hAnsi="Arial" w:eastAsia="楷体_GB2312" w:cs="Arial"/>
                <w:sz w:val="24"/>
              </w:rPr>
              <w:t>/38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ax. drawing force最大牵引力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70kN</w:t>
            </w:r>
            <w:r>
              <w:rPr>
                <w:rFonts w:hint="eastAsia" w:ascii="Arial" w:hAns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4WD</w:t>
            </w:r>
            <w:r>
              <w:rPr>
                <w:rFonts w:hint="eastAsia" w:ascii="Arial" w:hAnsi="Arial" w:eastAsia="楷体_GB2312" w:cs="Arial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7</w:t>
            </w: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Size of tire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轮胎型号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前轮</w:t>
            </w:r>
          </w:p>
        </w:tc>
        <w:tc>
          <w:tcPr>
            <w:tcW w:w="5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Cs w:val="21"/>
              </w:rPr>
            </w:pPr>
            <w:r>
              <w:rPr>
                <w:rFonts w:hint="eastAsia" w:ascii="Arial" w:hAnsi="Arial" w:eastAsia="楷体_GB2312" w:cs="Arial"/>
                <w:color w:val="auto"/>
                <w:szCs w:val="21"/>
              </w:rPr>
              <w:t>12-16.5TL-12PR RG400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Cs w:val="21"/>
              </w:rPr>
              <w:t>（2WD/4WD）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</w:p>
        </w:tc>
        <w:tc>
          <w:tcPr>
            <w:tcW w:w="3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后轮</w:t>
            </w:r>
          </w:p>
        </w:tc>
        <w:tc>
          <w:tcPr>
            <w:tcW w:w="5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Cs w:val="21"/>
              </w:rPr>
              <w:t>19.5L-24TL-12PR R-4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9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Working Hydraulic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工作液压系统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oil pump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工作油泵型号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JHP2063C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系统压力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230(kgf/cm</w:t>
            </w:r>
            <w:r>
              <w:rPr>
                <w:rFonts w:ascii="Arial" w:hAnsi="Arial" w:eastAsia="楷体_GB2312" w:cs="Arial"/>
                <w:color w:val="auto"/>
                <w:sz w:val="24"/>
                <w:vertAlign w:val="superscript"/>
              </w:rPr>
              <w:t>2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1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Multi-way directional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valve </w:t>
            </w:r>
          </w:p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多路阀型号</w:t>
            </w:r>
          </w:p>
        </w:tc>
        <w:tc>
          <w:tcPr>
            <w:tcW w:w="4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机械操纵Mechanical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Control：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</w:rPr>
              <w:t>ZL20.3S4C-00</w:t>
            </w:r>
            <w:r>
              <w:rPr>
                <w:rFonts w:hint="eastAsia" w:ascii="Arial" w:hAnsi="Arial" w:cs="Arial"/>
                <w:color w:val="auto"/>
              </w:rPr>
              <w:t>、</w:t>
            </w:r>
            <w:r>
              <w:rPr>
                <w:rFonts w:ascii="Arial" w:hAnsi="Arial" w:cs="Arial"/>
                <w:color w:val="auto"/>
              </w:rPr>
              <w:t>WJ20.7SC4-00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" w:hRule="atLeast"/>
        </w:trPr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</w:p>
        </w:tc>
        <w:tc>
          <w:tcPr>
            <w:tcW w:w="21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</w:p>
        </w:tc>
        <w:tc>
          <w:tcPr>
            <w:tcW w:w="4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先导操纵 Pilot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Control：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ZL20.3YC-00、WJ20.7YC-00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6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Priority（Optional） pressure 先导（选装）压力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 Mpa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9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Steering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转向系统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steering pump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转向泵型号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JHP2063C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redirector  转向器型号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ind w:right="-73" w:rightChars="-35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BZZ5-E160BG-1+FKB-3020C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Model of priority valve 优先阀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YXL-F160L-16N7-D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6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转向系统压力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140(kgf/cm</w:t>
            </w:r>
            <w:r>
              <w:rPr>
                <w:rFonts w:ascii="Arial" w:hAnsi="Arial" w:eastAsia="楷体_GB2312" w:cs="Arial"/>
                <w:color w:val="auto"/>
                <w:sz w:val="24"/>
                <w:vertAlign w:val="superscript"/>
              </w:rPr>
              <w:t>2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9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制动系统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Type of traveling brake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行车制动形式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全液压免维护湿式制动，双踏板控制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Full hydraulic maintenance-free wet brakes, two-pedal control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停车制动形式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软轴操纵，湿式制动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Flexible shaft control, wet 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type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braking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1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9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加油量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燃油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151(L)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Engine lubricating oil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机油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11(L)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（国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发动机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12.5L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Oil for converter and gear box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变速箱油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18.5(L)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液压系统油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110(L)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5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Oil for driving axles</w:t>
            </w:r>
            <w:r>
              <w:rPr>
                <w:rFonts w:ascii="Arial" w:eastAsia="楷体_GB2312" w:cs="Arial"/>
                <w:color w:val="auto"/>
                <w:sz w:val="24"/>
              </w:rPr>
              <w:t>（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F/R</w:t>
            </w:r>
            <w:r>
              <w:rPr>
                <w:rFonts w:ascii="Arial" w:eastAsia="楷体_GB2312" w:cs="Arial"/>
                <w:color w:val="auto"/>
                <w:sz w:val="24"/>
              </w:rPr>
              <w:t>）</w:t>
            </w:r>
            <w:r>
              <w:rPr>
                <w:rFonts w:hint="eastAsia" w:ascii="Arial" w:eastAsia="楷体_GB2312" w:cs="Arial"/>
                <w:color w:val="auto"/>
                <w:sz w:val="24"/>
              </w:rPr>
              <w:t>前后驱动桥油</w:t>
            </w:r>
          </w:p>
        </w:tc>
        <w:tc>
          <w:tcPr>
            <w:tcW w:w="3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7.6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＋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17(L)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Arial" w:hAnsi="Arial" w:eastAsia="楷体_GB2312" w:cs="Arial"/>
          <w:color w:val="auto"/>
          <w:sz w:val="36"/>
          <w:szCs w:val="36"/>
        </w:rPr>
      </w:pPr>
    </w:p>
    <w:p>
      <w:pPr>
        <w:widowControl/>
        <w:jc w:val="left"/>
        <w:rPr>
          <w:rFonts w:ascii="Arial" w:hAnsi="Arial" w:eastAsia="楷体_GB2312" w:cs="Arial"/>
          <w:color w:val="auto"/>
          <w:sz w:val="36"/>
          <w:szCs w:val="36"/>
        </w:rPr>
      </w:pPr>
      <w:r>
        <w:rPr>
          <w:rFonts w:ascii="Arial" w:hAnsi="Arial" w:eastAsia="楷体_GB2312" w:cs="Arial"/>
          <w:color w:val="auto"/>
          <w:sz w:val="36"/>
          <w:szCs w:val="36"/>
        </w:rPr>
        <w:br w:type="page"/>
      </w:r>
    </w:p>
    <w:p>
      <w:pPr>
        <w:autoSpaceDE w:val="0"/>
        <w:autoSpaceDN w:val="0"/>
        <w:adjustRightInd w:val="0"/>
        <w:jc w:val="left"/>
        <w:rPr>
          <w:rFonts w:ascii="Arial" w:hAnsi="Arial" w:eastAsia="楷体_GB2312" w:cs="Arial"/>
          <w:color w:val="auto"/>
          <w:sz w:val="36"/>
          <w:szCs w:val="36"/>
        </w:rPr>
      </w:pPr>
      <w:r>
        <w:rPr>
          <w:rFonts w:hint="eastAsia" w:ascii="Arial" w:hAnsi="Arial" w:eastAsia="楷体_GB2312" w:cs="Arial"/>
          <w:color w:val="auto"/>
          <w:sz w:val="36"/>
          <w:szCs w:val="36"/>
        </w:rPr>
        <w:t>3、630A挖掘装载机标准配置表</w:t>
      </w:r>
    </w:p>
    <w:tbl>
      <w:tblPr>
        <w:tblStyle w:val="18"/>
        <w:tblW w:w="1006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3"/>
        <w:gridCol w:w="2725"/>
        <w:gridCol w:w="3310"/>
        <w:gridCol w:w="1829"/>
        <w:gridCol w:w="124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b/>
                <w:bCs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auto"/>
                <w:sz w:val="24"/>
                <w:lang w:val="zh-CN"/>
              </w:rPr>
              <w:t>序号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auto"/>
                <w:sz w:val="24"/>
                <w:lang w:val="zh-CN"/>
              </w:rPr>
              <w:t>名</w:t>
            </w:r>
            <w:r>
              <w:rPr>
                <w:rFonts w:ascii="楷体" w:hAnsi="楷体" w:eastAsia="楷体" w:cs="宋体"/>
                <w:b/>
                <w:bCs/>
                <w:color w:val="auto"/>
                <w:sz w:val="24"/>
                <w:lang w:val="zh-CN"/>
              </w:rPr>
              <w:t xml:space="preserve">    </w:t>
            </w:r>
            <w:r>
              <w:rPr>
                <w:rFonts w:hint="eastAsia" w:ascii="楷体" w:hAnsi="楷体" w:eastAsia="楷体" w:cs="宋体"/>
                <w:b/>
                <w:bCs/>
                <w:color w:val="auto"/>
                <w:sz w:val="24"/>
                <w:lang w:val="zh-CN"/>
              </w:rPr>
              <w:t>称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auto"/>
                <w:sz w:val="24"/>
                <w:lang w:val="zh-CN"/>
              </w:rPr>
              <w:t>型号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auto"/>
                <w:sz w:val="24"/>
                <w:lang w:val="zh-CN"/>
              </w:rPr>
              <w:t>厂</w:t>
            </w:r>
            <w:r>
              <w:rPr>
                <w:rFonts w:ascii="楷体" w:hAnsi="楷体" w:eastAsia="楷体" w:cs="宋体"/>
                <w:b/>
                <w:bCs/>
                <w:color w:val="auto"/>
                <w:sz w:val="24"/>
                <w:lang w:val="zh-CN"/>
              </w:rPr>
              <w:t xml:space="preserve">    </w:t>
            </w:r>
            <w:r>
              <w:rPr>
                <w:rFonts w:hint="eastAsia" w:ascii="楷体" w:hAnsi="楷体" w:eastAsia="楷体" w:cs="宋体"/>
                <w:b/>
                <w:bCs/>
                <w:color w:val="auto"/>
                <w:sz w:val="24"/>
                <w:lang w:val="zh-CN"/>
              </w:rPr>
              <w:t>家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auto"/>
                <w:sz w:val="24"/>
                <w:lang w:val="zh-CN"/>
              </w:rPr>
              <w:t>产地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25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auto"/>
                <w:sz w:val="24"/>
                <w:lang w:val="zh-CN"/>
              </w:rPr>
              <w:t>1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发动机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Arial" w:hAnsi="Arial" w:eastAsia="楷体_GB2312" w:cs="Arial"/>
                <w:color w:val="auto"/>
              </w:rPr>
            </w:pPr>
            <w:r>
              <w:rPr>
                <w:rFonts w:ascii="Arial" w:hAnsi="Arial" w:eastAsia="楷体_GB2312" w:cs="Arial"/>
                <w:color w:val="auto"/>
              </w:rPr>
              <w:t>4BTA3.9-C110/ WP4G95E221</w:t>
            </w:r>
            <w:r>
              <w:rPr>
                <w:rFonts w:hint="eastAsia" w:ascii="Arial" w:hAnsi="Arial" w:eastAsia="楷体_GB2312" w:cs="Arial"/>
                <w:color w:val="auto"/>
                <w:lang w:val="en-US" w:eastAsia="zh-CN"/>
              </w:rPr>
              <w:t>/</w:t>
            </w:r>
            <w:r>
              <w:rPr>
                <w:rFonts w:ascii="Arial" w:hAnsi="Arial" w:eastAsia="楷体_GB2312" w:cs="Arial"/>
                <w:color w:val="auto"/>
              </w:rPr>
              <w:t>WP4.1G100E311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东康/潍柴/潍柴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9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auto"/>
                <w:sz w:val="24"/>
                <w:lang w:val="zh-CN"/>
              </w:rPr>
              <w:t>2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双变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</w:rPr>
              <w:t>两驱CA431742S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</w:rPr>
              <w:t>四驱CA431195S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</w:rPr>
              <w:t>CARRARO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</w:rPr>
              <w:t>意大利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auto"/>
                <w:sz w:val="24"/>
                <w:lang w:val="zh-CN"/>
              </w:rPr>
              <w:t>3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前桥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</w:rPr>
              <w:t>两驱CA145442S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</w:rPr>
              <w:t>四驱CA146039S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</w:rPr>
              <w:t>CARRARO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</w:rPr>
              <w:t>意大利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auto"/>
                <w:sz w:val="24"/>
                <w:lang w:val="zh-CN"/>
              </w:rPr>
              <w:t>4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后桥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</w:rPr>
              <w:t>28.28M-165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</w:rPr>
              <w:t>CARRARO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</w:rPr>
              <w:t>意大利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5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工作油泵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</w:rPr>
              <w:t>JHP2063C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济南液压泵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6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转向器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BZZ5-E160BG-1+FKB-3020C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7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装载多路阀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ascii="Arial" w:hAnsi="Arial" w:eastAsia="楷体" w:cs="Arial"/>
                <w:color w:val="auto"/>
                <w:sz w:val="24"/>
                <w:lang w:val="zh-CN"/>
              </w:rPr>
              <w:t>ZL20.3S4C-00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 xml:space="preserve">挖掘多路阀 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ascii="Arial" w:hAnsi="Arial" w:eastAsia="楷体" w:cs="Arial"/>
                <w:color w:val="auto"/>
                <w:sz w:val="24"/>
                <w:lang w:val="zh-CN"/>
              </w:rPr>
              <w:t>WJ20.7SC</w:t>
            </w:r>
            <w:r>
              <w:rPr>
                <w:rFonts w:ascii="Arial" w:hAnsi="Arial" w:eastAsia="楷体" w:cs="Arial"/>
                <w:color w:val="auto"/>
                <w:sz w:val="24"/>
              </w:rPr>
              <w:t>4</w:t>
            </w:r>
            <w:r>
              <w:rPr>
                <w:rFonts w:ascii="Arial" w:hAnsi="Arial" w:eastAsia="楷体" w:cs="Arial"/>
                <w:color w:val="auto"/>
                <w:sz w:val="24"/>
                <w:lang w:val="zh-CN"/>
              </w:rPr>
              <w:t>-00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8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优先阀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YXL-F160L-16N7-D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装载多路阀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ZL20.3YC-00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挖掘多路阀</w:t>
            </w:r>
            <w:r>
              <w:rPr>
                <w:rFonts w:ascii="楷体" w:hAnsi="楷体" w:eastAsia="楷体" w:cs="宋体"/>
                <w:color w:val="auto"/>
                <w:sz w:val="24"/>
                <w:lang w:val="zh-CN"/>
              </w:rPr>
              <w:t xml:space="preserve"> 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WJ20.7YC-00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装载先导阀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  <w:t>XDG6D-6TC-00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8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挖掘先导阀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  <w:t>左先导阀XD6U-4TL-00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  <w:t>右先导阀XD6U-4TR-00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支腿先导阀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  <w:t>XD6L-4T-00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海克力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</w:rPr>
            </w:pPr>
            <w:r>
              <w:rPr>
                <w:rFonts w:ascii="楷体" w:hAnsi="楷体" w:eastAsia="楷体" w:cs="宋体"/>
                <w:color w:val="auto"/>
                <w:sz w:val="24"/>
              </w:rPr>
              <w:t>9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刹车泵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  <w:t>MCBD3125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VIMOTER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</w:rPr>
              <w:t>意大利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auto"/>
                <w:sz w:val="24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</w:rPr>
              <w:t>1</w:t>
            </w:r>
            <w:r>
              <w:rPr>
                <w:rFonts w:ascii="楷体" w:hAnsi="楷体" w:eastAsia="楷体" w:cs="宋体"/>
                <w:color w:val="auto"/>
                <w:sz w:val="24"/>
              </w:rPr>
              <w:t>0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空调（选装）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Arial" w:hAnsi="Arial" w:eastAsia="楷体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  <w:t>BKG11C</w:t>
            </w:r>
            <w:r>
              <w:rPr>
                <w:rFonts w:hint="eastAsia" w:ascii="Arial" w:hAnsi="Arial" w:eastAsia="楷体" w:cs="Arial"/>
                <w:color w:val="auto"/>
                <w:sz w:val="24"/>
                <w:lang w:val="en-US" w:eastAsia="zh-CN"/>
              </w:rPr>
              <w:t>/GQT-302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博格思众</w:t>
            </w:r>
            <w:r>
              <w:rPr>
                <w:rFonts w:hint="eastAsia" w:ascii="楷体" w:hAnsi="楷体" w:eastAsia="楷体" w:cs="宋体"/>
                <w:color w:val="auto"/>
                <w:sz w:val="24"/>
                <w:lang w:val="en-US" w:eastAsia="zh-CN"/>
              </w:rPr>
              <w:t>/豫新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auto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auto"/>
                <w:sz w:val="24"/>
                <w:lang w:val="zh-CN"/>
              </w:rPr>
              <w:t>中国</w:t>
            </w:r>
          </w:p>
        </w:tc>
      </w:tr>
    </w:tbl>
    <w:p>
      <w:pPr>
        <w:jc w:val="left"/>
        <w:rPr>
          <w:b/>
          <w:color w:val="auto"/>
          <w:sz w:val="28"/>
          <w:szCs w:val="28"/>
        </w:rPr>
      </w:pPr>
    </w:p>
    <w:p>
      <w:pPr>
        <w:numPr>
          <w:ilvl w:val="0"/>
          <w:numId w:val="3"/>
        </w:numPr>
        <w:jc w:val="left"/>
        <w:rPr>
          <w:rFonts w:ascii="Arial" w:hAnsi="Arial" w:eastAsia="楷体_GB2312" w:cs="Arial"/>
          <w:color w:val="auto"/>
          <w:sz w:val="36"/>
          <w:szCs w:val="36"/>
        </w:rPr>
      </w:pPr>
      <w:r>
        <w:rPr>
          <w:rFonts w:hint="eastAsia" w:ascii="Arial" w:hAnsi="Arial" w:eastAsia="楷体_GB2312" w:cs="Arial"/>
          <w:color w:val="auto"/>
          <w:sz w:val="36"/>
          <w:szCs w:val="36"/>
        </w:rPr>
        <w:t xml:space="preserve">性能特点 </w:t>
      </w:r>
    </w:p>
    <w:p>
      <w:pPr>
        <w:numPr>
          <w:ilvl w:val="0"/>
          <w:numId w:val="4"/>
        </w:numPr>
        <w:jc w:val="left"/>
        <w:rPr>
          <w:rFonts w:ascii="Arial" w:hAnsi="Arial" w:eastAsia="楷体_GB2312" w:cs="Arial"/>
          <w:color w:val="auto"/>
          <w:sz w:val="24"/>
        </w:rPr>
      </w:pPr>
      <w:r>
        <w:rPr>
          <w:rFonts w:hint="eastAsia" w:ascii="Arial" w:hAnsi="Arial" w:eastAsia="楷体_GB2312" w:cs="Arial"/>
          <w:color w:val="auto"/>
          <w:sz w:val="24"/>
        </w:rPr>
        <w:t>标配潍柴</w:t>
      </w:r>
      <w:r>
        <w:rPr>
          <w:rFonts w:hint="eastAsia" w:ascii="Arial" w:hAnsi="Arial" w:eastAsia="楷体_GB2312" w:cs="Arial"/>
          <w:color w:val="auto"/>
          <w:sz w:val="24"/>
          <w:lang w:val="en-US" w:eastAsia="zh-CN"/>
        </w:rPr>
        <w:t>/</w:t>
      </w:r>
      <w:r>
        <w:rPr>
          <w:rFonts w:hint="eastAsia" w:ascii="Arial" w:hAnsi="Arial" w:eastAsia="楷体" w:cs="Arial"/>
          <w:color w:val="auto"/>
          <w:sz w:val="24"/>
        </w:rPr>
        <w:t>东风康明斯</w:t>
      </w:r>
      <w:r>
        <w:rPr>
          <w:rFonts w:hint="eastAsia" w:ascii="Arial" w:hAnsi="Arial" w:eastAsia="楷体_GB2312" w:cs="Arial"/>
          <w:color w:val="auto"/>
          <w:sz w:val="24"/>
        </w:rPr>
        <w:t>发动机；CARRARO电液控制前进后退，机械同步换档变速箱及前后桥传动系统，整体式车架、中置展翼式支腿设计。</w:t>
      </w:r>
    </w:p>
    <w:p>
      <w:pPr>
        <w:numPr>
          <w:ilvl w:val="0"/>
          <w:numId w:val="4"/>
        </w:numPr>
        <w:jc w:val="left"/>
        <w:rPr>
          <w:rFonts w:ascii="Arial" w:hAnsi="Arial" w:eastAsia="楷体_GB2312" w:cs="Arial"/>
          <w:color w:val="auto"/>
          <w:sz w:val="24"/>
        </w:rPr>
      </w:pPr>
      <w:r>
        <w:rPr>
          <w:rFonts w:hint="eastAsia" w:ascii="Arial" w:hAnsi="Arial" w:eastAsia="楷体_GB2312" w:cs="Arial"/>
          <w:color w:val="auto"/>
          <w:sz w:val="24"/>
        </w:rPr>
        <w:t>液压系统</w:t>
      </w:r>
      <w:r>
        <w:rPr>
          <w:rFonts w:hint="eastAsia" w:ascii="Arial" w:hAnsi="Arial" w:eastAsia="楷体" w:cs="Arial"/>
          <w:color w:val="auto"/>
          <w:sz w:val="24"/>
          <w:lang w:val="en-US" w:eastAsia="zh-CN"/>
        </w:rPr>
        <w:t>可选装</w:t>
      </w:r>
      <w:r>
        <w:rPr>
          <w:rFonts w:hint="eastAsia" w:ascii="Arial" w:hAnsi="Arial" w:eastAsia="楷体" w:cs="Arial"/>
          <w:color w:val="auto"/>
          <w:sz w:val="24"/>
        </w:rPr>
        <w:t>先导系统</w:t>
      </w:r>
      <w:r>
        <w:rPr>
          <w:rFonts w:hint="eastAsia" w:ascii="Arial" w:hAnsi="Arial" w:eastAsia="楷体" w:cs="Arial"/>
          <w:color w:val="auto"/>
          <w:sz w:val="24"/>
          <w:lang w:eastAsia="zh-CN"/>
        </w:rPr>
        <w:t>，</w:t>
      </w:r>
      <w:r>
        <w:rPr>
          <w:rFonts w:hint="eastAsia" w:ascii="Arial" w:hAnsi="Arial" w:eastAsia="楷体_GB2312" w:cs="Arial"/>
          <w:color w:val="auto"/>
          <w:sz w:val="24"/>
        </w:rPr>
        <w:t>配置国内一流品质的液压元件，并为装载端、挖掘端配置了辅助油路。</w:t>
      </w:r>
    </w:p>
    <w:p>
      <w:pPr>
        <w:numPr>
          <w:ilvl w:val="0"/>
          <w:numId w:val="4"/>
        </w:num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color w:val="auto"/>
          <w:sz w:val="24"/>
        </w:rPr>
        <w:t>全液压免维护湿式制动，双踏板控制，具有单边制动，</w:t>
      </w:r>
      <w:r>
        <w:rPr>
          <w:rFonts w:hint="eastAsia" w:ascii="Arial" w:hAnsi="Arial" w:eastAsia="楷体_GB2312" w:cs="Arial"/>
          <w:sz w:val="24"/>
        </w:rPr>
        <w:t>实现原地转向，适应更小作业环境。</w:t>
      </w:r>
    </w:p>
    <w:p>
      <w:pPr>
        <w:numPr>
          <w:ilvl w:val="0"/>
          <w:numId w:val="4"/>
        </w:num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正转八连杆装载工作装置，卸载高，掘起力大，铲斗平动性好，并配有铲斗地面自动找平系统，工作更快捷。</w:t>
      </w:r>
    </w:p>
    <w:p>
      <w:pPr>
        <w:numPr>
          <w:ilvl w:val="0"/>
          <w:numId w:val="4"/>
        </w:num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高强度结构设计挖掘工作装置，作业高效，可配备多种作业机具。</w:t>
      </w:r>
    </w:p>
    <w:p>
      <w:pPr>
        <w:numPr>
          <w:ilvl w:val="0"/>
          <w:numId w:val="4"/>
        </w:num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符合ROPS/FOPS全视野驾驶室，宽敞明亮，视野开阔。</w:t>
      </w:r>
    </w:p>
    <w:p/>
    <w:p/>
    <w:sectPr>
      <w:headerReference r:id="rId3" w:type="default"/>
      <w:footerReference r:id="rId4" w:type="default"/>
      <w:pgSz w:w="11906" w:h="16838"/>
      <w:pgMar w:top="153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360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-720090</wp:posOffset>
          </wp:positionH>
          <wp:positionV relativeFrom="margin">
            <wp:posOffset>9136380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15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hint="eastAsia" w:ascii="Arial" w:hAnsi="Arial" w:cs="Arial"/>
        <w:color w:val="0075C2"/>
        <w:sz w:val="14"/>
        <w:szCs w:val="14"/>
      </w:rPr>
      <w:t xml:space="preserve">       </w:t>
    </w:r>
  </w:p>
  <w:p>
    <w:pPr>
      <w:pStyle w:val="15"/>
      <w:pBdr>
        <w:bottom w:val="none" w:color="auto" w:sz="0" w:space="0"/>
      </w:pBdr>
      <w:ind w:right="70"/>
      <w:jc w:val="right"/>
    </w:pPr>
    <w:r>
      <w:rPr>
        <w:rFonts w:hint="eastAsia" w:ascii="Arial" w:hAnsi="Arial" w:cs="Arial"/>
        <w:color w:val="0075C2"/>
        <w:sz w:val="14"/>
        <w:szCs w:val="14"/>
      </w:rPr>
      <w:t xml:space="preserve"> </w:t>
    </w:r>
    <w:r>
      <w:rPr>
        <w:rFonts w:ascii="Arial" w:hAnsi="Arial" w:cs="Arial"/>
        <w:color w:val="0075C2"/>
        <w:sz w:val="14"/>
        <w:szCs w:val="14"/>
      </w:rPr>
      <w:t>www.sinomachhiglobal.com</w:t>
    </w:r>
  </w:p>
  <w:p>
    <w:pPr>
      <w:pStyle w:val="15"/>
      <w:pBdr>
        <w:bottom w:val="none" w:color="auto" w:sz="0" w:space="0"/>
      </w:pBdr>
      <w:jc w:val="both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-829945</wp:posOffset>
              </wp:positionH>
              <wp:positionV relativeFrom="paragraph">
                <wp:posOffset>12065</wp:posOffset>
              </wp:positionV>
              <wp:extent cx="9086850" cy="0"/>
              <wp:effectExtent l="0" t="0" r="0" b="0"/>
              <wp:wrapNone/>
              <wp:docPr id="2" name="直线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08685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3366FF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1025" o:spid="_x0000_s1026" o:spt="20" style="position:absolute;left:0pt;flip:y;margin-left:-65.35pt;margin-top:0.95pt;height:0pt;width:715.5pt;z-index:251660288;mso-width-relative:page;mso-height-relative:page;" filled="f" stroked="t" coordsize="21600,21600" o:gfxdata="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u&#10;+O+H1wAAAAkBAAAPAAAAAAAAAAEAIAAAACIAAABkcnMvZG93bnJldi54bWxQSwECFAAUAAAACACH&#10;TuJA02fuTuwBAADcAwAADgAAAAAAAAABACAAAAAmAQAAZHJzL2Uyb0RvYy54bWxQSwUGAAAAAAYA&#10;BgBZAQAAhAUAAAAA&#10;">
              <v:fill on="f" focussize="0,0"/>
              <v:stroke color="#3366FF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7CD2F"/>
    <w:multiLevelType w:val="singleLevel"/>
    <w:tmpl w:val="5A67CD2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A6930A5"/>
    <w:multiLevelType w:val="singleLevel"/>
    <w:tmpl w:val="5A6930A5"/>
    <w:lvl w:ilvl="0" w:tentative="0">
      <w:start w:val="4"/>
      <w:numFmt w:val="decimal"/>
      <w:suff w:val="space"/>
      <w:lvlText w:val="%1、"/>
      <w:lvlJc w:val="left"/>
    </w:lvl>
  </w:abstractNum>
  <w:abstractNum w:abstractNumId="2">
    <w:nsid w:val="5A6930DE"/>
    <w:multiLevelType w:val="singleLevel"/>
    <w:tmpl w:val="5A6930DE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637131BA"/>
    <w:multiLevelType w:val="multilevel"/>
    <w:tmpl w:val="637131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B3110D"/>
    <w:rsid w:val="00003BF3"/>
    <w:rsid w:val="000272DF"/>
    <w:rsid w:val="000331E4"/>
    <w:rsid w:val="00035A83"/>
    <w:rsid w:val="000444FD"/>
    <w:rsid w:val="000707F3"/>
    <w:rsid w:val="00072544"/>
    <w:rsid w:val="00077F8B"/>
    <w:rsid w:val="00091733"/>
    <w:rsid w:val="000940D2"/>
    <w:rsid w:val="00096D40"/>
    <w:rsid w:val="000B0131"/>
    <w:rsid w:val="000C0FA1"/>
    <w:rsid w:val="000C1B7B"/>
    <w:rsid w:val="000D1F91"/>
    <w:rsid w:val="000E38D8"/>
    <w:rsid w:val="000E43E0"/>
    <w:rsid w:val="0010238E"/>
    <w:rsid w:val="001120A8"/>
    <w:rsid w:val="001334D7"/>
    <w:rsid w:val="00133947"/>
    <w:rsid w:val="00137E18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2542"/>
    <w:rsid w:val="001A3847"/>
    <w:rsid w:val="001A73F7"/>
    <w:rsid w:val="001A7E1C"/>
    <w:rsid w:val="001B1D5E"/>
    <w:rsid w:val="001C760F"/>
    <w:rsid w:val="001D1B3F"/>
    <w:rsid w:val="001D3D5E"/>
    <w:rsid w:val="001F5E59"/>
    <w:rsid w:val="00200077"/>
    <w:rsid w:val="00215FB8"/>
    <w:rsid w:val="00223DE6"/>
    <w:rsid w:val="002372C8"/>
    <w:rsid w:val="00243D3D"/>
    <w:rsid w:val="002544AF"/>
    <w:rsid w:val="00254A14"/>
    <w:rsid w:val="00261AD0"/>
    <w:rsid w:val="0028505B"/>
    <w:rsid w:val="002867F8"/>
    <w:rsid w:val="002B3662"/>
    <w:rsid w:val="002C1A95"/>
    <w:rsid w:val="002D4721"/>
    <w:rsid w:val="002D5C1F"/>
    <w:rsid w:val="002E6125"/>
    <w:rsid w:val="00306F4A"/>
    <w:rsid w:val="003100A3"/>
    <w:rsid w:val="00312696"/>
    <w:rsid w:val="00323126"/>
    <w:rsid w:val="003252B5"/>
    <w:rsid w:val="00325F52"/>
    <w:rsid w:val="00330436"/>
    <w:rsid w:val="00334D40"/>
    <w:rsid w:val="003418B8"/>
    <w:rsid w:val="0035496D"/>
    <w:rsid w:val="003578C9"/>
    <w:rsid w:val="00367C12"/>
    <w:rsid w:val="00375CFE"/>
    <w:rsid w:val="00382B61"/>
    <w:rsid w:val="00392489"/>
    <w:rsid w:val="003A0C1E"/>
    <w:rsid w:val="003A75BA"/>
    <w:rsid w:val="003B24DE"/>
    <w:rsid w:val="003B2DD1"/>
    <w:rsid w:val="003C215E"/>
    <w:rsid w:val="003C72AF"/>
    <w:rsid w:val="003C7C64"/>
    <w:rsid w:val="003D03ED"/>
    <w:rsid w:val="003E0AA9"/>
    <w:rsid w:val="003F0FE4"/>
    <w:rsid w:val="0041296F"/>
    <w:rsid w:val="00412E4B"/>
    <w:rsid w:val="00420D1E"/>
    <w:rsid w:val="00421374"/>
    <w:rsid w:val="00422215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6610"/>
    <w:rsid w:val="00467565"/>
    <w:rsid w:val="004704F2"/>
    <w:rsid w:val="00471058"/>
    <w:rsid w:val="004714BC"/>
    <w:rsid w:val="0047223E"/>
    <w:rsid w:val="00480E98"/>
    <w:rsid w:val="00481180"/>
    <w:rsid w:val="0048787F"/>
    <w:rsid w:val="004A5002"/>
    <w:rsid w:val="004B24A8"/>
    <w:rsid w:val="004B71B8"/>
    <w:rsid w:val="004C10F9"/>
    <w:rsid w:val="004C2FD0"/>
    <w:rsid w:val="004C3312"/>
    <w:rsid w:val="004D2C14"/>
    <w:rsid w:val="004D6B43"/>
    <w:rsid w:val="004E18B6"/>
    <w:rsid w:val="004E647A"/>
    <w:rsid w:val="004F26A2"/>
    <w:rsid w:val="00502895"/>
    <w:rsid w:val="0050409C"/>
    <w:rsid w:val="00513140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756AB"/>
    <w:rsid w:val="005757DD"/>
    <w:rsid w:val="0059247D"/>
    <w:rsid w:val="005A5FBF"/>
    <w:rsid w:val="005A6E63"/>
    <w:rsid w:val="005E2BB3"/>
    <w:rsid w:val="005E5E29"/>
    <w:rsid w:val="00601D89"/>
    <w:rsid w:val="00602444"/>
    <w:rsid w:val="00606E54"/>
    <w:rsid w:val="006105E4"/>
    <w:rsid w:val="00621444"/>
    <w:rsid w:val="00622925"/>
    <w:rsid w:val="00653991"/>
    <w:rsid w:val="00653BB3"/>
    <w:rsid w:val="006540D9"/>
    <w:rsid w:val="00655C8C"/>
    <w:rsid w:val="00665341"/>
    <w:rsid w:val="0066673E"/>
    <w:rsid w:val="00671EC7"/>
    <w:rsid w:val="006779CB"/>
    <w:rsid w:val="00693E4F"/>
    <w:rsid w:val="0069555E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7127"/>
    <w:rsid w:val="00711996"/>
    <w:rsid w:val="00713E38"/>
    <w:rsid w:val="007169D6"/>
    <w:rsid w:val="00724010"/>
    <w:rsid w:val="00724500"/>
    <w:rsid w:val="0073059A"/>
    <w:rsid w:val="00735D1A"/>
    <w:rsid w:val="00741C86"/>
    <w:rsid w:val="00743E70"/>
    <w:rsid w:val="00745E23"/>
    <w:rsid w:val="0074637B"/>
    <w:rsid w:val="00746B4D"/>
    <w:rsid w:val="007508C4"/>
    <w:rsid w:val="00760053"/>
    <w:rsid w:val="007645B6"/>
    <w:rsid w:val="00764738"/>
    <w:rsid w:val="00766357"/>
    <w:rsid w:val="00773551"/>
    <w:rsid w:val="00773621"/>
    <w:rsid w:val="00776E0B"/>
    <w:rsid w:val="00782789"/>
    <w:rsid w:val="007972D3"/>
    <w:rsid w:val="007B2E4C"/>
    <w:rsid w:val="007B4C7C"/>
    <w:rsid w:val="007B6AD1"/>
    <w:rsid w:val="007B6B99"/>
    <w:rsid w:val="007C03AE"/>
    <w:rsid w:val="007E080A"/>
    <w:rsid w:val="007E3BF3"/>
    <w:rsid w:val="007F0DD6"/>
    <w:rsid w:val="00800E13"/>
    <w:rsid w:val="00812B05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952F5"/>
    <w:rsid w:val="008A3DEB"/>
    <w:rsid w:val="008A6284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37B93"/>
    <w:rsid w:val="00941D9C"/>
    <w:rsid w:val="00944F07"/>
    <w:rsid w:val="00950909"/>
    <w:rsid w:val="00952ECE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6BA7"/>
    <w:rsid w:val="009D586E"/>
    <w:rsid w:val="009D6506"/>
    <w:rsid w:val="009E1955"/>
    <w:rsid w:val="009E5BED"/>
    <w:rsid w:val="009F09D1"/>
    <w:rsid w:val="00A06CFC"/>
    <w:rsid w:val="00A135EA"/>
    <w:rsid w:val="00A1470C"/>
    <w:rsid w:val="00A22770"/>
    <w:rsid w:val="00A2743A"/>
    <w:rsid w:val="00A30F6E"/>
    <w:rsid w:val="00A32E16"/>
    <w:rsid w:val="00A36C42"/>
    <w:rsid w:val="00A47E5B"/>
    <w:rsid w:val="00A5034A"/>
    <w:rsid w:val="00A51900"/>
    <w:rsid w:val="00A57FD2"/>
    <w:rsid w:val="00A60370"/>
    <w:rsid w:val="00A60FFC"/>
    <w:rsid w:val="00A62720"/>
    <w:rsid w:val="00A6759C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C161C"/>
    <w:rsid w:val="00AC1CE5"/>
    <w:rsid w:val="00AC4C6A"/>
    <w:rsid w:val="00AC5A7E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35946"/>
    <w:rsid w:val="00B4117C"/>
    <w:rsid w:val="00B547EB"/>
    <w:rsid w:val="00B54B8E"/>
    <w:rsid w:val="00B61B73"/>
    <w:rsid w:val="00B66A50"/>
    <w:rsid w:val="00B67320"/>
    <w:rsid w:val="00B67AFC"/>
    <w:rsid w:val="00B70176"/>
    <w:rsid w:val="00B75343"/>
    <w:rsid w:val="00B86ABB"/>
    <w:rsid w:val="00B93091"/>
    <w:rsid w:val="00BB0429"/>
    <w:rsid w:val="00BC1E8D"/>
    <w:rsid w:val="00BC5AB3"/>
    <w:rsid w:val="00BF7FBD"/>
    <w:rsid w:val="00C04682"/>
    <w:rsid w:val="00C149CF"/>
    <w:rsid w:val="00C16FBB"/>
    <w:rsid w:val="00C26500"/>
    <w:rsid w:val="00C36875"/>
    <w:rsid w:val="00C430BE"/>
    <w:rsid w:val="00C45ECF"/>
    <w:rsid w:val="00C734E2"/>
    <w:rsid w:val="00C80FA3"/>
    <w:rsid w:val="00C837B9"/>
    <w:rsid w:val="00C86363"/>
    <w:rsid w:val="00C91B35"/>
    <w:rsid w:val="00CA50CC"/>
    <w:rsid w:val="00CA7A8A"/>
    <w:rsid w:val="00CB59E6"/>
    <w:rsid w:val="00CD0118"/>
    <w:rsid w:val="00CE43C3"/>
    <w:rsid w:val="00CE4FDB"/>
    <w:rsid w:val="00CF0908"/>
    <w:rsid w:val="00CF4B1B"/>
    <w:rsid w:val="00D00F13"/>
    <w:rsid w:val="00D03B05"/>
    <w:rsid w:val="00D0642B"/>
    <w:rsid w:val="00D21DBF"/>
    <w:rsid w:val="00D475F0"/>
    <w:rsid w:val="00D56880"/>
    <w:rsid w:val="00D61C90"/>
    <w:rsid w:val="00D71CB5"/>
    <w:rsid w:val="00D7397D"/>
    <w:rsid w:val="00D821A4"/>
    <w:rsid w:val="00D83DD2"/>
    <w:rsid w:val="00D8573D"/>
    <w:rsid w:val="00DA572A"/>
    <w:rsid w:val="00DB0A2E"/>
    <w:rsid w:val="00DB1511"/>
    <w:rsid w:val="00DB2A03"/>
    <w:rsid w:val="00DB696F"/>
    <w:rsid w:val="00DD01D3"/>
    <w:rsid w:val="00DE0270"/>
    <w:rsid w:val="00DE1861"/>
    <w:rsid w:val="00DE3370"/>
    <w:rsid w:val="00DE6D41"/>
    <w:rsid w:val="00DF2BFA"/>
    <w:rsid w:val="00DF3B09"/>
    <w:rsid w:val="00E04082"/>
    <w:rsid w:val="00E11584"/>
    <w:rsid w:val="00E20019"/>
    <w:rsid w:val="00E231F7"/>
    <w:rsid w:val="00E24CA3"/>
    <w:rsid w:val="00E321D9"/>
    <w:rsid w:val="00E410E9"/>
    <w:rsid w:val="00E43F2A"/>
    <w:rsid w:val="00E6375D"/>
    <w:rsid w:val="00E76D23"/>
    <w:rsid w:val="00E8451A"/>
    <w:rsid w:val="00E85C53"/>
    <w:rsid w:val="00E86DC6"/>
    <w:rsid w:val="00E92FC6"/>
    <w:rsid w:val="00E94F9E"/>
    <w:rsid w:val="00E97CDC"/>
    <w:rsid w:val="00EA627F"/>
    <w:rsid w:val="00EA6C0A"/>
    <w:rsid w:val="00EB02B5"/>
    <w:rsid w:val="00EB311F"/>
    <w:rsid w:val="00EC2034"/>
    <w:rsid w:val="00EC2765"/>
    <w:rsid w:val="00ED5C78"/>
    <w:rsid w:val="00EE17F1"/>
    <w:rsid w:val="00EF3339"/>
    <w:rsid w:val="00F040F8"/>
    <w:rsid w:val="00F07280"/>
    <w:rsid w:val="00F10E15"/>
    <w:rsid w:val="00F304E9"/>
    <w:rsid w:val="00F3137F"/>
    <w:rsid w:val="00F322D8"/>
    <w:rsid w:val="00F338F4"/>
    <w:rsid w:val="00F36882"/>
    <w:rsid w:val="00F40161"/>
    <w:rsid w:val="00F43CFE"/>
    <w:rsid w:val="00F45EEF"/>
    <w:rsid w:val="00F47682"/>
    <w:rsid w:val="00F521F5"/>
    <w:rsid w:val="00F60D6F"/>
    <w:rsid w:val="00F61F29"/>
    <w:rsid w:val="00F67872"/>
    <w:rsid w:val="00F708D8"/>
    <w:rsid w:val="00F74920"/>
    <w:rsid w:val="00F77974"/>
    <w:rsid w:val="00F77E77"/>
    <w:rsid w:val="00F80449"/>
    <w:rsid w:val="00F80C54"/>
    <w:rsid w:val="00F95558"/>
    <w:rsid w:val="00FB2288"/>
    <w:rsid w:val="00FB343C"/>
    <w:rsid w:val="00FB7025"/>
    <w:rsid w:val="00FC163F"/>
    <w:rsid w:val="00FC5F09"/>
    <w:rsid w:val="00FD00A4"/>
    <w:rsid w:val="00FD430C"/>
    <w:rsid w:val="00FE08D5"/>
    <w:rsid w:val="00FE6BA7"/>
    <w:rsid w:val="00FE779F"/>
    <w:rsid w:val="00FF0BF0"/>
    <w:rsid w:val="08C20B05"/>
    <w:rsid w:val="0BA97ED3"/>
    <w:rsid w:val="0E2D7A4B"/>
    <w:rsid w:val="14966502"/>
    <w:rsid w:val="14DD4E83"/>
    <w:rsid w:val="1DE86433"/>
    <w:rsid w:val="1FC80FB4"/>
    <w:rsid w:val="24D310D2"/>
    <w:rsid w:val="31ED5426"/>
    <w:rsid w:val="3A6D130B"/>
    <w:rsid w:val="3F744D31"/>
    <w:rsid w:val="40DA2378"/>
    <w:rsid w:val="45212936"/>
    <w:rsid w:val="524076F7"/>
    <w:rsid w:val="5304130D"/>
    <w:rsid w:val="54C1709F"/>
    <w:rsid w:val="5C30122F"/>
    <w:rsid w:val="5EE10604"/>
    <w:rsid w:val="6C854E86"/>
    <w:rsid w:val="72D322DD"/>
    <w:rsid w:val="72D62443"/>
    <w:rsid w:val="776D4E12"/>
    <w:rsid w:val="77A94BD9"/>
    <w:rsid w:val="7E19252F"/>
    <w:rsid w:val="7FFEE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3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2"/>
    <w:qFormat/>
    <w:uiPriority w:val="0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1"/>
    <w:next w:val="1"/>
    <w:link w:val="24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1"/>
    <w:next w:val="1"/>
    <w:link w:val="25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1"/>
    <w:next w:val="1"/>
    <w:link w:val="26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/>
    </w:pPr>
    <w:rPr>
      <w:szCs w:val="20"/>
    </w:rPr>
  </w:style>
  <w:style w:type="paragraph" w:styleId="9">
    <w:name w:val="annotation text"/>
    <w:basedOn w:val="1"/>
    <w:link w:val="34"/>
    <w:semiHidden/>
    <w:unhideWhenUsed/>
    <w:qFormat/>
    <w:uiPriority w:val="0"/>
    <w:pPr>
      <w:jc w:val="left"/>
    </w:pPr>
  </w:style>
  <w:style w:type="paragraph" w:styleId="10">
    <w:name w:val="Body Text"/>
    <w:basedOn w:val="1"/>
    <w:link w:val="27"/>
    <w:qFormat/>
    <w:uiPriority w:val="0"/>
    <w:pPr>
      <w:spacing w:after="120"/>
    </w:pPr>
  </w:style>
  <w:style w:type="paragraph" w:styleId="11">
    <w:name w:val="Date"/>
    <w:basedOn w:val="1"/>
    <w:next w:val="1"/>
    <w:qFormat/>
    <w:uiPriority w:val="99"/>
    <w:pPr>
      <w:ind w:left="100" w:leftChars="2500"/>
    </w:pPr>
  </w:style>
  <w:style w:type="paragraph" w:styleId="12">
    <w:name w:val="Body Text Indent 2"/>
    <w:basedOn w:val="1"/>
    <w:qFormat/>
    <w:uiPriority w:val="0"/>
    <w:pPr>
      <w:adjustRightInd w:val="0"/>
      <w:snapToGrid w:val="0"/>
      <w:spacing w:line="300" w:lineRule="auto"/>
      <w:ind w:left="420" w:leftChars="200"/>
    </w:pPr>
    <w:rPr>
      <w:sz w:val="24"/>
    </w:rPr>
  </w:style>
  <w:style w:type="paragraph" w:styleId="13">
    <w:name w:val="Balloon Text"/>
    <w:basedOn w:val="1"/>
    <w:link w:val="31"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itle"/>
    <w:basedOn w:val="1"/>
    <w:link w:val="28"/>
    <w:qFormat/>
    <w:uiPriority w:val="0"/>
    <w:pPr>
      <w:jc w:val="center"/>
    </w:pPr>
    <w:rPr>
      <w:b/>
      <w:szCs w:val="20"/>
    </w:rPr>
  </w:style>
  <w:style w:type="paragraph" w:styleId="17">
    <w:name w:val="annotation subject"/>
    <w:basedOn w:val="9"/>
    <w:next w:val="9"/>
    <w:link w:val="35"/>
    <w:semiHidden/>
    <w:unhideWhenUsed/>
    <w:qFormat/>
    <w:uiPriority w:val="0"/>
    <w:rPr>
      <w:b/>
      <w:bCs/>
    </w:rPr>
  </w:style>
  <w:style w:type="character" w:styleId="20">
    <w:name w:val="Hyperlink"/>
    <w:basedOn w:val="19"/>
    <w:qFormat/>
    <w:uiPriority w:val="0"/>
    <w:rPr>
      <w:color w:val="0000FF"/>
      <w:u w:val="single"/>
    </w:rPr>
  </w:style>
  <w:style w:type="character" w:styleId="21">
    <w:name w:val="annotation reference"/>
    <w:basedOn w:val="19"/>
    <w:semiHidden/>
    <w:unhideWhenUsed/>
    <w:qFormat/>
    <w:uiPriority w:val="0"/>
    <w:rPr>
      <w:sz w:val="21"/>
      <w:szCs w:val="21"/>
    </w:rPr>
  </w:style>
  <w:style w:type="character" w:customStyle="1" w:styleId="22">
    <w:name w:val="标题 4 字符"/>
    <w:basedOn w:val="19"/>
    <w:link w:val="4"/>
    <w:qFormat/>
    <w:uiPriority w:val="0"/>
    <w:rPr>
      <w:rFonts w:ascii="Arial" w:hAnsi="Arial" w:cs="Arial"/>
      <w:b/>
      <w:bCs/>
      <w:kern w:val="2"/>
      <w:sz w:val="18"/>
      <w:szCs w:val="24"/>
    </w:rPr>
  </w:style>
  <w:style w:type="character" w:customStyle="1" w:styleId="23">
    <w:name w:val="标题 3 字符"/>
    <w:basedOn w:val="19"/>
    <w:link w:val="3"/>
    <w:semiHidden/>
    <w:qFormat/>
    <w:uiPriority w:val="0"/>
    <w:rPr>
      <w:b/>
      <w:bCs/>
      <w:kern w:val="2"/>
      <w:sz w:val="32"/>
      <w:szCs w:val="32"/>
    </w:rPr>
  </w:style>
  <w:style w:type="character" w:customStyle="1" w:styleId="24">
    <w:name w:val="标题 5 字符"/>
    <w:basedOn w:val="19"/>
    <w:link w:val="5"/>
    <w:semiHidden/>
    <w:qFormat/>
    <w:uiPriority w:val="0"/>
    <w:rPr>
      <w:b/>
      <w:bCs/>
      <w:kern w:val="2"/>
      <w:sz w:val="28"/>
      <w:szCs w:val="28"/>
    </w:rPr>
  </w:style>
  <w:style w:type="character" w:customStyle="1" w:styleId="25">
    <w:name w:val="标题 6 字符"/>
    <w:basedOn w:val="19"/>
    <w:link w:val="6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6">
    <w:name w:val="标题 7 字符"/>
    <w:basedOn w:val="19"/>
    <w:link w:val="7"/>
    <w:semiHidden/>
    <w:qFormat/>
    <w:uiPriority w:val="0"/>
    <w:rPr>
      <w:b/>
      <w:bCs/>
      <w:kern w:val="2"/>
      <w:sz w:val="24"/>
      <w:szCs w:val="24"/>
    </w:rPr>
  </w:style>
  <w:style w:type="character" w:customStyle="1" w:styleId="27">
    <w:name w:val="正文文本 字符"/>
    <w:basedOn w:val="19"/>
    <w:link w:val="10"/>
    <w:qFormat/>
    <w:uiPriority w:val="0"/>
    <w:rPr>
      <w:kern w:val="2"/>
      <w:sz w:val="21"/>
      <w:szCs w:val="24"/>
    </w:rPr>
  </w:style>
  <w:style w:type="character" w:customStyle="1" w:styleId="28">
    <w:name w:val="标题 字符"/>
    <w:basedOn w:val="19"/>
    <w:link w:val="16"/>
    <w:qFormat/>
    <w:uiPriority w:val="0"/>
    <w:rPr>
      <w:b/>
      <w:kern w:val="2"/>
      <w:sz w:val="21"/>
    </w:rPr>
  </w:style>
  <w:style w:type="paragraph" w:styleId="2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30">
    <w:name w:val="标题 1 字符"/>
    <w:basedOn w:val="1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1">
    <w:name w:val="批注框文本 字符"/>
    <w:basedOn w:val="19"/>
    <w:link w:val="13"/>
    <w:qFormat/>
    <w:uiPriority w:val="0"/>
    <w:rPr>
      <w:kern w:val="2"/>
      <w:sz w:val="18"/>
      <w:szCs w:val="18"/>
    </w:rPr>
  </w:style>
  <w:style w:type="character" w:customStyle="1" w:styleId="32">
    <w:name w:val="apple-converted-space"/>
    <w:basedOn w:val="19"/>
    <w:qFormat/>
    <w:uiPriority w:val="0"/>
  </w:style>
  <w:style w:type="character" w:customStyle="1" w:styleId="33">
    <w:name w:val="contenttitle"/>
    <w:basedOn w:val="19"/>
    <w:qFormat/>
    <w:uiPriority w:val="0"/>
  </w:style>
  <w:style w:type="character" w:customStyle="1" w:styleId="34">
    <w:name w:val="批注文字 字符"/>
    <w:basedOn w:val="19"/>
    <w:link w:val="9"/>
    <w:semiHidden/>
    <w:qFormat/>
    <w:uiPriority w:val="0"/>
    <w:rPr>
      <w:kern w:val="2"/>
      <w:sz w:val="21"/>
      <w:szCs w:val="24"/>
    </w:rPr>
  </w:style>
  <w:style w:type="character" w:customStyle="1" w:styleId="35">
    <w:name w:val="批注主题 字符"/>
    <w:basedOn w:val="34"/>
    <w:link w:val="17"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773097-4701-4124-951A-ED02B1CD9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5</Pages>
  <Words>1334</Words>
  <Characters>3421</Characters>
  <Lines>27</Lines>
  <Paragraphs>7</Paragraphs>
  <TotalTime>1</TotalTime>
  <ScaleCrop>false</ScaleCrop>
  <LinksUpToDate>false</LinksUpToDate>
  <CharactersWithSpaces>3639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2018-05-04T11:01:00Z</dcterms:created>
  <dc:creator>JSJ0088</dc:creator>
  <cp:lastModifiedBy>呦呦鹿鳴</cp:lastModifiedBy>
  <cp:lastPrinted>2015-02-28T13:07:00Z</cp:lastPrinted>
  <dcterms:modified xsi:type="dcterms:W3CDTF">2023-05-29T04:07:36Z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D23509ECD9A84914B7A51F1599CE6EA4</vt:lpwstr>
  </property>
</Properties>
</file>