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7F" w:rsidRPr="00B12B23" w:rsidRDefault="00B12B23" w:rsidP="00B12B2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B12B23">
        <w:rPr>
          <w:rFonts w:ascii="Arial" w:eastAsia="Times New Roman" w:hAnsi="Arial" w:cs="Arial"/>
          <w:kern w:val="36"/>
          <w:sz w:val="48"/>
          <w:szCs w:val="48"/>
        </w:rPr>
        <w:t>Ashtabula County Medical Center</w:t>
      </w:r>
    </w:p>
    <w:p w:rsidR="00B12B23" w:rsidRPr="00B12B23" w:rsidRDefault="00B12B23" w:rsidP="00B12B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</w:rPr>
      </w:pPr>
      <w:r w:rsidRPr="00B12B23">
        <w:rPr>
          <w:rFonts w:ascii="Arial" w:eastAsia="Times New Roman" w:hAnsi="Arial" w:cs="Arial"/>
          <w:b/>
          <w:bCs/>
          <w:sz w:val="27"/>
          <w:szCs w:val="27"/>
          <w:u w:val="single"/>
        </w:rPr>
        <w:t>Appendix A</w:t>
      </w:r>
    </w:p>
    <w:p w:rsidR="00B12B23" w:rsidRDefault="00B12B23" w:rsidP="00B12B23">
      <w:pPr>
        <w:jc w:val="center"/>
        <w:rPr>
          <w:b/>
        </w:rPr>
      </w:pPr>
    </w:p>
    <w:p w:rsidR="00B12B23" w:rsidRDefault="00B12B23" w:rsidP="00B12B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B12B23">
        <w:rPr>
          <w:rFonts w:ascii="Arial" w:eastAsia="Times New Roman" w:hAnsi="Arial" w:cs="Arial"/>
          <w:b/>
          <w:bCs/>
          <w:sz w:val="27"/>
          <w:szCs w:val="27"/>
        </w:rPr>
        <w:t>Basis for Calculating Amounts Charged to Patients</w:t>
      </w:r>
    </w:p>
    <w:p w:rsidR="00B12B23" w:rsidRPr="00B12B23" w:rsidRDefault="00B12B23" w:rsidP="00B12B2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B12B23" w:rsidRPr="00B12B23" w:rsidRDefault="00B12B23" w:rsidP="00B12B23">
      <w:pPr>
        <w:jc w:val="both"/>
        <w:rPr>
          <w:rFonts w:ascii="Arial" w:eastAsia="Times New Roman" w:hAnsi="Arial" w:cs="Arial"/>
          <w:sz w:val="26"/>
          <w:szCs w:val="26"/>
        </w:rPr>
      </w:pPr>
      <w:r w:rsidRPr="00B12B23">
        <w:rPr>
          <w:rFonts w:ascii="Arial" w:eastAsia="Times New Roman" w:hAnsi="Arial" w:cs="Arial"/>
          <w:sz w:val="26"/>
          <w:szCs w:val="26"/>
        </w:rPr>
        <w:t>Ashtabula County Medical Center utilizes the “look-back” method to determine the “amounts generally billed” (ABG) to individuals who have insurance covering Emergency or other Medically Necessary Care.  The AGB percen</w:t>
      </w:r>
      <w:r w:rsidR="006F06A7">
        <w:rPr>
          <w:rFonts w:ascii="Arial" w:eastAsia="Times New Roman" w:hAnsi="Arial" w:cs="Arial"/>
          <w:sz w:val="26"/>
          <w:szCs w:val="26"/>
        </w:rPr>
        <w:t>tage applicable as of 04/01/</w:t>
      </w:r>
      <w:r w:rsidR="00E95D6B">
        <w:rPr>
          <w:rFonts w:ascii="Arial" w:eastAsia="Times New Roman" w:hAnsi="Arial" w:cs="Arial"/>
          <w:sz w:val="26"/>
          <w:szCs w:val="26"/>
        </w:rPr>
        <w:t>2020</w:t>
      </w:r>
      <w:r w:rsidRPr="00B12B23">
        <w:rPr>
          <w:rFonts w:ascii="Arial" w:eastAsia="Times New Roman" w:hAnsi="Arial" w:cs="Arial"/>
          <w:sz w:val="26"/>
          <w:szCs w:val="26"/>
        </w:rPr>
        <w:t xml:space="preserve"> at our facility is 2</w:t>
      </w:r>
      <w:r w:rsidR="00E95D6B">
        <w:rPr>
          <w:rFonts w:ascii="Arial" w:eastAsia="Times New Roman" w:hAnsi="Arial" w:cs="Arial"/>
          <w:sz w:val="26"/>
          <w:szCs w:val="26"/>
        </w:rPr>
        <w:t>4</w:t>
      </w:r>
      <w:r w:rsidRPr="00B12B23">
        <w:rPr>
          <w:rFonts w:ascii="Arial" w:eastAsia="Times New Roman" w:hAnsi="Arial" w:cs="Arial"/>
          <w:sz w:val="26"/>
          <w:szCs w:val="26"/>
        </w:rPr>
        <w:t>.</w:t>
      </w:r>
      <w:r w:rsidR="00E95D6B">
        <w:rPr>
          <w:rFonts w:ascii="Arial" w:eastAsia="Times New Roman" w:hAnsi="Arial" w:cs="Arial"/>
          <w:sz w:val="26"/>
          <w:szCs w:val="26"/>
        </w:rPr>
        <w:t>5</w:t>
      </w:r>
      <w:r w:rsidRPr="00B12B23">
        <w:rPr>
          <w:rFonts w:ascii="Arial" w:eastAsia="Times New Roman" w:hAnsi="Arial" w:cs="Arial"/>
          <w:sz w:val="26"/>
          <w:szCs w:val="26"/>
        </w:rPr>
        <w:t xml:space="preserve">% resulting in a discount of </w:t>
      </w:r>
      <w:r w:rsidR="00E95D6B">
        <w:rPr>
          <w:rFonts w:ascii="Arial" w:eastAsia="Times New Roman" w:hAnsi="Arial" w:cs="Arial"/>
          <w:sz w:val="26"/>
          <w:szCs w:val="26"/>
        </w:rPr>
        <w:t>75.5</w:t>
      </w:r>
      <w:bookmarkStart w:id="0" w:name="_GoBack"/>
      <w:bookmarkEnd w:id="0"/>
      <w:r w:rsidRPr="00B12B23">
        <w:rPr>
          <w:rFonts w:ascii="Arial" w:eastAsia="Times New Roman" w:hAnsi="Arial" w:cs="Arial"/>
          <w:sz w:val="26"/>
          <w:szCs w:val="26"/>
        </w:rPr>
        <w:t>% applied to gross charges.</w:t>
      </w:r>
    </w:p>
    <w:p w:rsidR="00B12B23" w:rsidRPr="00B12B23" w:rsidRDefault="00B12B23" w:rsidP="00B12B23">
      <w:pPr>
        <w:jc w:val="both"/>
        <w:rPr>
          <w:rFonts w:ascii="Arial" w:eastAsia="Times New Roman" w:hAnsi="Arial" w:cs="Arial"/>
          <w:sz w:val="26"/>
          <w:szCs w:val="26"/>
        </w:rPr>
      </w:pPr>
      <w:r w:rsidRPr="00B12B23">
        <w:rPr>
          <w:rFonts w:ascii="Arial" w:eastAsia="Times New Roman" w:hAnsi="Arial" w:cs="Arial"/>
          <w:sz w:val="26"/>
          <w:szCs w:val="26"/>
        </w:rPr>
        <w:t>The percentage was calculated using the claims from the Traditional Medicare PS&amp;R report that co</w:t>
      </w:r>
      <w:r w:rsidR="00E95D6B">
        <w:rPr>
          <w:rFonts w:ascii="Arial" w:eastAsia="Times New Roman" w:hAnsi="Arial" w:cs="Arial"/>
          <w:sz w:val="26"/>
          <w:szCs w:val="26"/>
        </w:rPr>
        <w:t>vered dates of service from 2019</w:t>
      </w:r>
      <w:r w:rsidRPr="00B12B23">
        <w:rPr>
          <w:rFonts w:ascii="Arial" w:eastAsia="Times New Roman" w:hAnsi="Arial" w:cs="Arial"/>
          <w:sz w:val="26"/>
          <w:szCs w:val="26"/>
        </w:rPr>
        <w:t xml:space="preserve"> for both inpatient and outpatient levels of care.  Total Gross Reimbursement divided by Total Gross Charges for such claims.  </w:t>
      </w:r>
    </w:p>
    <w:p w:rsidR="00B12B23" w:rsidRDefault="00B12B23" w:rsidP="00B12B23">
      <w:pPr>
        <w:jc w:val="both"/>
      </w:pPr>
    </w:p>
    <w:sectPr w:rsidR="00B1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23"/>
    <w:rsid w:val="005F647F"/>
    <w:rsid w:val="006F06A7"/>
    <w:rsid w:val="00B12B23"/>
    <w:rsid w:val="00E95D6B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A5A3-DE17-47DE-8C7D-16EB3152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Gerken</dc:creator>
  <cp:keywords/>
  <dc:description/>
  <cp:lastModifiedBy>Emily Gerken</cp:lastModifiedBy>
  <cp:revision>4</cp:revision>
  <dcterms:created xsi:type="dcterms:W3CDTF">2018-04-06T13:48:00Z</dcterms:created>
  <dcterms:modified xsi:type="dcterms:W3CDTF">2020-04-22T11:37:00Z</dcterms:modified>
</cp:coreProperties>
</file>