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5B848" w14:textId="77777777" w:rsidR="004806D3" w:rsidRPr="00F9318C" w:rsidRDefault="004D11FD" w:rsidP="004806D3">
      <w:pPr>
        <w:spacing w:after="0" w:line="240" w:lineRule="auto"/>
        <w:rPr>
          <w:sz w:val="28"/>
          <w:szCs w:val="28"/>
          <w:lang w:val="es-PE"/>
        </w:rPr>
      </w:pPr>
      <w:r>
        <w:rPr>
          <w:rFonts w:ascii="Aptos" w:eastAsia="Aptos" w:hAnsi="Aptos" w:cs="Times New Roman"/>
          <w:sz w:val="28"/>
          <w:szCs w:val="28"/>
          <w:lang w:val="es-ES_tradnl"/>
        </w:rPr>
        <w:t>Declaración de no discriminación del Sistema de Atención de la Salud de ARMC</w:t>
      </w:r>
    </w:p>
    <w:p w14:paraId="658B7300" w14:textId="77777777" w:rsidR="004806D3" w:rsidRPr="00F9318C" w:rsidRDefault="004806D3" w:rsidP="004806D3">
      <w:pPr>
        <w:spacing w:after="0" w:line="240" w:lineRule="auto"/>
        <w:rPr>
          <w:sz w:val="28"/>
          <w:szCs w:val="28"/>
          <w:lang w:val="es-PE"/>
        </w:rPr>
      </w:pPr>
    </w:p>
    <w:p w14:paraId="31C7C6D4" w14:textId="77777777" w:rsidR="004806D3" w:rsidRPr="00F9318C" w:rsidRDefault="004D11FD" w:rsidP="004806D3">
      <w:pPr>
        <w:spacing w:after="0" w:line="240" w:lineRule="auto"/>
        <w:rPr>
          <w:lang w:val="es-PE"/>
        </w:rPr>
      </w:pPr>
      <w:r>
        <w:rPr>
          <w:rFonts w:ascii="Aptos" w:eastAsia="Aptos" w:hAnsi="Aptos" w:cs="Times New Roman"/>
          <w:lang w:val="es-ES_tradnl"/>
        </w:rPr>
        <w:t xml:space="preserve">El Sistema de Atención de la Salud de ARMC (conformado por </w:t>
      </w:r>
      <w:r>
        <w:rPr>
          <w:rFonts w:ascii="Aptos" w:eastAsia="Aptos" w:hAnsi="Aptos" w:cs="Times New Roman"/>
          <w:i/>
          <w:iCs/>
          <w:lang w:val="es-ES_tradnl"/>
        </w:rPr>
        <w:t>A</w:t>
      </w:r>
      <w:r>
        <w:rPr>
          <w:rFonts w:ascii="Aptos" w:eastAsia="Aptos" w:hAnsi="Aptos" w:cs="Times New Roman"/>
          <w:lang w:val="es-ES_tradnl"/>
        </w:rPr>
        <w:t>shtabula Regional Medical Center [ARMC], ARMC Home Health y Glenbeigh Hospital y los centros ambulatorios) cumple todas las leyes federales aplicables en materia de derechos civiles, incluido el artículo 1557 de la Ley de Atención Asequible. El Sistema de Atención de la Salud de ARMC no discrimina por motivos de raza, color, nacionalidad (lo que incluye tener dominio limitado del inglés y el idioma natal), sexo (de acuerdo con el ámbito de la discriminación por razón de sexo descrita en el Título 45, Sección 92.101(a)(2), del CFR), edad o discapacidad.</w:t>
      </w:r>
    </w:p>
    <w:p w14:paraId="58238835" w14:textId="77777777" w:rsidR="004806D3" w:rsidRPr="00F9318C" w:rsidRDefault="004806D3" w:rsidP="004806D3">
      <w:pPr>
        <w:spacing w:after="0" w:line="240" w:lineRule="auto"/>
        <w:rPr>
          <w:lang w:val="es-PE"/>
        </w:rPr>
      </w:pPr>
    </w:p>
    <w:p w14:paraId="662D473F" w14:textId="77777777" w:rsidR="004806D3" w:rsidRPr="00F9318C" w:rsidRDefault="004D11FD" w:rsidP="004806D3">
      <w:pPr>
        <w:spacing w:after="0" w:line="240" w:lineRule="auto"/>
        <w:rPr>
          <w:lang w:val="es-PE"/>
        </w:rPr>
      </w:pPr>
      <w:r>
        <w:rPr>
          <w:rFonts w:ascii="Aptos" w:eastAsia="Aptos" w:hAnsi="Aptos" w:cs="Times New Roman"/>
          <w:lang w:val="es-ES_tradnl"/>
        </w:rPr>
        <w:t>En cumplimiento del artículo 1557 y otras leyes federales de derechos civiles, proporcionamos a las personas lo siguiente de forma oportuna y gratuita:</w:t>
      </w:r>
    </w:p>
    <w:p w14:paraId="72132E99" w14:textId="77777777" w:rsidR="004806D3" w:rsidRPr="00F9318C" w:rsidRDefault="004806D3" w:rsidP="004806D3">
      <w:pPr>
        <w:spacing w:after="0" w:line="240" w:lineRule="auto"/>
        <w:rPr>
          <w:lang w:val="es-PE"/>
        </w:rPr>
      </w:pPr>
    </w:p>
    <w:p w14:paraId="64EFA74E" w14:textId="77777777" w:rsidR="004806D3" w:rsidRPr="00F9318C" w:rsidRDefault="004D11FD" w:rsidP="004806D3">
      <w:pPr>
        <w:spacing w:after="0" w:line="240" w:lineRule="auto"/>
        <w:rPr>
          <w:lang w:val="es-PE"/>
        </w:rPr>
      </w:pPr>
      <w:r>
        <w:rPr>
          <w:rFonts w:ascii="Aptos" w:eastAsia="Aptos" w:hAnsi="Aptos" w:cs="Times New Roman"/>
          <w:b/>
          <w:bCs/>
          <w:lang w:val="es-ES_tradnl"/>
        </w:rPr>
        <w:t>Servicios de asistencia lingüística</w:t>
      </w:r>
      <w:r>
        <w:rPr>
          <w:rFonts w:ascii="Aptos" w:eastAsia="Aptos" w:hAnsi="Aptos" w:cs="Times New Roman"/>
          <w:lang w:val="es-ES_tradnl"/>
        </w:rPr>
        <w:t xml:space="preserve">: </w:t>
      </w:r>
      <w:r w:rsidR="00F9318C">
        <w:rPr>
          <w:rFonts w:ascii="Aptos" w:eastAsia="Aptos" w:hAnsi="Aptos" w:cs="Times New Roman"/>
          <w:lang w:val="es-ES_tradnl"/>
        </w:rPr>
        <w:t>e</w:t>
      </w:r>
      <w:r>
        <w:rPr>
          <w:rFonts w:ascii="Aptos" w:eastAsia="Aptos" w:hAnsi="Aptos" w:cs="Times New Roman"/>
          <w:lang w:val="es-ES_tradnl"/>
        </w:rPr>
        <w:t>l Sistema de Atención de la Salud de ARMC proporcionará servicios de asistencia lingüística para las personas con dominio limitado del inglés (incluidos los acompañantes de las personas con dominio limitado del inglés) para garantizar total acceso a nuestros programas, actividades, servicios y otros beneficios. Los servicios de asistencia lingüística pueden incluir:</w:t>
      </w:r>
    </w:p>
    <w:p w14:paraId="58F241C3" w14:textId="77777777" w:rsidR="004806D3" w:rsidRPr="00F9318C" w:rsidRDefault="004D11FD" w:rsidP="004806D3">
      <w:pPr>
        <w:pStyle w:val="ListParagraph"/>
        <w:numPr>
          <w:ilvl w:val="0"/>
          <w:numId w:val="1"/>
        </w:numPr>
        <w:spacing w:after="0" w:line="240" w:lineRule="auto"/>
        <w:rPr>
          <w:lang w:val="es-PE"/>
        </w:rPr>
      </w:pPr>
      <w:r>
        <w:rPr>
          <w:rFonts w:ascii="Aptos" w:eastAsia="Aptos" w:hAnsi="Aptos" w:cs="Times New Roman"/>
          <w:lang w:val="es-ES_tradnl"/>
        </w:rPr>
        <w:t>Documentos traducidos escritos y en formato electrónico</w:t>
      </w:r>
    </w:p>
    <w:p w14:paraId="60D1BB4B" w14:textId="77777777" w:rsidR="004806D3" w:rsidRDefault="004D11FD" w:rsidP="004806D3">
      <w:pPr>
        <w:pStyle w:val="ListParagraph"/>
        <w:numPr>
          <w:ilvl w:val="0"/>
          <w:numId w:val="1"/>
        </w:numPr>
        <w:spacing w:after="0" w:line="240" w:lineRule="auto"/>
      </w:pPr>
      <w:r>
        <w:rPr>
          <w:rFonts w:ascii="Aptos" w:eastAsia="Aptos" w:hAnsi="Aptos" w:cs="Times New Roman"/>
          <w:lang w:val="es-ES_tradnl"/>
        </w:rPr>
        <w:t>Intérpretes calificados</w:t>
      </w:r>
    </w:p>
    <w:p w14:paraId="690B03D6" w14:textId="77777777" w:rsidR="004806D3" w:rsidRDefault="004806D3" w:rsidP="004806D3">
      <w:pPr>
        <w:spacing w:after="0" w:line="240" w:lineRule="auto"/>
      </w:pPr>
    </w:p>
    <w:p w14:paraId="669F0F8B" w14:textId="77777777" w:rsidR="004806D3" w:rsidRPr="00F9318C" w:rsidRDefault="004D11FD" w:rsidP="004806D3">
      <w:pPr>
        <w:spacing w:after="0" w:line="240" w:lineRule="auto"/>
        <w:rPr>
          <w:lang w:val="es-PE"/>
        </w:rPr>
      </w:pPr>
      <w:r>
        <w:rPr>
          <w:rFonts w:ascii="Aptos" w:eastAsia="Aptos" w:hAnsi="Aptos" w:cs="Times New Roman"/>
          <w:b/>
          <w:bCs/>
          <w:lang w:val="es-ES_tradnl"/>
        </w:rPr>
        <w:t>Provisión de servicios de asistencia lingüística y ayudas y servicios auxiliares adecuados</w:t>
      </w:r>
      <w:r>
        <w:rPr>
          <w:rFonts w:ascii="Aptos" w:eastAsia="Aptos" w:hAnsi="Aptos" w:cs="Times New Roman"/>
          <w:lang w:val="es-ES_tradnl"/>
        </w:rPr>
        <w:t xml:space="preserve">: </w:t>
      </w:r>
      <w:r w:rsidR="00F9318C">
        <w:rPr>
          <w:rFonts w:ascii="Aptos" w:eastAsia="Aptos" w:hAnsi="Aptos" w:cs="Times New Roman"/>
          <w:lang w:val="es-ES_tradnl"/>
        </w:rPr>
        <w:t>e</w:t>
      </w:r>
      <w:r>
        <w:rPr>
          <w:rFonts w:ascii="Aptos" w:eastAsia="Aptos" w:hAnsi="Aptos" w:cs="Times New Roman"/>
          <w:lang w:val="es-ES_tradnl"/>
        </w:rPr>
        <w:t>l Sistema de Atención de la Salud de ARMC proporcionará servicios de asistencia lingüística y ayudas y servicios auxiliares adecuados para personas con discapacidad (incluidos los acompañantes de personas con discapacidad) para garantizar una comunicación efectiva. Estas ayudas y servicios auxiliares adecuados pueden incluir:</w:t>
      </w:r>
    </w:p>
    <w:p w14:paraId="7F24296D" w14:textId="77777777" w:rsidR="004806D3" w:rsidRPr="00F9318C" w:rsidRDefault="004D11FD" w:rsidP="004806D3">
      <w:pPr>
        <w:pStyle w:val="ListParagraph"/>
        <w:numPr>
          <w:ilvl w:val="0"/>
          <w:numId w:val="2"/>
        </w:numPr>
        <w:spacing w:after="0" w:line="240" w:lineRule="auto"/>
        <w:rPr>
          <w:lang w:val="es-PE"/>
        </w:rPr>
      </w:pPr>
      <w:r>
        <w:rPr>
          <w:rFonts w:ascii="Aptos" w:eastAsia="Aptos" w:hAnsi="Aptos" w:cs="Times New Roman"/>
          <w:lang w:val="es-ES_tradnl"/>
        </w:rPr>
        <w:t>Intérpretes calificados, incluidos intérpretes de lengua de señas estadounidense</w:t>
      </w:r>
    </w:p>
    <w:p w14:paraId="295623F3" w14:textId="77777777" w:rsidR="004806D3" w:rsidRDefault="004D11FD" w:rsidP="004806D3">
      <w:pPr>
        <w:pStyle w:val="ListParagraph"/>
        <w:numPr>
          <w:ilvl w:val="0"/>
          <w:numId w:val="2"/>
        </w:numPr>
        <w:spacing w:after="0" w:line="240" w:lineRule="auto"/>
      </w:pPr>
      <w:r>
        <w:rPr>
          <w:rFonts w:ascii="Aptos" w:eastAsia="Aptos" w:hAnsi="Aptos" w:cs="Times New Roman"/>
          <w:lang w:val="es-ES_tradnl"/>
        </w:rPr>
        <w:t>Interpretación a distancia por video</w:t>
      </w:r>
    </w:p>
    <w:p w14:paraId="68ADE3BD" w14:textId="77777777" w:rsidR="004806D3" w:rsidRPr="00F9318C" w:rsidRDefault="004D11FD" w:rsidP="004806D3">
      <w:pPr>
        <w:pStyle w:val="ListParagraph"/>
        <w:numPr>
          <w:ilvl w:val="0"/>
          <w:numId w:val="2"/>
        </w:numPr>
        <w:spacing w:after="0" w:line="240" w:lineRule="auto"/>
        <w:rPr>
          <w:lang w:val="es-PE"/>
        </w:rPr>
      </w:pPr>
      <w:r>
        <w:rPr>
          <w:rFonts w:ascii="Aptos" w:eastAsia="Aptos" w:hAnsi="Aptos" w:cs="Times New Roman"/>
          <w:lang w:val="es-ES_tradnl"/>
        </w:rPr>
        <w:t>Información en formatos alternativos (incluidos, entre otros, letra grande, audio grabado y formatos electrónicos accesibles)</w:t>
      </w:r>
    </w:p>
    <w:p w14:paraId="7206A7EB" w14:textId="77777777" w:rsidR="004806D3" w:rsidRPr="00F9318C" w:rsidRDefault="004806D3" w:rsidP="004806D3">
      <w:pPr>
        <w:spacing w:after="0" w:line="240" w:lineRule="auto"/>
        <w:rPr>
          <w:lang w:val="es-PE"/>
        </w:rPr>
      </w:pPr>
    </w:p>
    <w:p w14:paraId="0464CF8C" w14:textId="77777777" w:rsidR="004806D3" w:rsidRPr="00F9318C" w:rsidRDefault="004D11FD" w:rsidP="004806D3">
      <w:pPr>
        <w:spacing w:after="0" w:line="240" w:lineRule="auto"/>
        <w:rPr>
          <w:lang w:val="es-PE"/>
        </w:rPr>
      </w:pPr>
      <w:r>
        <w:rPr>
          <w:rFonts w:ascii="Aptos" w:eastAsia="Aptos" w:hAnsi="Aptos" w:cs="Times New Roman"/>
          <w:b/>
          <w:bCs/>
          <w:lang w:val="es-ES_tradnl"/>
        </w:rPr>
        <w:t>Modificaciones razonables:</w:t>
      </w:r>
      <w:r>
        <w:rPr>
          <w:rFonts w:ascii="Aptos" w:eastAsia="Aptos" w:hAnsi="Aptos" w:cs="Times New Roman"/>
          <w:lang w:val="es-ES_tradnl"/>
        </w:rPr>
        <w:t xml:space="preserve"> </w:t>
      </w:r>
      <w:r w:rsidR="00F9318C">
        <w:rPr>
          <w:rFonts w:ascii="Aptos" w:eastAsia="Aptos" w:hAnsi="Aptos" w:cs="Times New Roman"/>
          <w:lang w:val="es-ES_tradnl"/>
        </w:rPr>
        <w:t>e</w:t>
      </w:r>
      <w:r>
        <w:rPr>
          <w:rFonts w:ascii="Aptos" w:eastAsia="Aptos" w:hAnsi="Aptos" w:cs="Times New Roman"/>
          <w:lang w:val="es-ES_tradnl"/>
        </w:rPr>
        <w:t>l Sistema de Atención de la Salud de ARMC proporcionará modificaciones razonables para las personas calificadas con discapacidad cuando sea necesario para garantizar la accesibilidad y la igualdad de oportunidades para participar en nuestros programas, actividades, servicios u otros beneficios.</w:t>
      </w:r>
    </w:p>
    <w:p w14:paraId="2A7AD400" w14:textId="77777777" w:rsidR="00C743E0" w:rsidRPr="00F9318C" w:rsidRDefault="00C743E0" w:rsidP="004806D3">
      <w:pPr>
        <w:spacing w:after="0" w:line="240" w:lineRule="auto"/>
        <w:rPr>
          <w:lang w:val="es-PE"/>
        </w:rPr>
      </w:pPr>
    </w:p>
    <w:p w14:paraId="4523C8EF" w14:textId="77777777" w:rsidR="00C743E0" w:rsidRPr="00F9318C" w:rsidRDefault="004D11FD" w:rsidP="004806D3">
      <w:pPr>
        <w:spacing w:after="0" w:line="240" w:lineRule="auto"/>
        <w:rPr>
          <w:lang w:val="es-PE"/>
        </w:rPr>
      </w:pPr>
      <w:r>
        <w:rPr>
          <w:rFonts w:ascii="Aptos" w:eastAsia="Aptos" w:hAnsi="Aptos" w:cs="Times New Roman"/>
          <w:lang w:val="es-ES_tradnl"/>
        </w:rPr>
        <w:t xml:space="preserve">Para acceder a nuestros servicios de asistencia lingüística, ayudas y servicios auxiliares y recibir asistencia para obtener una modificación razonable, comuníquese con un miembro de su equipo de atención. Para obtener asistencia adicional, también puede ponerse en contacto con el supervisor de Enfermería a través de su equipo de atención. </w:t>
      </w:r>
    </w:p>
    <w:p w14:paraId="08E056DD" w14:textId="77777777" w:rsidR="00C743E0" w:rsidRPr="00F9318C" w:rsidRDefault="00C743E0" w:rsidP="004806D3">
      <w:pPr>
        <w:spacing w:after="0" w:line="240" w:lineRule="auto"/>
        <w:rPr>
          <w:lang w:val="es-PE"/>
        </w:rPr>
      </w:pPr>
    </w:p>
    <w:p w14:paraId="21710E31" w14:textId="77777777" w:rsidR="00C743E0" w:rsidRPr="00F9318C" w:rsidRDefault="004D11FD" w:rsidP="004806D3">
      <w:pPr>
        <w:spacing w:after="0" w:line="240" w:lineRule="auto"/>
        <w:rPr>
          <w:lang w:val="es-PE"/>
        </w:rPr>
      </w:pPr>
      <w:r>
        <w:rPr>
          <w:rFonts w:ascii="Aptos" w:eastAsia="Aptos" w:hAnsi="Aptos" w:cs="Times New Roman"/>
          <w:lang w:val="es-ES_tradnl"/>
        </w:rPr>
        <w:t xml:space="preserve">Si considera que el Sistema de Atención de la Salud de ARMC no le ha prestado estos servicios o lo ha discriminado de otro modo por motivos de raza, color, nacionalidad, sexo, edad o discapacidad, puede presentar un reclamo ante el contacto de la entidad según los datos que aparecen abajo: </w:t>
      </w:r>
    </w:p>
    <w:p w14:paraId="093A203B" w14:textId="5FB6F838" w:rsidR="00BC1CE5" w:rsidRDefault="00BC1CE5">
      <w:pPr>
        <w:rPr>
          <w:lang w:val="es-PE"/>
        </w:rPr>
      </w:pPr>
      <w:r>
        <w:rPr>
          <w:lang w:val="es-PE"/>
        </w:rPr>
        <w:br w:type="page"/>
      </w:r>
    </w:p>
    <w:p w14:paraId="095D60FA" w14:textId="77777777" w:rsidR="00C743E0" w:rsidRPr="00F9318C" w:rsidRDefault="00C743E0" w:rsidP="004806D3">
      <w:pPr>
        <w:spacing w:after="0" w:line="240" w:lineRule="auto"/>
        <w:rPr>
          <w:lang w:val="es-PE"/>
        </w:rPr>
      </w:pPr>
    </w:p>
    <w:p w14:paraId="15F33447" w14:textId="77777777" w:rsidR="00C743E0" w:rsidRDefault="004D11FD" w:rsidP="004806D3">
      <w:pPr>
        <w:spacing w:after="0" w:line="240" w:lineRule="auto"/>
      </w:pPr>
      <w:r w:rsidRPr="00F9318C">
        <w:rPr>
          <w:rFonts w:ascii="Aptos" w:eastAsia="Aptos" w:hAnsi="Aptos" w:cs="Times New Roman"/>
        </w:rPr>
        <w:t>Ombudsman</w:t>
      </w:r>
      <w:r w:rsidRPr="00F9318C">
        <w:rPr>
          <w:rFonts w:ascii="Aptos" w:eastAsia="Aptos" w:hAnsi="Aptos" w:cs="Times New Roman"/>
        </w:rPr>
        <w:tab/>
      </w:r>
      <w:r w:rsidRPr="00F9318C">
        <w:rPr>
          <w:rFonts w:ascii="Aptos" w:eastAsia="Aptos" w:hAnsi="Aptos" w:cs="Times New Roman"/>
        </w:rPr>
        <w:tab/>
      </w:r>
      <w:r w:rsidRPr="00F9318C">
        <w:rPr>
          <w:rFonts w:ascii="Aptos" w:eastAsia="Aptos" w:hAnsi="Aptos" w:cs="Times New Roman"/>
        </w:rPr>
        <w:tab/>
      </w:r>
      <w:r w:rsidRPr="00F9318C">
        <w:rPr>
          <w:rFonts w:ascii="Aptos" w:eastAsia="Aptos" w:hAnsi="Aptos" w:cs="Times New Roman"/>
        </w:rPr>
        <w:tab/>
      </w:r>
      <w:r w:rsidRPr="00F9318C">
        <w:rPr>
          <w:rFonts w:ascii="Aptos" w:eastAsia="Aptos" w:hAnsi="Aptos" w:cs="Times New Roman"/>
        </w:rPr>
        <w:tab/>
        <w:t>Quality Director</w:t>
      </w:r>
      <w:r w:rsidRPr="00F9318C">
        <w:rPr>
          <w:rFonts w:ascii="Aptos" w:eastAsia="Aptos" w:hAnsi="Aptos" w:cs="Times New Roman"/>
        </w:rPr>
        <w:tab/>
      </w:r>
      <w:r w:rsidRPr="00F9318C">
        <w:rPr>
          <w:rFonts w:ascii="Aptos" w:eastAsia="Aptos" w:hAnsi="Aptos" w:cs="Times New Roman"/>
        </w:rPr>
        <w:tab/>
        <w:t>Quality Manager</w:t>
      </w:r>
    </w:p>
    <w:p w14:paraId="2E294E27" w14:textId="2A323B77" w:rsidR="00C743E0" w:rsidRDefault="004D11FD" w:rsidP="004806D3">
      <w:pPr>
        <w:spacing w:after="0" w:line="240" w:lineRule="auto"/>
      </w:pPr>
      <w:r w:rsidRPr="00F9318C">
        <w:rPr>
          <w:rFonts w:ascii="Aptos" w:eastAsia="Aptos" w:hAnsi="Aptos" w:cs="Times New Roman"/>
        </w:rPr>
        <w:t xml:space="preserve">Ashtabula Regional Medical Center </w:t>
      </w:r>
      <w:r w:rsidRPr="00F9318C">
        <w:rPr>
          <w:rFonts w:ascii="Aptos" w:eastAsia="Aptos" w:hAnsi="Aptos" w:cs="Times New Roman"/>
        </w:rPr>
        <w:tab/>
      </w:r>
      <w:r w:rsidR="003D5A47">
        <w:rPr>
          <w:rFonts w:ascii="Aptos" w:eastAsia="Aptos" w:hAnsi="Aptos" w:cs="Times New Roman"/>
        </w:rPr>
        <w:tab/>
      </w:r>
      <w:r w:rsidRPr="00F9318C">
        <w:rPr>
          <w:rFonts w:ascii="Aptos" w:eastAsia="Aptos" w:hAnsi="Aptos" w:cs="Times New Roman"/>
        </w:rPr>
        <w:t>ARMC Home Health</w:t>
      </w:r>
      <w:r w:rsidRPr="00F9318C">
        <w:rPr>
          <w:rFonts w:ascii="Aptos" w:eastAsia="Aptos" w:hAnsi="Aptos" w:cs="Times New Roman"/>
        </w:rPr>
        <w:tab/>
      </w:r>
      <w:r w:rsidRPr="00F9318C">
        <w:rPr>
          <w:rFonts w:ascii="Aptos" w:eastAsia="Aptos" w:hAnsi="Aptos" w:cs="Times New Roman"/>
        </w:rPr>
        <w:tab/>
      </w:r>
      <w:proofErr w:type="spellStart"/>
      <w:r w:rsidRPr="00F9318C">
        <w:rPr>
          <w:rFonts w:ascii="Aptos" w:eastAsia="Aptos" w:hAnsi="Aptos" w:cs="Times New Roman"/>
        </w:rPr>
        <w:t>Glenbeigh</w:t>
      </w:r>
      <w:proofErr w:type="spellEnd"/>
    </w:p>
    <w:p w14:paraId="01A7F727" w14:textId="77777777" w:rsidR="00C743E0" w:rsidRDefault="004D11FD" w:rsidP="004806D3">
      <w:pPr>
        <w:spacing w:after="0" w:line="240" w:lineRule="auto"/>
      </w:pPr>
      <w:r w:rsidRPr="00F9318C">
        <w:rPr>
          <w:rFonts w:ascii="Aptos" w:eastAsia="Aptos" w:hAnsi="Aptos" w:cs="Times New Roman"/>
        </w:rPr>
        <w:t xml:space="preserve">2420 Lake Avenue </w:t>
      </w:r>
      <w:r w:rsidRPr="00F9318C">
        <w:rPr>
          <w:rFonts w:ascii="Aptos" w:eastAsia="Aptos" w:hAnsi="Aptos" w:cs="Times New Roman"/>
        </w:rPr>
        <w:tab/>
      </w:r>
      <w:r w:rsidRPr="00F9318C">
        <w:rPr>
          <w:rFonts w:ascii="Aptos" w:eastAsia="Aptos" w:hAnsi="Aptos" w:cs="Times New Roman"/>
        </w:rPr>
        <w:tab/>
      </w:r>
      <w:r w:rsidRPr="00F9318C">
        <w:rPr>
          <w:rFonts w:ascii="Aptos" w:eastAsia="Aptos" w:hAnsi="Aptos" w:cs="Times New Roman"/>
        </w:rPr>
        <w:tab/>
      </w:r>
      <w:r w:rsidRPr="00F9318C">
        <w:rPr>
          <w:rFonts w:ascii="Aptos" w:eastAsia="Aptos" w:hAnsi="Aptos" w:cs="Times New Roman"/>
        </w:rPr>
        <w:tab/>
        <w:t>2131 Lake Ave, Ste 2</w:t>
      </w:r>
      <w:r w:rsidRPr="00F9318C">
        <w:rPr>
          <w:rFonts w:ascii="Aptos" w:eastAsia="Aptos" w:hAnsi="Aptos" w:cs="Times New Roman"/>
        </w:rPr>
        <w:tab/>
      </w:r>
      <w:r w:rsidRPr="00F9318C">
        <w:rPr>
          <w:rFonts w:ascii="Aptos" w:eastAsia="Aptos" w:hAnsi="Aptos" w:cs="Times New Roman"/>
        </w:rPr>
        <w:tab/>
        <w:t>2863 State Route 45N</w:t>
      </w:r>
    </w:p>
    <w:p w14:paraId="23C14380" w14:textId="47B799DB" w:rsidR="00C743E0" w:rsidRDefault="004D11FD" w:rsidP="004806D3">
      <w:pPr>
        <w:spacing w:after="0" w:line="240" w:lineRule="auto"/>
      </w:pPr>
      <w:r w:rsidRPr="00F9318C">
        <w:rPr>
          <w:rFonts w:ascii="Aptos" w:eastAsia="Aptos" w:hAnsi="Aptos" w:cs="Times New Roman"/>
        </w:rPr>
        <w:t xml:space="preserve">Ashtabula, OH 44004 </w:t>
      </w:r>
      <w:r w:rsidRPr="00F9318C">
        <w:rPr>
          <w:rFonts w:ascii="Aptos" w:eastAsia="Aptos" w:hAnsi="Aptos" w:cs="Times New Roman"/>
        </w:rPr>
        <w:tab/>
      </w:r>
      <w:r w:rsidRPr="00F9318C">
        <w:rPr>
          <w:rFonts w:ascii="Aptos" w:eastAsia="Aptos" w:hAnsi="Aptos" w:cs="Times New Roman"/>
        </w:rPr>
        <w:tab/>
      </w:r>
      <w:r w:rsidRPr="00F9318C">
        <w:rPr>
          <w:rFonts w:ascii="Aptos" w:eastAsia="Aptos" w:hAnsi="Aptos" w:cs="Times New Roman"/>
        </w:rPr>
        <w:tab/>
      </w:r>
      <w:r w:rsidR="003D5A47">
        <w:rPr>
          <w:rFonts w:ascii="Aptos" w:eastAsia="Aptos" w:hAnsi="Aptos" w:cs="Times New Roman"/>
        </w:rPr>
        <w:tab/>
      </w:r>
      <w:r w:rsidRPr="00F9318C">
        <w:rPr>
          <w:rFonts w:ascii="Aptos" w:eastAsia="Aptos" w:hAnsi="Aptos" w:cs="Times New Roman"/>
        </w:rPr>
        <w:t>Ashtabula, OH 44004</w:t>
      </w:r>
      <w:r w:rsidRPr="00F9318C">
        <w:rPr>
          <w:rFonts w:ascii="Aptos" w:eastAsia="Aptos" w:hAnsi="Aptos" w:cs="Times New Roman"/>
        </w:rPr>
        <w:tab/>
      </w:r>
      <w:r w:rsidR="003D5A47">
        <w:rPr>
          <w:rFonts w:ascii="Aptos" w:eastAsia="Aptos" w:hAnsi="Aptos" w:cs="Times New Roman"/>
        </w:rPr>
        <w:tab/>
      </w:r>
      <w:r w:rsidRPr="00F9318C">
        <w:rPr>
          <w:rFonts w:ascii="Aptos" w:eastAsia="Aptos" w:hAnsi="Aptos" w:cs="Times New Roman"/>
        </w:rPr>
        <w:t>Rock Creek, OH 44084</w:t>
      </w:r>
    </w:p>
    <w:p w14:paraId="48473F0C" w14:textId="4639A352" w:rsidR="000E1316" w:rsidRPr="00F9318C" w:rsidRDefault="004D11FD" w:rsidP="004806D3">
      <w:pPr>
        <w:spacing w:after="0" w:line="240" w:lineRule="auto"/>
        <w:rPr>
          <w:lang w:val="es-PE"/>
        </w:rPr>
      </w:pPr>
      <w:r>
        <w:rPr>
          <w:rFonts w:ascii="Aptos" w:eastAsia="Aptos" w:hAnsi="Aptos" w:cs="Times New Roman"/>
          <w:lang w:val="es-ES_tradnl"/>
        </w:rPr>
        <w:t>440-997-2262</w:t>
      </w:r>
      <w:r>
        <w:rPr>
          <w:rFonts w:ascii="Aptos" w:eastAsia="Aptos" w:hAnsi="Aptos" w:cs="Times New Roman"/>
          <w:lang w:val="es-ES_tradnl"/>
        </w:rPr>
        <w:tab/>
      </w:r>
      <w:r>
        <w:rPr>
          <w:rFonts w:ascii="Aptos" w:eastAsia="Aptos" w:hAnsi="Aptos" w:cs="Times New Roman"/>
          <w:lang w:val="es-ES_tradnl"/>
        </w:rPr>
        <w:tab/>
      </w:r>
      <w:r>
        <w:rPr>
          <w:rFonts w:ascii="Aptos" w:eastAsia="Aptos" w:hAnsi="Aptos" w:cs="Times New Roman"/>
          <w:lang w:val="es-ES_tradnl"/>
        </w:rPr>
        <w:tab/>
      </w:r>
      <w:r>
        <w:rPr>
          <w:rFonts w:ascii="Aptos" w:eastAsia="Aptos" w:hAnsi="Aptos" w:cs="Times New Roman"/>
          <w:lang w:val="es-ES_tradnl"/>
        </w:rPr>
        <w:tab/>
      </w:r>
      <w:r w:rsidR="003D5A47">
        <w:rPr>
          <w:rFonts w:ascii="Aptos" w:eastAsia="Aptos" w:hAnsi="Aptos" w:cs="Times New Roman"/>
          <w:lang w:val="es-ES_tradnl"/>
        </w:rPr>
        <w:tab/>
      </w:r>
      <w:r>
        <w:rPr>
          <w:rFonts w:ascii="Aptos" w:eastAsia="Aptos" w:hAnsi="Aptos" w:cs="Times New Roman"/>
          <w:lang w:val="es-ES_tradnl"/>
        </w:rPr>
        <w:t>440-992-4633</w:t>
      </w:r>
      <w:r>
        <w:rPr>
          <w:rFonts w:ascii="Aptos" w:eastAsia="Aptos" w:hAnsi="Aptos" w:cs="Times New Roman"/>
          <w:lang w:val="es-ES_tradnl"/>
        </w:rPr>
        <w:tab/>
      </w:r>
      <w:r>
        <w:rPr>
          <w:rFonts w:ascii="Aptos" w:eastAsia="Aptos" w:hAnsi="Aptos" w:cs="Times New Roman"/>
          <w:lang w:val="es-ES_tradnl"/>
        </w:rPr>
        <w:tab/>
      </w:r>
      <w:r w:rsidR="003D5A47">
        <w:rPr>
          <w:rFonts w:ascii="Aptos" w:eastAsia="Aptos" w:hAnsi="Aptos" w:cs="Times New Roman"/>
          <w:lang w:val="es-ES_tradnl"/>
        </w:rPr>
        <w:tab/>
      </w:r>
      <w:r>
        <w:rPr>
          <w:rFonts w:ascii="Aptos" w:eastAsia="Aptos" w:hAnsi="Aptos" w:cs="Times New Roman"/>
          <w:lang w:val="es-ES_tradnl"/>
        </w:rPr>
        <w:t>440-563-3400</w:t>
      </w:r>
    </w:p>
    <w:p w14:paraId="704A8184" w14:textId="77777777" w:rsidR="00C743E0" w:rsidRPr="00F9318C" w:rsidRDefault="00C743E0" w:rsidP="004806D3">
      <w:pPr>
        <w:spacing w:after="0" w:line="240" w:lineRule="auto"/>
        <w:rPr>
          <w:lang w:val="es-PE"/>
        </w:rPr>
      </w:pPr>
    </w:p>
    <w:p w14:paraId="7557987D" w14:textId="77777777" w:rsidR="00C743E0" w:rsidRPr="00F9318C" w:rsidRDefault="004D11FD" w:rsidP="004806D3">
      <w:pPr>
        <w:spacing w:after="0" w:line="240" w:lineRule="auto"/>
        <w:rPr>
          <w:lang w:val="es-PE"/>
        </w:rPr>
      </w:pPr>
      <w:r>
        <w:rPr>
          <w:rFonts w:ascii="Aptos" w:eastAsia="Aptos" w:hAnsi="Aptos" w:cs="Times New Roman"/>
          <w:lang w:val="es-ES_tradnl"/>
        </w:rPr>
        <w:t xml:space="preserve">O bien puede presentar una queja ante la Oficina de Derechos Civiles del Departamento de Salud y Servicios Humanos de los EE. UU. en </w:t>
      </w:r>
      <w:hyperlink r:id="rId7" w:history="1">
        <w:r>
          <w:rPr>
            <w:rFonts w:ascii="Aptos" w:eastAsia="Aptos" w:hAnsi="Aptos" w:cs="Times New Roman"/>
            <w:color w:val="467886"/>
            <w:u w:val="single"/>
            <w:lang w:val="es-ES_tradnl"/>
          </w:rPr>
          <w:t>https://ocrportal.hhs.gov/ocr/smartscreen/main.jsf</w:t>
        </w:r>
      </w:hyperlink>
      <w:r>
        <w:rPr>
          <w:rFonts w:ascii="Aptos" w:eastAsia="Aptos" w:hAnsi="Aptos" w:cs="Times New Roman"/>
          <w:lang w:val="es-ES_tradnl"/>
        </w:rPr>
        <w:t xml:space="preserve"> o por correo a:</w:t>
      </w:r>
    </w:p>
    <w:p w14:paraId="3C81F736" w14:textId="77777777" w:rsidR="00C743E0" w:rsidRPr="00F9318C" w:rsidRDefault="00C743E0" w:rsidP="004806D3">
      <w:pPr>
        <w:spacing w:after="0" w:line="240" w:lineRule="auto"/>
        <w:rPr>
          <w:lang w:val="es-PE"/>
        </w:rPr>
      </w:pPr>
    </w:p>
    <w:p w14:paraId="60F59993" w14:textId="77777777" w:rsidR="00C743E0" w:rsidRDefault="004D11FD" w:rsidP="004806D3">
      <w:pPr>
        <w:spacing w:after="0" w:line="240" w:lineRule="auto"/>
      </w:pPr>
      <w:r w:rsidRPr="00F9318C">
        <w:rPr>
          <w:rFonts w:ascii="Aptos" w:eastAsia="Aptos" w:hAnsi="Aptos" w:cs="Times New Roman"/>
        </w:rPr>
        <w:t>US Department of Health and Human Services</w:t>
      </w:r>
    </w:p>
    <w:p w14:paraId="491176C4" w14:textId="77777777" w:rsidR="00C743E0" w:rsidRDefault="004D11FD" w:rsidP="004806D3">
      <w:pPr>
        <w:spacing w:after="0" w:line="240" w:lineRule="auto"/>
      </w:pPr>
      <w:r w:rsidRPr="00F9318C">
        <w:rPr>
          <w:rFonts w:ascii="Aptos" w:eastAsia="Aptos" w:hAnsi="Aptos" w:cs="Times New Roman"/>
        </w:rPr>
        <w:t>200 Independence Avenue, SW – 509F</w:t>
      </w:r>
    </w:p>
    <w:p w14:paraId="3E06194A" w14:textId="77777777" w:rsidR="00C743E0" w:rsidRDefault="004D11FD" w:rsidP="004806D3">
      <w:pPr>
        <w:spacing w:after="0" w:line="240" w:lineRule="auto"/>
      </w:pPr>
      <w:r w:rsidRPr="00F9318C">
        <w:rPr>
          <w:rFonts w:ascii="Aptos" w:eastAsia="Aptos" w:hAnsi="Aptos" w:cs="Times New Roman"/>
        </w:rPr>
        <w:t>Washington, DC 20201</w:t>
      </w:r>
    </w:p>
    <w:p w14:paraId="0B050ECB" w14:textId="77777777" w:rsidR="00E93BB0" w:rsidRDefault="00E93BB0" w:rsidP="004806D3">
      <w:pPr>
        <w:spacing w:after="0" w:line="240" w:lineRule="auto"/>
      </w:pPr>
    </w:p>
    <w:p w14:paraId="5C152C3B" w14:textId="77777777" w:rsidR="00E93BB0" w:rsidRDefault="00E93BB0" w:rsidP="004806D3">
      <w:pPr>
        <w:spacing w:after="0" w:line="240" w:lineRule="auto"/>
      </w:pPr>
    </w:p>
    <w:p w14:paraId="334EACE6" w14:textId="77777777" w:rsidR="00E93BB0" w:rsidRDefault="00E93BB0" w:rsidP="004806D3">
      <w:pPr>
        <w:spacing w:after="0" w:line="240" w:lineRule="auto"/>
      </w:pPr>
    </w:p>
    <w:p w14:paraId="6C4BC8BF" w14:textId="77777777" w:rsidR="00E93BB0" w:rsidRDefault="00E93BB0" w:rsidP="004806D3">
      <w:pPr>
        <w:spacing w:after="0" w:line="240" w:lineRule="auto"/>
      </w:pPr>
    </w:p>
    <w:p w14:paraId="32613562" w14:textId="77777777" w:rsidR="00E93BB0" w:rsidRPr="004806D3" w:rsidRDefault="004D11FD" w:rsidP="004806D3">
      <w:pPr>
        <w:spacing w:after="0" w:line="240" w:lineRule="auto"/>
      </w:pPr>
      <w:r>
        <w:rPr>
          <w:noProof/>
        </w:rPr>
        <w:drawing>
          <wp:inline distT="0" distB="0" distL="0" distR="0" wp14:anchorId="388E9D89" wp14:editId="523E5075">
            <wp:extent cx="1638300" cy="814112"/>
            <wp:effectExtent l="0" t="0" r="0" b="5080"/>
            <wp:docPr id="11711208" name="Picture 3"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208" name="Picture 3" descr="A close-up of a sign&#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6932" cy="818401"/>
                    </a:xfrm>
                    <a:prstGeom prst="rect">
                      <a:avLst/>
                    </a:prstGeom>
                  </pic:spPr>
                </pic:pic>
              </a:graphicData>
            </a:graphic>
          </wp:inline>
        </w:drawing>
      </w:r>
    </w:p>
    <w:p w14:paraId="5649BCF4" w14:textId="77777777" w:rsidR="00E93BB0" w:rsidRDefault="00E93BB0">
      <w:pPr>
        <w:rPr>
          <w:sz w:val="28"/>
          <w:szCs w:val="28"/>
        </w:rPr>
      </w:pPr>
    </w:p>
    <w:p w14:paraId="65E2BA00" w14:textId="77777777" w:rsidR="00E93BB0" w:rsidRDefault="004D11FD">
      <w:pPr>
        <w:rPr>
          <w:sz w:val="28"/>
          <w:szCs w:val="28"/>
        </w:rPr>
      </w:pPr>
      <w:r>
        <w:rPr>
          <w:noProof/>
          <w:sz w:val="28"/>
          <w:szCs w:val="28"/>
        </w:rPr>
        <w:drawing>
          <wp:inline distT="0" distB="0" distL="0" distR="0" wp14:anchorId="3BA18CF1" wp14:editId="3FA8DDBB">
            <wp:extent cx="1666875" cy="609038"/>
            <wp:effectExtent l="0" t="0" r="0" b="635"/>
            <wp:docPr id="619484483"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484483" name="Picture 2" descr="A black background with a black squar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3769" cy="615211"/>
                    </a:xfrm>
                    <a:prstGeom prst="rect">
                      <a:avLst/>
                    </a:prstGeom>
                  </pic:spPr>
                </pic:pic>
              </a:graphicData>
            </a:graphic>
          </wp:inline>
        </w:drawing>
      </w:r>
    </w:p>
    <w:p w14:paraId="46067847" w14:textId="77777777" w:rsidR="00E93BB0" w:rsidRPr="00E93BB0" w:rsidRDefault="00E93BB0">
      <w:pPr>
        <w:rPr>
          <w:sz w:val="20"/>
          <w:szCs w:val="20"/>
        </w:rPr>
      </w:pPr>
    </w:p>
    <w:p w14:paraId="01411350" w14:textId="77777777" w:rsidR="00E93BB0" w:rsidRPr="004806D3" w:rsidRDefault="004D11FD">
      <w:pPr>
        <w:rPr>
          <w:sz w:val="28"/>
          <w:szCs w:val="28"/>
        </w:rPr>
      </w:pPr>
      <w:r>
        <w:rPr>
          <w:noProof/>
          <w:sz w:val="28"/>
          <w:szCs w:val="28"/>
        </w:rPr>
        <w:drawing>
          <wp:inline distT="0" distB="0" distL="0" distR="0" wp14:anchorId="4C4F2327" wp14:editId="13046F4E">
            <wp:extent cx="1766967" cy="661035"/>
            <wp:effectExtent l="0" t="0" r="5080" b="5715"/>
            <wp:docPr id="1046497325" name="Picture 4"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97325" name="Picture 4" descr="A close-up of a sign&#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4871" cy="671474"/>
                    </a:xfrm>
                    <a:prstGeom prst="rect">
                      <a:avLst/>
                    </a:prstGeom>
                  </pic:spPr>
                </pic:pic>
              </a:graphicData>
            </a:graphic>
          </wp:inline>
        </w:drawing>
      </w:r>
    </w:p>
    <w:sectPr w:rsidR="00E93BB0" w:rsidRPr="004806D3" w:rsidSect="00F9318C">
      <w:headerReference w:type="even" r:id="rId11"/>
      <w:headerReference w:type="default" r:id="rId12"/>
      <w:footerReference w:type="even" r:id="rId13"/>
      <w:footerReference w:type="default" r:id="rId14"/>
      <w:headerReference w:type="first" r:id="rId15"/>
      <w:footerReference w:type="first" r:id="rId16"/>
      <w:pgSz w:w="12240" w:h="15840"/>
      <w:pgMar w:top="1080" w:right="90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897FF" w14:textId="77777777" w:rsidR="004D11FD" w:rsidRDefault="004D11FD">
      <w:pPr>
        <w:spacing w:after="0" w:line="240" w:lineRule="auto"/>
      </w:pPr>
      <w:r>
        <w:separator/>
      </w:r>
    </w:p>
  </w:endnote>
  <w:endnote w:type="continuationSeparator" w:id="0">
    <w:p w14:paraId="39DEE5DA" w14:textId="77777777" w:rsidR="004D11FD" w:rsidRDefault="004D1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1D08" w14:textId="77777777" w:rsidR="00771492" w:rsidRDefault="000D68F6">
    <w:pPr>
      <w:pStyle w:val="Footer"/>
    </w:pPr>
    <w:r>
      <w:fldChar w:fldCharType="begin"/>
    </w:r>
    <w:r w:rsidR="004D11FD">
      <w:instrText xml:space="preserve"> DOCPROPERTY DOCXDOCID DMS=InterwovenIManage Format=&lt;&lt;NUM&gt;&gt; _&lt;&lt;VER&gt;&gt; PRESERVELOCATION \* MERGEFORMAT </w:instrText>
    </w:r>
    <w:r>
      <w:fldChar w:fldCharType="separate"/>
    </w:r>
    <w:r w:rsidR="004D11FD">
      <w:rPr>
        <w:rFonts w:ascii="Aptos" w:eastAsia="Aptos" w:hAnsi="Aptos" w:cs="Times New Roman"/>
        <w:lang w:val="es-ES_tradnl"/>
      </w:rPr>
      <w:t>23477426 _1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F59C" w14:textId="77777777" w:rsidR="00771492" w:rsidRDefault="000D68F6">
    <w:pPr>
      <w:pStyle w:val="Footer"/>
    </w:pPr>
    <w:r>
      <w:fldChar w:fldCharType="begin"/>
    </w:r>
    <w:r w:rsidR="004D11FD">
      <w:instrText xml:space="preserve"> DOCPROPERTY DOCXDOCID DMS=InterwovenIManage Format=&lt;&lt;NUM&gt;&gt; _&lt;&lt;VER&gt;&gt; PRESERVELOCATION \* MERGEFORMAT </w:instrText>
    </w:r>
    <w:r>
      <w:fldChar w:fldCharType="separate"/>
    </w:r>
    <w:r w:rsidR="004D11FD">
      <w:rPr>
        <w:rFonts w:ascii="Aptos" w:eastAsia="Aptos" w:hAnsi="Aptos" w:cs="Times New Roman"/>
        <w:lang w:val="es-ES_tradnl"/>
      </w:rPr>
      <w:t>23477426 _1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5A3F" w14:textId="77777777" w:rsidR="00771492" w:rsidRDefault="000D68F6">
    <w:pPr>
      <w:pStyle w:val="Footer"/>
    </w:pPr>
    <w:r>
      <w:fldChar w:fldCharType="begin"/>
    </w:r>
    <w:r w:rsidR="004D11FD">
      <w:instrText xml:space="preserve"> DOCPROPERTY DOCXDOCID DMS=InterwovenIManage Format=&lt;&lt;NUM&gt;&gt; _&lt;&lt;VER&gt;&gt; PRESERVELOCATION \* MERGEFORMAT </w:instrText>
    </w:r>
    <w:r>
      <w:fldChar w:fldCharType="separate"/>
    </w:r>
    <w:r w:rsidR="004D11FD">
      <w:rPr>
        <w:rFonts w:ascii="Aptos" w:eastAsia="Aptos" w:hAnsi="Aptos" w:cs="Times New Roman"/>
        <w:lang w:val="es-ES_tradnl"/>
      </w:rPr>
      <w:t>23477426 _1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EB889" w14:textId="77777777" w:rsidR="004D11FD" w:rsidRDefault="004D11FD">
      <w:pPr>
        <w:spacing w:after="0" w:line="240" w:lineRule="auto"/>
      </w:pPr>
      <w:r>
        <w:separator/>
      </w:r>
    </w:p>
  </w:footnote>
  <w:footnote w:type="continuationSeparator" w:id="0">
    <w:p w14:paraId="60FD29AB" w14:textId="77777777" w:rsidR="004D11FD" w:rsidRDefault="004D1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C82FF" w14:textId="77777777" w:rsidR="00771492" w:rsidRDefault="007714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3B1B" w14:textId="77777777" w:rsidR="00771492" w:rsidRDefault="007714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24CF1" w14:textId="77777777" w:rsidR="00771492" w:rsidRDefault="00771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43FC"/>
    <w:multiLevelType w:val="hybridMultilevel"/>
    <w:tmpl w:val="E02CA3F2"/>
    <w:lvl w:ilvl="0" w:tplc="0DE457F2">
      <w:start w:val="1"/>
      <w:numFmt w:val="bullet"/>
      <w:lvlText w:val=""/>
      <w:lvlJc w:val="left"/>
      <w:pPr>
        <w:ind w:left="720" w:hanging="360"/>
      </w:pPr>
      <w:rPr>
        <w:rFonts w:ascii="Symbol" w:hAnsi="Symbol" w:hint="default"/>
      </w:rPr>
    </w:lvl>
    <w:lvl w:ilvl="1" w:tplc="4C98CC14" w:tentative="1">
      <w:start w:val="1"/>
      <w:numFmt w:val="bullet"/>
      <w:lvlText w:val="o"/>
      <w:lvlJc w:val="left"/>
      <w:pPr>
        <w:ind w:left="1440" w:hanging="360"/>
      </w:pPr>
      <w:rPr>
        <w:rFonts w:ascii="Courier New" w:hAnsi="Courier New" w:cs="Courier New" w:hint="default"/>
      </w:rPr>
    </w:lvl>
    <w:lvl w:ilvl="2" w:tplc="CD48C88E" w:tentative="1">
      <w:start w:val="1"/>
      <w:numFmt w:val="bullet"/>
      <w:lvlText w:val=""/>
      <w:lvlJc w:val="left"/>
      <w:pPr>
        <w:ind w:left="2160" w:hanging="360"/>
      </w:pPr>
      <w:rPr>
        <w:rFonts w:ascii="Wingdings" w:hAnsi="Wingdings" w:hint="default"/>
      </w:rPr>
    </w:lvl>
    <w:lvl w:ilvl="3" w:tplc="9454DEF8" w:tentative="1">
      <w:start w:val="1"/>
      <w:numFmt w:val="bullet"/>
      <w:lvlText w:val=""/>
      <w:lvlJc w:val="left"/>
      <w:pPr>
        <w:ind w:left="2880" w:hanging="360"/>
      </w:pPr>
      <w:rPr>
        <w:rFonts w:ascii="Symbol" w:hAnsi="Symbol" w:hint="default"/>
      </w:rPr>
    </w:lvl>
    <w:lvl w:ilvl="4" w:tplc="870A1D5C" w:tentative="1">
      <w:start w:val="1"/>
      <w:numFmt w:val="bullet"/>
      <w:lvlText w:val="o"/>
      <w:lvlJc w:val="left"/>
      <w:pPr>
        <w:ind w:left="3600" w:hanging="360"/>
      </w:pPr>
      <w:rPr>
        <w:rFonts w:ascii="Courier New" w:hAnsi="Courier New" w:cs="Courier New" w:hint="default"/>
      </w:rPr>
    </w:lvl>
    <w:lvl w:ilvl="5" w:tplc="B1F22940" w:tentative="1">
      <w:start w:val="1"/>
      <w:numFmt w:val="bullet"/>
      <w:lvlText w:val=""/>
      <w:lvlJc w:val="left"/>
      <w:pPr>
        <w:ind w:left="4320" w:hanging="360"/>
      </w:pPr>
      <w:rPr>
        <w:rFonts w:ascii="Wingdings" w:hAnsi="Wingdings" w:hint="default"/>
      </w:rPr>
    </w:lvl>
    <w:lvl w:ilvl="6" w:tplc="EFC866B2" w:tentative="1">
      <w:start w:val="1"/>
      <w:numFmt w:val="bullet"/>
      <w:lvlText w:val=""/>
      <w:lvlJc w:val="left"/>
      <w:pPr>
        <w:ind w:left="5040" w:hanging="360"/>
      </w:pPr>
      <w:rPr>
        <w:rFonts w:ascii="Symbol" w:hAnsi="Symbol" w:hint="default"/>
      </w:rPr>
    </w:lvl>
    <w:lvl w:ilvl="7" w:tplc="4E0CB114" w:tentative="1">
      <w:start w:val="1"/>
      <w:numFmt w:val="bullet"/>
      <w:lvlText w:val="o"/>
      <w:lvlJc w:val="left"/>
      <w:pPr>
        <w:ind w:left="5760" w:hanging="360"/>
      </w:pPr>
      <w:rPr>
        <w:rFonts w:ascii="Courier New" w:hAnsi="Courier New" w:cs="Courier New" w:hint="default"/>
      </w:rPr>
    </w:lvl>
    <w:lvl w:ilvl="8" w:tplc="E1201648" w:tentative="1">
      <w:start w:val="1"/>
      <w:numFmt w:val="bullet"/>
      <w:lvlText w:val=""/>
      <w:lvlJc w:val="left"/>
      <w:pPr>
        <w:ind w:left="6480" w:hanging="360"/>
      </w:pPr>
      <w:rPr>
        <w:rFonts w:ascii="Wingdings" w:hAnsi="Wingdings" w:hint="default"/>
      </w:rPr>
    </w:lvl>
  </w:abstractNum>
  <w:abstractNum w:abstractNumId="1" w15:restartNumberingAfterBreak="0">
    <w:nsid w:val="39D562D8"/>
    <w:multiLevelType w:val="hybridMultilevel"/>
    <w:tmpl w:val="94C84740"/>
    <w:lvl w:ilvl="0" w:tplc="2460E948">
      <w:start w:val="1"/>
      <w:numFmt w:val="bullet"/>
      <w:lvlText w:val=""/>
      <w:lvlJc w:val="left"/>
      <w:pPr>
        <w:ind w:left="720" w:hanging="360"/>
      </w:pPr>
      <w:rPr>
        <w:rFonts w:ascii="Symbol" w:hAnsi="Symbol" w:hint="default"/>
      </w:rPr>
    </w:lvl>
    <w:lvl w:ilvl="1" w:tplc="1BDC3F26" w:tentative="1">
      <w:start w:val="1"/>
      <w:numFmt w:val="bullet"/>
      <w:lvlText w:val="o"/>
      <w:lvlJc w:val="left"/>
      <w:pPr>
        <w:ind w:left="1440" w:hanging="360"/>
      </w:pPr>
      <w:rPr>
        <w:rFonts w:ascii="Courier New" w:hAnsi="Courier New" w:cs="Courier New" w:hint="default"/>
      </w:rPr>
    </w:lvl>
    <w:lvl w:ilvl="2" w:tplc="07909C4A" w:tentative="1">
      <w:start w:val="1"/>
      <w:numFmt w:val="bullet"/>
      <w:lvlText w:val=""/>
      <w:lvlJc w:val="left"/>
      <w:pPr>
        <w:ind w:left="2160" w:hanging="360"/>
      </w:pPr>
      <w:rPr>
        <w:rFonts w:ascii="Wingdings" w:hAnsi="Wingdings" w:hint="default"/>
      </w:rPr>
    </w:lvl>
    <w:lvl w:ilvl="3" w:tplc="6D444DDC" w:tentative="1">
      <w:start w:val="1"/>
      <w:numFmt w:val="bullet"/>
      <w:lvlText w:val=""/>
      <w:lvlJc w:val="left"/>
      <w:pPr>
        <w:ind w:left="2880" w:hanging="360"/>
      </w:pPr>
      <w:rPr>
        <w:rFonts w:ascii="Symbol" w:hAnsi="Symbol" w:hint="default"/>
      </w:rPr>
    </w:lvl>
    <w:lvl w:ilvl="4" w:tplc="75167160" w:tentative="1">
      <w:start w:val="1"/>
      <w:numFmt w:val="bullet"/>
      <w:lvlText w:val="o"/>
      <w:lvlJc w:val="left"/>
      <w:pPr>
        <w:ind w:left="3600" w:hanging="360"/>
      </w:pPr>
      <w:rPr>
        <w:rFonts w:ascii="Courier New" w:hAnsi="Courier New" w:cs="Courier New" w:hint="default"/>
      </w:rPr>
    </w:lvl>
    <w:lvl w:ilvl="5" w:tplc="D4E85728" w:tentative="1">
      <w:start w:val="1"/>
      <w:numFmt w:val="bullet"/>
      <w:lvlText w:val=""/>
      <w:lvlJc w:val="left"/>
      <w:pPr>
        <w:ind w:left="4320" w:hanging="360"/>
      </w:pPr>
      <w:rPr>
        <w:rFonts w:ascii="Wingdings" w:hAnsi="Wingdings" w:hint="default"/>
      </w:rPr>
    </w:lvl>
    <w:lvl w:ilvl="6" w:tplc="178259E6" w:tentative="1">
      <w:start w:val="1"/>
      <w:numFmt w:val="bullet"/>
      <w:lvlText w:val=""/>
      <w:lvlJc w:val="left"/>
      <w:pPr>
        <w:ind w:left="5040" w:hanging="360"/>
      </w:pPr>
      <w:rPr>
        <w:rFonts w:ascii="Symbol" w:hAnsi="Symbol" w:hint="default"/>
      </w:rPr>
    </w:lvl>
    <w:lvl w:ilvl="7" w:tplc="42C87674" w:tentative="1">
      <w:start w:val="1"/>
      <w:numFmt w:val="bullet"/>
      <w:lvlText w:val="o"/>
      <w:lvlJc w:val="left"/>
      <w:pPr>
        <w:ind w:left="5760" w:hanging="360"/>
      </w:pPr>
      <w:rPr>
        <w:rFonts w:ascii="Courier New" w:hAnsi="Courier New" w:cs="Courier New" w:hint="default"/>
      </w:rPr>
    </w:lvl>
    <w:lvl w:ilvl="8" w:tplc="B15813B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56"/>
    <w:rsid w:val="000D68F6"/>
    <w:rsid w:val="000E1316"/>
    <w:rsid w:val="00100D03"/>
    <w:rsid w:val="00105AD1"/>
    <w:rsid w:val="0016698B"/>
    <w:rsid w:val="001701E8"/>
    <w:rsid w:val="00184D5A"/>
    <w:rsid w:val="001D52F3"/>
    <w:rsid w:val="003066CA"/>
    <w:rsid w:val="003D328A"/>
    <w:rsid w:val="003D5A47"/>
    <w:rsid w:val="004806D3"/>
    <w:rsid w:val="00493863"/>
    <w:rsid w:val="004D11FD"/>
    <w:rsid w:val="00620E89"/>
    <w:rsid w:val="006E0466"/>
    <w:rsid w:val="006E32A6"/>
    <w:rsid w:val="007702EA"/>
    <w:rsid w:val="00771492"/>
    <w:rsid w:val="00775720"/>
    <w:rsid w:val="00881B25"/>
    <w:rsid w:val="008966B9"/>
    <w:rsid w:val="00932A56"/>
    <w:rsid w:val="00983A46"/>
    <w:rsid w:val="00A507F5"/>
    <w:rsid w:val="00A90142"/>
    <w:rsid w:val="00BC1CE5"/>
    <w:rsid w:val="00BF37E1"/>
    <w:rsid w:val="00C14643"/>
    <w:rsid w:val="00C44D9F"/>
    <w:rsid w:val="00C4562C"/>
    <w:rsid w:val="00C743E0"/>
    <w:rsid w:val="00DA4D77"/>
    <w:rsid w:val="00DB38E6"/>
    <w:rsid w:val="00E93BB0"/>
    <w:rsid w:val="00F14250"/>
    <w:rsid w:val="00F50573"/>
    <w:rsid w:val="00F931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49387"/>
  <w15:chartTrackingRefBased/>
  <w15:docId w15:val="{DC252CD9-19CE-4154-B819-CA41278C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2A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A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A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A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A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2A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A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A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A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A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A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A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A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A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A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A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A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A56"/>
    <w:rPr>
      <w:rFonts w:eastAsiaTheme="majorEastAsia" w:cstheme="majorBidi"/>
      <w:color w:val="272727" w:themeColor="text1" w:themeTint="D8"/>
    </w:rPr>
  </w:style>
  <w:style w:type="paragraph" w:styleId="Title">
    <w:name w:val="Title"/>
    <w:basedOn w:val="Normal"/>
    <w:next w:val="Normal"/>
    <w:link w:val="TitleChar"/>
    <w:uiPriority w:val="10"/>
    <w:qFormat/>
    <w:rsid w:val="00932A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A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A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A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A56"/>
    <w:pPr>
      <w:spacing w:before="160"/>
      <w:jc w:val="center"/>
    </w:pPr>
    <w:rPr>
      <w:i/>
      <w:iCs/>
      <w:color w:val="404040" w:themeColor="text1" w:themeTint="BF"/>
    </w:rPr>
  </w:style>
  <w:style w:type="character" w:customStyle="1" w:styleId="QuoteChar">
    <w:name w:val="Quote Char"/>
    <w:basedOn w:val="DefaultParagraphFont"/>
    <w:link w:val="Quote"/>
    <w:uiPriority w:val="29"/>
    <w:rsid w:val="00932A56"/>
    <w:rPr>
      <w:i/>
      <w:iCs/>
      <w:color w:val="404040" w:themeColor="text1" w:themeTint="BF"/>
    </w:rPr>
  </w:style>
  <w:style w:type="paragraph" w:styleId="ListParagraph">
    <w:name w:val="List Paragraph"/>
    <w:basedOn w:val="Normal"/>
    <w:uiPriority w:val="34"/>
    <w:qFormat/>
    <w:rsid w:val="00932A56"/>
    <w:pPr>
      <w:ind w:left="720"/>
      <w:contextualSpacing/>
    </w:pPr>
  </w:style>
  <w:style w:type="character" w:styleId="IntenseEmphasis">
    <w:name w:val="Intense Emphasis"/>
    <w:basedOn w:val="DefaultParagraphFont"/>
    <w:uiPriority w:val="21"/>
    <w:qFormat/>
    <w:rsid w:val="00932A56"/>
    <w:rPr>
      <w:i/>
      <w:iCs/>
      <w:color w:val="0F4761" w:themeColor="accent1" w:themeShade="BF"/>
    </w:rPr>
  </w:style>
  <w:style w:type="paragraph" w:styleId="IntenseQuote">
    <w:name w:val="Intense Quote"/>
    <w:basedOn w:val="Normal"/>
    <w:next w:val="Normal"/>
    <w:link w:val="IntenseQuoteChar"/>
    <w:uiPriority w:val="30"/>
    <w:qFormat/>
    <w:rsid w:val="00932A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A56"/>
    <w:rPr>
      <w:i/>
      <w:iCs/>
      <w:color w:val="0F4761" w:themeColor="accent1" w:themeShade="BF"/>
    </w:rPr>
  </w:style>
  <w:style w:type="character" w:styleId="IntenseReference">
    <w:name w:val="Intense Reference"/>
    <w:basedOn w:val="DefaultParagraphFont"/>
    <w:uiPriority w:val="32"/>
    <w:qFormat/>
    <w:rsid w:val="00932A56"/>
    <w:rPr>
      <w:b/>
      <w:bCs/>
      <w:smallCaps/>
      <w:color w:val="0F4761" w:themeColor="accent1" w:themeShade="BF"/>
      <w:spacing w:val="5"/>
    </w:rPr>
  </w:style>
  <w:style w:type="character" w:styleId="Hyperlink">
    <w:name w:val="Hyperlink"/>
    <w:basedOn w:val="DefaultParagraphFont"/>
    <w:uiPriority w:val="99"/>
    <w:unhideWhenUsed/>
    <w:rsid w:val="00C743E0"/>
    <w:rPr>
      <w:color w:val="467886" w:themeColor="hyperlink"/>
      <w:u w:val="single"/>
    </w:rPr>
  </w:style>
  <w:style w:type="character" w:styleId="UnresolvedMention">
    <w:name w:val="Unresolved Mention"/>
    <w:basedOn w:val="DefaultParagraphFont"/>
    <w:uiPriority w:val="99"/>
    <w:semiHidden/>
    <w:unhideWhenUsed/>
    <w:rsid w:val="00C743E0"/>
    <w:rPr>
      <w:color w:val="605E5C"/>
      <w:shd w:val="clear" w:color="auto" w:fill="E1DFDD"/>
    </w:rPr>
  </w:style>
  <w:style w:type="paragraph" w:styleId="Header">
    <w:name w:val="header"/>
    <w:basedOn w:val="Normal"/>
    <w:link w:val="HeaderChar"/>
    <w:uiPriority w:val="99"/>
    <w:unhideWhenUsed/>
    <w:rsid w:val="00771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492"/>
  </w:style>
  <w:style w:type="paragraph" w:styleId="Footer">
    <w:name w:val="footer"/>
    <w:basedOn w:val="Normal"/>
    <w:link w:val="FooterChar"/>
    <w:uiPriority w:val="99"/>
    <w:unhideWhenUsed/>
    <w:rsid w:val="00771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492"/>
  </w:style>
  <w:style w:type="paragraph" w:styleId="Revision">
    <w:name w:val="Revision"/>
    <w:hidden/>
    <w:uiPriority w:val="99"/>
    <w:semiHidden/>
    <w:rsid w:val="007702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crportal.hhs.gov/ocr/smartscreen/main.js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Ashtabula County Medical Center</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US2109504</dc:subject>
  <dc:creator>Tina Stasiewski</dc:creator>
  <cp:lastModifiedBy>Transperfect</cp:lastModifiedBy>
  <cp:revision>2</cp:revision>
  <cp:lastPrinted>2025-07-08T17:39:00Z</cp:lastPrinted>
  <dcterms:created xsi:type="dcterms:W3CDTF">2025-07-08T17:39:00Z</dcterms:created>
  <dcterms:modified xsi:type="dcterms:W3CDTF">2025-07-22T17:41:00Z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23477426 _1</vt:lpwstr>
  </property>
  <property fmtid="{D5CDD505-2E9C-101B-9397-08002B2CF9AE}" pid="3" name="DocXFormat">
    <vt:lpwstr>DefaultFormat</vt:lpwstr>
  </property>
  <property fmtid="{D5CDD505-2E9C-101B-9397-08002B2CF9AE}" pid="4" name="DocXLocation">
    <vt:lpwstr>Every Page</vt:lpwstr>
  </property>
</Properties>
</file>