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2E3E" w14:textId="77777777" w:rsidR="004806D3" w:rsidRDefault="000B2056" w:rsidP="004806D3">
      <w:pPr>
        <w:spacing w:after="0" w:line="240" w:lineRule="auto"/>
        <w:rPr>
          <w:sz w:val="28"/>
          <w:szCs w:val="28"/>
        </w:rPr>
      </w:pPr>
      <w:r>
        <w:rPr>
          <w:rFonts w:ascii="Aptos" w:eastAsia="Aptos" w:hAnsi="Aptos" w:cs="Times New Roman"/>
          <w:sz w:val="28"/>
          <w:szCs w:val="28"/>
          <w:lang w:val="uk-UA"/>
        </w:rPr>
        <w:t>Заява про заборону дискримінації в системі ARMC Healthcare</w:t>
      </w:r>
    </w:p>
    <w:p w14:paraId="7865CA06" w14:textId="77777777" w:rsidR="004806D3" w:rsidRDefault="004806D3" w:rsidP="004806D3">
      <w:pPr>
        <w:spacing w:after="0" w:line="240" w:lineRule="auto"/>
        <w:rPr>
          <w:sz w:val="28"/>
          <w:szCs w:val="28"/>
        </w:rPr>
      </w:pPr>
    </w:p>
    <w:p w14:paraId="74044FA6" w14:textId="77777777" w:rsidR="004806D3" w:rsidRDefault="000B2056" w:rsidP="004806D3">
      <w:pPr>
        <w:spacing w:after="0" w:line="240" w:lineRule="auto"/>
      </w:pPr>
      <w:r>
        <w:rPr>
          <w:rFonts w:ascii="Aptos" w:eastAsia="Aptos" w:hAnsi="Aptos" w:cs="Times New Roman"/>
          <w:lang w:val="uk-UA"/>
        </w:rPr>
        <w:t>Система ARMC Healthcare (що складається з регіонального медичного центру Ashtabula Regional Medical Center (ARMC), ARMC Home Health, лікарні Glenbeigh Hospital та центрів амбулаторного лікування) відповідає всім застосовним федеральним законам про громадянські права, включаючи розділ 1557 Закону про доступне медичне обслуговування (Affordable Care Act). Система ARMC Healthcare не дискримінує за ознаками раси, кольору шкіри, національного походження (у тому числі за обмеженим знанням англійської мови та за рідною мовою), статі (відповідно до ступеня дискримінації за ознакою статі, описаного в § 92.101(a)(2) розділу 45 CFR), віку або інвалідності.</w:t>
      </w:r>
    </w:p>
    <w:p w14:paraId="64707CBA" w14:textId="77777777" w:rsidR="004806D3" w:rsidRDefault="004806D3" w:rsidP="004806D3">
      <w:pPr>
        <w:spacing w:after="0" w:line="240" w:lineRule="auto"/>
      </w:pPr>
    </w:p>
    <w:p w14:paraId="4A6DDB4A" w14:textId="77777777" w:rsidR="004806D3" w:rsidRDefault="000B2056" w:rsidP="004806D3">
      <w:pPr>
        <w:spacing w:after="0" w:line="240" w:lineRule="auto"/>
      </w:pPr>
      <w:r>
        <w:rPr>
          <w:rFonts w:ascii="Aptos" w:eastAsia="Aptos" w:hAnsi="Aptos" w:cs="Times New Roman"/>
          <w:lang w:val="uk-UA"/>
        </w:rPr>
        <w:t>Відповідно до розділу 1557 та інших федеральних законів про громадянські права ми своєчасно та безкоштовно надаємо особам:</w:t>
      </w:r>
    </w:p>
    <w:p w14:paraId="7382790D" w14:textId="77777777" w:rsidR="004806D3" w:rsidRDefault="004806D3" w:rsidP="004806D3">
      <w:pPr>
        <w:spacing w:after="0" w:line="240" w:lineRule="auto"/>
      </w:pPr>
    </w:p>
    <w:p w14:paraId="6F6AD963" w14:textId="77777777" w:rsidR="004806D3" w:rsidRDefault="000B2056" w:rsidP="004806D3">
      <w:pPr>
        <w:spacing w:after="0" w:line="240" w:lineRule="auto"/>
      </w:pPr>
      <w:r>
        <w:rPr>
          <w:rFonts w:ascii="Aptos" w:eastAsia="Aptos" w:hAnsi="Aptos" w:cs="Times New Roman"/>
          <w:b/>
          <w:bCs/>
          <w:lang w:val="uk-UA"/>
        </w:rPr>
        <w:t>Послуги мовної допомоги</w:t>
      </w:r>
      <w:r>
        <w:rPr>
          <w:rFonts w:ascii="Aptos" w:eastAsia="Aptos" w:hAnsi="Aptos" w:cs="Times New Roman"/>
          <w:lang w:val="uk-UA"/>
        </w:rPr>
        <w:t>: Система ARMC Healthcare надаватиме послуги мовної допомоги особам з обмеженими знаннями англійської мови (включно з супутниками осіб з обмеженими знаннями англійської мови), щоб забезпечити змістовний доступ до наших програм, заходів, послуг та інших пільг. Послуги мовної допомоги можуть передбачати:</w:t>
      </w:r>
    </w:p>
    <w:p w14:paraId="712299EE" w14:textId="77777777" w:rsidR="004806D3" w:rsidRDefault="000B2056" w:rsidP="004806D3">
      <w:pPr>
        <w:pStyle w:val="ListParagraph"/>
        <w:numPr>
          <w:ilvl w:val="0"/>
          <w:numId w:val="1"/>
        </w:numPr>
        <w:spacing w:after="0" w:line="240" w:lineRule="auto"/>
      </w:pPr>
      <w:r>
        <w:rPr>
          <w:rFonts w:ascii="Aptos" w:eastAsia="Aptos" w:hAnsi="Aptos" w:cs="Times New Roman"/>
          <w:lang w:val="uk-UA"/>
        </w:rPr>
        <w:t>Переклад електронних та письмових документів</w:t>
      </w:r>
    </w:p>
    <w:p w14:paraId="5778401D" w14:textId="77777777" w:rsidR="004806D3" w:rsidRDefault="000B2056" w:rsidP="004806D3">
      <w:pPr>
        <w:pStyle w:val="ListParagraph"/>
        <w:numPr>
          <w:ilvl w:val="0"/>
          <w:numId w:val="1"/>
        </w:numPr>
        <w:spacing w:after="0" w:line="240" w:lineRule="auto"/>
      </w:pPr>
      <w:r>
        <w:rPr>
          <w:rFonts w:ascii="Aptos" w:eastAsia="Aptos" w:hAnsi="Aptos" w:cs="Times New Roman"/>
          <w:lang w:val="uk-UA"/>
        </w:rPr>
        <w:t>Залучення кваліфікованих усних перекладачів</w:t>
      </w:r>
    </w:p>
    <w:p w14:paraId="3B406DBB" w14:textId="77777777" w:rsidR="004806D3" w:rsidRDefault="004806D3" w:rsidP="004806D3">
      <w:pPr>
        <w:spacing w:after="0" w:line="240" w:lineRule="auto"/>
      </w:pPr>
    </w:p>
    <w:p w14:paraId="31BE6691" w14:textId="77777777" w:rsidR="004806D3" w:rsidRDefault="000B2056" w:rsidP="004806D3">
      <w:pPr>
        <w:spacing w:after="0" w:line="240" w:lineRule="auto"/>
      </w:pPr>
      <w:r>
        <w:rPr>
          <w:rFonts w:ascii="Aptos" w:eastAsia="Aptos" w:hAnsi="Aptos" w:cs="Times New Roman"/>
          <w:b/>
          <w:bCs/>
          <w:lang w:val="uk-UA"/>
        </w:rPr>
        <w:t>Надання послуг мовної підтримки та відповідних допоміжних засобів і послуг</w:t>
      </w:r>
      <w:r>
        <w:rPr>
          <w:rFonts w:ascii="Aptos" w:eastAsia="Aptos" w:hAnsi="Aptos" w:cs="Times New Roman"/>
          <w:lang w:val="uk-UA"/>
        </w:rPr>
        <w:t>: Система ARMC Healthcare надаватиме послуги мовної допомоги та відповідні допоміжні засоби та послуги для осіб з обмеженими можливостями (включно з супутниками осіб з обмеженими можливостями) для забезпечення ефективного спілкування. Належними допоміжними засобами та послугами можуть бути:</w:t>
      </w:r>
    </w:p>
    <w:p w14:paraId="70719506" w14:textId="77777777" w:rsidR="004806D3" w:rsidRDefault="000B2056" w:rsidP="004806D3">
      <w:pPr>
        <w:pStyle w:val="ListParagraph"/>
        <w:numPr>
          <w:ilvl w:val="0"/>
          <w:numId w:val="2"/>
        </w:numPr>
        <w:spacing w:after="0" w:line="240" w:lineRule="auto"/>
      </w:pPr>
      <w:r>
        <w:rPr>
          <w:rFonts w:ascii="Aptos" w:eastAsia="Aptos" w:hAnsi="Aptos" w:cs="Times New Roman"/>
          <w:lang w:val="uk-UA"/>
        </w:rPr>
        <w:t>Кваліфіковані усні перекладачі, у тому числі американські сурдоперекладачі</w:t>
      </w:r>
    </w:p>
    <w:p w14:paraId="506F0AE7" w14:textId="77777777" w:rsidR="004806D3" w:rsidRDefault="000B2056" w:rsidP="004806D3">
      <w:pPr>
        <w:pStyle w:val="ListParagraph"/>
        <w:numPr>
          <w:ilvl w:val="0"/>
          <w:numId w:val="2"/>
        </w:numPr>
        <w:spacing w:after="0" w:line="240" w:lineRule="auto"/>
      </w:pPr>
      <w:r>
        <w:rPr>
          <w:rFonts w:ascii="Aptos" w:eastAsia="Aptos" w:hAnsi="Aptos" w:cs="Times New Roman"/>
          <w:lang w:val="uk-UA"/>
        </w:rPr>
        <w:t>Віддалений усний переклад відео</w:t>
      </w:r>
    </w:p>
    <w:p w14:paraId="4F022658" w14:textId="77777777" w:rsidR="004806D3" w:rsidRDefault="000B2056" w:rsidP="004806D3">
      <w:pPr>
        <w:pStyle w:val="ListParagraph"/>
        <w:numPr>
          <w:ilvl w:val="0"/>
          <w:numId w:val="2"/>
        </w:numPr>
        <w:spacing w:after="0" w:line="240" w:lineRule="auto"/>
      </w:pPr>
      <w:r>
        <w:rPr>
          <w:rFonts w:ascii="Aptos" w:eastAsia="Aptos" w:hAnsi="Aptos" w:cs="Times New Roman"/>
          <w:lang w:val="uk-UA"/>
        </w:rPr>
        <w:t>Інформація в альтернативних форматах (у тому числі великий шрифт, записаний аудіотекст та доступні електронні формати, але не обмежуючись ними)</w:t>
      </w:r>
    </w:p>
    <w:p w14:paraId="2085E36D" w14:textId="77777777" w:rsidR="004806D3" w:rsidRDefault="004806D3" w:rsidP="004806D3">
      <w:pPr>
        <w:spacing w:after="0" w:line="240" w:lineRule="auto"/>
      </w:pPr>
    </w:p>
    <w:p w14:paraId="4B727DD3" w14:textId="77777777" w:rsidR="004806D3" w:rsidRDefault="000B2056" w:rsidP="004806D3">
      <w:pPr>
        <w:spacing w:after="0" w:line="240" w:lineRule="auto"/>
      </w:pPr>
      <w:r>
        <w:rPr>
          <w:rFonts w:ascii="Aptos" w:eastAsia="Aptos" w:hAnsi="Aptos" w:cs="Times New Roman"/>
          <w:b/>
          <w:bCs/>
          <w:lang w:val="uk-UA"/>
        </w:rPr>
        <w:t>Обґрунтовані зміни:</w:t>
      </w:r>
      <w:r>
        <w:rPr>
          <w:rFonts w:ascii="Aptos" w:eastAsia="Aptos" w:hAnsi="Aptos" w:cs="Times New Roman"/>
          <w:lang w:val="uk-UA"/>
        </w:rPr>
        <w:t xml:space="preserve"> Система ARMC Healthcare забезпечить обґрунтовані зміни для кваліфікованих осіб з обмеженими можливостями, коли це необхідно для забезпечення доступності та рівних можливостей для участі в наших програмах, діяльності, послугах або інших пільгах.</w:t>
      </w:r>
    </w:p>
    <w:p w14:paraId="0251EE75" w14:textId="77777777" w:rsidR="00C743E0" w:rsidRDefault="00C743E0" w:rsidP="004806D3">
      <w:pPr>
        <w:spacing w:after="0" w:line="240" w:lineRule="auto"/>
      </w:pPr>
    </w:p>
    <w:p w14:paraId="1C35BA13" w14:textId="77777777" w:rsidR="00C743E0" w:rsidRDefault="000B2056" w:rsidP="004806D3">
      <w:pPr>
        <w:spacing w:after="0" w:line="240" w:lineRule="auto"/>
      </w:pPr>
      <w:r>
        <w:rPr>
          <w:rFonts w:ascii="Aptos" w:eastAsia="Aptos" w:hAnsi="Aptos" w:cs="Times New Roman"/>
          <w:lang w:val="uk-UA"/>
        </w:rPr>
        <w:t xml:space="preserve">Щоб отримати доступ до наших послуг мовної допомоги, допоміжних засобів і послуг, а також щоб отримати допомогу щодо внесення обґрунтованих змін, зверніться до члена команди з надання медичної допомоги. Щоб отримати додаткову допомогу, Ви також можете звернутися до керівника сестринського догляду через свою робочу групу. </w:t>
      </w:r>
    </w:p>
    <w:p w14:paraId="54302DE4" w14:textId="77777777" w:rsidR="00C743E0" w:rsidRDefault="00C743E0" w:rsidP="004806D3">
      <w:pPr>
        <w:spacing w:after="0" w:line="240" w:lineRule="auto"/>
      </w:pPr>
    </w:p>
    <w:p w14:paraId="575D5D24" w14:textId="77777777" w:rsidR="00C743E0" w:rsidRDefault="000B2056" w:rsidP="004806D3">
      <w:pPr>
        <w:spacing w:after="0" w:line="240" w:lineRule="auto"/>
      </w:pPr>
      <w:r>
        <w:rPr>
          <w:rFonts w:ascii="Aptos" w:eastAsia="Aptos" w:hAnsi="Aptos" w:cs="Times New Roman"/>
          <w:lang w:val="uk-UA"/>
        </w:rPr>
        <w:t xml:space="preserve">Якщо Ви вважаєте, що система ARMC Healthcare не надала ці послуги або дискримінувала в інший спосіб на основі раси, кольору шкіри, національного походження, статі, віку чи інвалідності, Ви можете подати скаргу контактній особі організації нижче: </w:t>
      </w:r>
    </w:p>
    <w:p w14:paraId="33CB1BB3" w14:textId="77777777" w:rsidR="00C743E0" w:rsidRDefault="00C743E0" w:rsidP="004806D3">
      <w:pPr>
        <w:spacing w:after="0" w:line="240" w:lineRule="auto"/>
      </w:pPr>
    </w:p>
    <w:p w14:paraId="11F271E7" w14:textId="77777777" w:rsidR="000B2056" w:rsidRDefault="000B2056" w:rsidP="004806D3">
      <w:pPr>
        <w:spacing w:after="0" w:line="240" w:lineRule="auto"/>
      </w:pPr>
    </w:p>
    <w:p w14:paraId="1D087686" w14:textId="04B9A549" w:rsidR="00C743E0" w:rsidRDefault="000B2056" w:rsidP="004806D3">
      <w:pPr>
        <w:spacing w:after="0" w:line="240" w:lineRule="auto"/>
      </w:pPr>
      <w:r>
        <w:rPr>
          <w:rFonts w:ascii="Aptos" w:eastAsia="Aptos" w:hAnsi="Aptos" w:cs="Times New Roman"/>
          <w:lang w:val="uk-UA"/>
        </w:rPr>
        <w:lastRenderedPageBreak/>
        <w:t>Омбудсмен</w:t>
      </w:r>
      <w:r>
        <w:rPr>
          <w:rFonts w:ascii="Aptos" w:eastAsia="Aptos" w:hAnsi="Aptos" w:cs="Times New Roman"/>
          <w:lang w:val="uk-UA"/>
        </w:rPr>
        <w:tab/>
      </w:r>
      <w:r>
        <w:rPr>
          <w:rFonts w:ascii="Aptos" w:eastAsia="Aptos" w:hAnsi="Aptos" w:cs="Times New Roman"/>
          <w:lang w:val="uk-UA"/>
        </w:rPr>
        <w:tab/>
      </w:r>
      <w:r>
        <w:rPr>
          <w:rFonts w:ascii="Aptos" w:eastAsia="Aptos" w:hAnsi="Aptos" w:cs="Times New Roman"/>
          <w:lang w:val="uk-UA"/>
        </w:rPr>
        <w:tab/>
      </w:r>
      <w:r>
        <w:rPr>
          <w:rFonts w:ascii="Aptos" w:eastAsia="Aptos" w:hAnsi="Aptos" w:cs="Times New Roman"/>
          <w:lang w:val="uk-UA"/>
        </w:rPr>
        <w:tab/>
      </w:r>
      <w:r w:rsidR="00F521DA">
        <w:rPr>
          <w:rFonts w:ascii="Aptos" w:eastAsia="Aptos" w:hAnsi="Aptos" w:cs="Times New Roman"/>
          <w:lang w:val="uk-UA"/>
        </w:rPr>
        <w:tab/>
      </w:r>
      <w:r>
        <w:rPr>
          <w:rFonts w:ascii="Aptos" w:eastAsia="Aptos" w:hAnsi="Aptos" w:cs="Times New Roman"/>
          <w:lang w:val="uk-UA"/>
        </w:rPr>
        <w:t>Директор з якості</w:t>
      </w:r>
      <w:r>
        <w:rPr>
          <w:rFonts w:ascii="Aptos" w:eastAsia="Aptos" w:hAnsi="Aptos" w:cs="Times New Roman"/>
          <w:lang w:val="uk-UA"/>
        </w:rPr>
        <w:tab/>
      </w:r>
      <w:r>
        <w:rPr>
          <w:rFonts w:ascii="Aptos" w:eastAsia="Aptos" w:hAnsi="Aptos" w:cs="Times New Roman"/>
          <w:lang w:val="uk-UA"/>
        </w:rPr>
        <w:tab/>
        <w:t>Менеджер з якості</w:t>
      </w:r>
    </w:p>
    <w:p w14:paraId="68B7B0B8" w14:textId="04031141" w:rsidR="00C743E0" w:rsidRDefault="000B2056" w:rsidP="004806D3">
      <w:pPr>
        <w:spacing w:after="0" w:line="240" w:lineRule="auto"/>
      </w:pPr>
      <w:r>
        <w:rPr>
          <w:rFonts w:ascii="Aptos" w:eastAsia="Aptos" w:hAnsi="Aptos" w:cs="Times New Roman"/>
          <w:lang w:val="uk-UA"/>
        </w:rPr>
        <w:t xml:space="preserve">Ashtabula Regional Medical Center </w:t>
      </w:r>
      <w:r>
        <w:rPr>
          <w:rFonts w:ascii="Aptos" w:eastAsia="Aptos" w:hAnsi="Aptos" w:cs="Times New Roman"/>
          <w:lang w:val="uk-UA"/>
        </w:rPr>
        <w:tab/>
      </w:r>
      <w:r w:rsidR="00F521DA">
        <w:rPr>
          <w:rFonts w:ascii="Aptos" w:eastAsia="Aptos" w:hAnsi="Aptos" w:cs="Times New Roman"/>
          <w:lang w:val="uk-UA"/>
        </w:rPr>
        <w:tab/>
      </w:r>
      <w:r>
        <w:rPr>
          <w:rFonts w:ascii="Aptos" w:eastAsia="Aptos" w:hAnsi="Aptos" w:cs="Times New Roman"/>
          <w:lang w:val="uk-UA"/>
        </w:rPr>
        <w:t>ARMC Home Health</w:t>
      </w:r>
      <w:r>
        <w:rPr>
          <w:rFonts w:ascii="Aptos" w:eastAsia="Aptos" w:hAnsi="Aptos" w:cs="Times New Roman"/>
          <w:lang w:val="uk-UA"/>
        </w:rPr>
        <w:tab/>
      </w:r>
      <w:r>
        <w:rPr>
          <w:rFonts w:ascii="Aptos" w:eastAsia="Aptos" w:hAnsi="Aptos" w:cs="Times New Roman"/>
          <w:lang w:val="uk-UA"/>
        </w:rPr>
        <w:tab/>
        <w:t>Glenbeigh</w:t>
      </w:r>
    </w:p>
    <w:p w14:paraId="6A036BF7" w14:textId="0EE25D85" w:rsidR="00C743E0" w:rsidRDefault="000B2056" w:rsidP="004806D3">
      <w:pPr>
        <w:spacing w:after="0" w:line="240" w:lineRule="auto"/>
      </w:pPr>
      <w:r>
        <w:rPr>
          <w:rFonts w:ascii="Aptos" w:eastAsia="Aptos" w:hAnsi="Aptos" w:cs="Times New Roman"/>
          <w:lang w:val="uk-UA"/>
        </w:rPr>
        <w:t xml:space="preserve">2420 Lake Avenue </w:t>
      </w:r>
      <w:r>
        <w:rPr>
          <w:rFonts w:ascii="Aptos" w:eastAsia="Aptos" w:hAnsi="Aptos" w:cs="Times New Roman"/>
          <w:lang w:val="uk-UA"/>
        </w:rPr>
        <w:tab/>
      </w:r>
      <w:r>
        <w:rPr>
          <w:rFonts w:ascii="Aptos" w:eastAsia="Aptos" w:hAnsi="Aptos" w:cs="Times New Roman"/>
          <w:lang w:val="uk-UA"/>
        </w:rPr>
        <w:tab/>
      </w:r>
      <w:r>
        <w:rPr>
          <w:rFonts w:ascii="Aptos" w:eastAsia="Aptos" w:hAnsi="Aptos" w:cs="Times New Roman"/>
          <w:lang w:val="uk-UA"/>
        </w:rPr>
        <w:tab/>
      </w:r>
      <w:r w:rsidR="00F521DA">
        <w:rPr>
          <w:rFonts w:ascii="Aptos" w:eastAsia="Aptos" w:hAnsi="Aptos" w:cs="Times New Roman"/>
          <w:lang w:val="uk-UA"/>
        </w:rPr>
        <w:tab/>
      </w:r>
      <w:r>
        <w:rPr>
          <w:rFonts w:ascii="Aptos" w:eastAsia="Aptos" w:hAnsi="Aptos" w:cs="Times New Roman"/>
          <w:lang w:val="uk-UA"/>
        </w:rPr>
        <w:t>2131 Lake Ave, Ste 2</w:t>
      </w:r>
      <w:r>
        <w:rPr>
          <w:rFonts w:ascii="Aptos" w:eastAsia="Aptos" w:hAnsi="Aptos" w:cs="Times New Roman"/>
          <w:lang w:val="uk-UA"/>
        </w:rPr>
        <w:tab/>
      </w:r>
      <w:r>
        <w:rPr>
          <w:rFonts w:ascii="Aptos" w:eastAsia="Aptos" w:hAnsi="Aptos" w:cs="Times New Roman"/>
          <w:lang w:val="uk-UA"/>
        </w:rPr>
        <w:tab/>
        <w:t>2863 State Route 45N</w:t>
      </w:r>
    </w:p>
    <w:p w14:paraId="2051DCDE" w14:textId="7E474B50" w:rsidR="00C743E0" w:rsidRDefault="000B2056" w:rsidP="004806D3">
      <w:pPr>
        <w:spacing w:after="0" w:line="240" w:lineRule="auto"/>
      </w:pPr>
      <w:r>
        <w:rPr>
          <w:rFonts w:ascii="Aptos" w:eastAsia="Aptos" w:hAnsi="Aptos" w:cs="Times New Roman"/>
          <w:lang w:val="uk-UA"/>
        </w:rPr>
        <w:t xml:space="preserve">Ashtabula, OH 44004 </w:t>
      </w:r>
      <w:r>
        <w:rPr>
          <w:rFonts w:ascii="Aptos" w:eastAsia="Aptos" w:hAnsi="Aptos" w:cs="Times New Roman"/>
          <w:lang w:val="uk-UA"/>
        </w:rPr>
        <w:tab/>
      </w:r>
      <w:r>
        <w:rPr>
          <w:rFonts w:ascii="Aptos" w:eastAsia="Aptos" w:hAnsi="Aptos" w:cs="Times New Roman"/>
          <w:lang w:val="uk-UA"/>
        </w:rPr>
        <w:tab/>
      </w:r>
      <w:r>
        <w:rPr>
          <w:rFonts w:ascii="Aptos" w:eastAsia="Aptos" w:hAnsi="Aptos" w:cs="Times New Roman"/>
          <w:lang w:val="uk-UA"/>
        </w:rPr>
        <w:tab/>
      </w:r>
      <w:r w:rsidR="00F521DA">
        <w:rPr>
          <w:rFonts w:ascii="Aptos" w:eastAsia="Aptos" w:hAnsi="Aptos" w:cs="Times New Roman"/>
          <w:lang w:val="uk-UA"/>
        </w:rPr>
        <w:tab/>
      </w:r>
      <w:r>
        <w:rPr>
          <w:rFonts w:ascii="Aptos" w:eastAsia="Aptos" w:hAnsi="Aptos" w:cs="Times New Roman"/>
          <w:lang w:val="uk-UA"/>
        </w:rPr>
        <w:t>Ashtabula, OH 44004</w:t>
      </w:r>
      <w:r>
        <w:rPr>
          <w:rFonts w:ascii="Aptos" w:eastAsia="Aptos" w:hAnsi="Aptos" w:cs="Times New Roman"/>
          <w:lang w:val="uk-UA"/>
        </w:rPr>
        <w:tab/>
      </w:r>
      <w:r>
        <w:rPr>
          <w:rFonts w:ascii="Aptos" w:eastAsia="Aptos" w:hAnsi="Aptos" w:cs="Times New Roman"/>
          <w:lang w:val="uk-UA"/>
        </w:rPr>
        <w:tab/>
        <w:t>Rock Creek, OH 44084</w:t>
      </w:r>
    </w:p>
    <w:p w14:paraId="7F92E6F8" w14:textId="1D2A63E7" w:rsidR="000E1316" w:rsidRDefault="000B2056" w:rsidP="004806D3">
      <w:pPr>
        <w:spacing w:after="0" w:line="240" w:lineRule="auto"/>
      </w:pPr>
      <w:r>
        <w:rPr>
          <w:rFonts w:ascii="Aptos" w:eastAsia="Aptos" w:hAnsi="Aptos" w:cs="Times New Roman"/>
          <w:lang w:val="uk-UA"/>
        </w:rPr>
        <w:t>440-997-2262</w:t>
      </w:r>
      <w:r>
        <w:rPr>
          <w:rFonts w:ascii="Aptos" w:eastAsia="Aptos" w:hAnsi="Aptos" w:cs="Times New Roman"/>
          <w:lang w:val="uk-UA"/>
        </w:rPr>
        <w:tab/>
      </w:r>
      <w:r>
        <w:rPr>
          <w:rFonts w:ascii="Aptos" w:eastAsia="Aptos" w:hAnsi="Aptos" w:cs="Times New Roman"/>
          <w:lang w:val="uk-UA"/>
        </w:rPr>
        <w:tab/>
      </w:r>
      <w:r>
        <w:rPr>
          <w:rFonts w:ascii="Aptos" w:eastAsia="Aptos" w:hAnsi="Aptos" w:cs="Times New Roman"/>
          <w:lang w:val="uk-UA"/>
        </w:rPr>
        <w:tab/>
      </w:r>
      <w:r>
        <w:rPr>
          <w:rFonts w:ascii="Aptos" w:eastAsia="Aptos" w:hAnsi="Aptos" w:cs="Times New Roman"/>
          <w:lang w:val="uk-UA"/>
        </w:rPr>
        <w:tab/>
      </w:r>
      <w:r w:rsidR="00F521DA">
        <w:rPr>
          <w:rFonts w:ascii="Aptos" w:eastAsia="Aptos" w:hAnsi="Aptos" w:cs="Times New Roman"/>
          <w:lang w:val="uk-UA"/>
        </w:rPr>
        <w:tab/>
      </w:r>
      <w:r>
        <w:rPr>
          <w:rFonts w:ascii="Aptos" w:eastAsia="Aptos" w:hAnsi="Aptos" w:cs="Times New Roman"/>
          <w:lang w:val="uk-UA"/>
        </w:rPr>
        <w:t>440-992-4633</w:t>
      </w:r>
      <w:r>
        <w:rPr>
          <w:rFonts w:ascii="Aptos" w:eastAsia="Aptos" w:hAnsi="Aptos" w:cs="Times New Roman"/>
          <w:lang w:val="uk-UA"/>
        </w:rPr>
        <w:tab/>
      </w:r>
      <w:r>
        <w:rPr>
          <w:rFonts w:ascii="Aptos" w:eastAsia="Aptos" w:hAnsi="Aptos" w:cs="Times New Roman"/>
          <w:lang w:val="uk-UA"/>
        </w:rPr>
        <w:tab/>
      </w:r>
      <w:r>
        <w:rPr>
          <w:rFonts w:ascii="Aptos" w:eastAsia="Aptos" w:hAnsi="Aptos" w:cs="Times New Roman"/>
          <w:lang w:val="uk-UA"/>
        </w:rPr>
        <w:tab/>
        <w:t>440-563-3400</w:t>
      </w:r>
    </w:p>
    <w:p w14:paraId="41B3AC62" w14:textId="77777777" w:rsidR="00C743E0" w:rsidRDefault="00C743E0" w:rsidP="004806D3">
      <w:pPr>
        <w:spacing w:after="0" w:line="240" w:lineRule="auto"/>
      </w:pPr>
    </w:p>
    <w:p w14:paraId="24E901D9" w14:textId="77777777" w:rsidR="00C743E0" w:rsidRDefault="000B2056" w:rsidP="004806D3">
      <w:pPr>
        <w:spacing w:after="0" w:line="240" w:lineRule="auto"/>
      </w:pPr>
      <w:r>
        <w:rPr>
          <w:rFonts w:ascii="Aptos" w:eastAsia="Aptos" w:hAnsi="Aptos" w:cs="Times New Roman"/>
          <w:lang w:val="uk-UA"/>
        </w:rPr>
        <w:t xml:space="preserve">Ви також можете подати скаргу до Департаменту охорони здоров’я та соціальних служб США, Управління з цивільних прав за адресою </w:t>
      </w:r>
      <w:hyperlink r:id="rId7" w:history="1">
        <w:r>
          <w:rPr>
            <w:rFonts w:ascii="Aptos" w:eastAsia="Aptos" w:hAnsi="Aptos" w:cs="Times New Roman"/>
            <w:color w:val="467886"/>
            <w:u w:val="single"/>
            <w:lang w:val="uk-UA"/>
          </w:rPr>
          <w:t>https://ocrportal.hhs.gov/ocr/smartscreen/main.jsf</w:t>
        </w:r>
      </w:hyperlink>
      <w:r>
        <w:rPr>
          <w:rFonts w:ascii="Aptos" w:eastAsia="Aptos" w:hAnsi="Aptos" w:cs="Times New Roman"/>
          <w:lang w:val="uk-UA"/>
        </w:rPr>
        <w:t xml:space="preserve"> або поштою за адресою:</w:t>
      </w:r>
    </w:p>
    <w:p w14:paraId="19F897EF" w14:textId="77777777" w:rsidR="00C743E0" w:rsidRDefault="00C743E0" w:rsidP="004806D3">
      <w:pPr>
        <w:spacing w:after="0" w:line="240" w:lineRule="auto"/>
      </w:pPr>
    </w:p>
    <w:p w14:paraId="70E964D8" w14:textId="77777777" w:rsidR="00C743E0" w:rsidRDefault="000B2056" w:rsidP="004806D3">
      <w:pPr>
        <w:spacing w:after="0" w:line="240" w:lineRule="auto"/>
      </w:pPr>
      <w:r>
        <w:rPr>
          <w:rFonts w:ascii="Aptos" w:eastAsia="Aptos" w:hAnsi="Aptos" w:cs="Times New Roman"/>
          <w:lang w:val="uk-UA"/>
        </w:rPr>
        <w:t>US Department of Health and Human Services</w:t>
      </w:r>
    </w:p>
    <w:p w14:paraId="44CE9513" w14:textId="77777777" w:rsidR="00C743E0" w:rsidRDefault="000B2056" w:rsidP="004806D3">
      <w:pPr>
        <w:spacing w:after="0" w:line="240" w:lineRule="auto"/>
      </w:pPr>
      <w:r>
        <w:rPr>
          <w:rFonts w:ascii="Aptos" w:eastAsia="Aptos" w:hAnsi="Aptos" w:cs="Times New Roman"/>
          <w:lang w:val="uk-UA"/>
        </w:rPr>
        <w:t>200 Independence Avenue, SW – 509F</w:t>
      </w:r>
    </w:p>
    <w:p w14:paraId="4439D53D" w14:textId="77777777" w:rsidR="00C743E0" w:rsidRDefault="000B2056" w:rsidP="004806D3">
      <w:pPr>
        <w:spacing w:after="0" w:line="240" w:lineRule="auto"/>
      </w:pPr>
      <w:r>
        <w:rPr>
          <w:rFonts w:ascii="Aptos" w:eastAsia="Aptos" w:hAnsi="Aptos" w:cs="Times New Roman"/>
          <w:lang w:val="uk-UA"/>
        </w:rPr>
        <w:t>Washington, DC 20201</w:t>
      </w:r>
    </w:p>
    <w:p w14:paraId="79B66F1B" w14:textId="77777777" w:rsidR="00E93BB0" w:rsidRDefault="00E93BB0" w:rsidP="004806D3">
      <w:pPr>
        <w:spacing w:after="0" w:line="240" w:lineRule="auto"/>
      </w:pPr>
    </w:p>
    <w:p w14:paraId="66D158DD" w14:textId="77777777" w:rsidR="00E93BB0" w:rsidRDefault="00E93BB0" w:rsidP="004806D3">
      <w:pPr>
        <w:spacing w:after="0" w:line="240" w:lineRule="auto"/>
      </w:pPr>
    </w:p>
    <w:p w14:paraId="084B1272" w14:textId="77777777" w:rsidR="00E93BB0" w:rsidRDefault="00E93BB0" w:rsidP="004806D3">
      <w:pPr>
        <w:spacing w:after="0" w:line="240" w:lineRule="auto"/>
      </w:pPr>
    </w:p>
    <w:p w14:paraId="430F5211" w14:textId="77777777" w:rsidR="00E93BB0" w:rsidRDefault="00E93BB0" w:rsidP="004806D3">
      <w:pPr>
        <w:spacing w:after="0" w:line="240" w:lineRule="auto"/>
      </w:pPr>
    </w:p>
    <w:p w14:paraId="3DCC27EC" w14:textId="77777777" w:rsidR="00E93BB0" w:rsidRPr="004806D3" w:rsidRDefault="000B2056" w:rsidP="004806D3">
      <w:pPr>
        <w:spacing w:after="0" w:line="240" w:lineRule="auto"/>
      </w:pPr>
      <w:r>
        <w:rPr>
          <w:noProof/>
        </w:rPr>
        <w:drawing>
          <wp:inline distT="0" distB="0" distL="0" distR="0" wp14:anchorId="223B1EE4" wp14:editId="511CC7D3">
            <wp:extent cx="1638300" cy="814112"/>
            <wp:effectExtent l="0" t="0" r="0" b="5080"/>
            <wp:docPr id="11711208"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208" name="Picture 3" descr="A close-up of a 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932" cy="818401"/>
                    </a:xfrm>
                    <a:prstGeom prst="rect">
                      <a:avLst/>
                    </a:prstGeom>
                  </pic:spPr>
                </pic:pic>
              </a:graphicData>
            </a:graphic>
          </wp:inline>
        </w:drawing>
      </w:r>
    </w:p>
    <w:p w14:paraId="5C246917" w14:textId="77777777" w:rsidR="00E93BB0" w:rsidRDefault="00E93BB0">
      <w:pPr>
        <w:rPr>
          <w:sz w:val="28"/>
          <w:szCs w:val="28"/>
        </w:rPr>
      </w:pPr>
    </w:p>
    <w:p w14:paraId="7BE087D2" w14:textId="77777777" w:rsidR="00E93BB0" w:rsidRDefault="000B2056">
      <w:pPr>
        <w:rPr>
          <w:sz w:val="28"/>
          <w:szCs w:val="28"/>
        </w:rPr>
      </w:pPr>
      <w:r>
        <w:rPr>
          <w:noProof/>
          <w:sz w:val="28"/>
          <w:szCs w:val="28"/>
        </w:rPr>
        <w:drawing>
          <wp:inline distT="0" distB="0" distL="0" distR="0" wp14:anchorId="582ACFEE" wp14:editId="7D77B4F9">
            <wp:extent cx="1666875" cy="609038"/>
            <wp:effectExtent l="0" t="0" r="0" b="635"/>
            <wp:docPr id="619484483"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84483" name="Picture 2"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3769" cy="615211"/>
                    </a:xfrm>
                    <a:prstGeom prst="rect">
                      <a:avLst/>
                    </a:prstGeom>
                  </pic:spPr>
                </pic:pic>
              </a:graphicData>
            </a:graphic>
          </wp:inline>
        </w:drawing>
      </w:r>
    </w:p>
    <w:p w14:paraId="6FC775C7" w14:textId="77777777" w:rsidR="00E93BB0" w:rsidRPr="00E93BB0" w:rsidRDefault="00E93BB0">
      <w:pPr>
        <w:rPr>
          <w:sz w:val="20"/>
          <w:szCs w:val="20"/>
        </w:rPr>
      </w:pPr>
    </w:p>
    <w:p w14:paraId="51FE421C" w14:textId="77777777" w:rsidR="00E93BB0" w:rsidRPr="004806D3" w:rsidRDefault="000B2056">
      <w:pPr>
        <w:rPr>
          <w:sz w:val="28"/>
          <w:szCs w:val="28"/>
        </w:rPr>
      </w:pPr>
      <w:r>
        <w:rPr>
          <w:noProof/>
          <w:sz w:val="28"/>
          <w:szCs w:val="28"/>
        </w:rPr>
        <w:drawing>
          <wp:inline distT="0" distB="0" distL="0" distR="0" wp14:anchorId="7466BAA7" wp14:editId="24137ECC">
            <wp:extent cx="1766967" cy="661035"/>
            <wp:effectExtent l="0" t="0" r="5080" b="5715"/>
            <wp:docPr id="1046497325" name="Picture 4"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97325" name="Picture 4" descr="A close-up of a sig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4871" cy="671474"/>
                    </a:xfrm>
                    <a:prstGeom prst="rect">
                      <a:avLst/>
                    </a:prstGeom>
                  </pic:spPr>
                </pic:pic>
              </a:graphicData>
            </a:graphic>
          </wp:inline>
        </w:drawing>
      </w:r>
    </w:p>
    <w:sectPr w:rsidR="00E93BB0" w:rsidRPr="004806D3" w:rsidSect="00C743E0">
      <w:footerReference w:type="even" r:id="rId11"/>
      <w:footerReference w:type="defaul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2362" w14:textId="77777777" w:rsidR="006B2EF2" w:rsidRDefault="000B2056">
      <w:pPr>
        <w:spacing w:after="0" w:line="240" w:lineRule="auto"/>
      </w:pPr>
      <w:r>
        <w:separator/>
      </w:r>
    </w:p>
  </w:endnote>
  <w:endnote w:type="continuationSeparator" w:id="0">
    <w:p w14:paraId="7401177B" w14:textId="77777777" w:rsidR="006B2EF2" w:rsidRDefault="000B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A232" w14:textId="77777777" w:rsidR="00771492" w:rsidRDefault="000D68F6">
    <w:pPr>
      <w:pStyle w:val="Footer"/>
    </w:pPr>
    <w:r>
      <w:fldChar w:fldCharType="begin"/>
    </w:r>
    <w:r w:rsidR="000B2056">
      <w:instrText xml:space="preserve"> DOCPROPERTY DOCXDOCID DMS=InterwovenIManage Format=&lt;&lt;NUM&gt;&gt; _&lt;&lt;VER&gt;&gt; PRESERVELOCATION \* MERGEFORMAT </w:instrText>
    </w:r>
    <w:r>
      <w:fldChar w:fldCharType="separate"/>
    </w:r>
    <w:r w:rsidR="000B2056">
      <w:rPr>
        <w:rFonts w:ascii="Aptos" w:eastAsia="Aptos" w:hAnsi="Aptos" w:cs="Times New Roman"/>
        <w:lang w:val="uk-UA"/>
      </w:rPr>
      <w:t>23477426 _1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3FA" w14:textId="77777777" w:rsidR="00771492" w:rsidRDefault="000D68F6">
    <w:pPr>
      <w:pStyle w:val="Footer"/>
    </w:pPr>
    <w:r>
      <w:fldChar w:fldCharType="begin"/>
    </w:r>
    <w:r w:rsidR="000B2056">
      <w:instrText xml:space="preserve"> DOCPROPERTY DOCXDOCID DMS=InterwovenIManage Format=&lt;&lt;NUM&gt;&gt; _&lt;&lt;VER&gt;&gt; PRESERVELOCATION \* MERGEFORMAT </w:instrText>
    </w:r>
    <w:r>
      <w:fldChar w:fldCharType="separate"/>
    </w:r>
    <w:r w:rsidR="000B2056">
      <w:rPr>
        <w:rFonts w:ascii="Aptos" w:eastAsia="Aptos" w:hAnsi="Aptos" w:cs="Times New Roman"/>
        <w:lang w:val="uk-UA"/>
      </w:rPr>
      <w:t xml:space="preserve">23477426 </w:t>
    </w:r>
    <w:r w:rsidR="000B2056">
      <w:rPr>
        <w:rFonts w:ascii="Aptos" w:eastAsia="Aptos" w:hAnsi="Aptos" w:cs="Times New Roman"/>
        <w:lang w:val="uk-UA"/>
      </w:rPr>
      <w:t>_1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4A93" w14:textId="77777777" w:rsidR="00771492" w:rsidRDefault="000D68F6">
    <w:pPr>
      <w:pStyle w:val="Footer"/>
    </w:pPr>
    <w:r>
      <w:fldChar w:fldCharType="begin"/>
    </w:r>
    <w:r w:rsidR="000B2056">
      <w:instrText xml:space="preserve"> DOCPROPERTY DOCXDOCID DMS=InterwovenIManage Format=&lt;&lt;NUM&gt;&gt; _&lt;&lt;VER&gt;&gt; PRESERVELOCATION \* MERGEFORMAT </w:instrText>
    </w:r>
    <w:r>
      <w:fldChar w:fldCharType="separate"/>
    </w:r>
    <w:r w:rsidR="000B2056">
      <w:rPr>
        <w:rFonts w:ascii="Aptos" w:eastAsia="Aptos" w:hAnsi="Aptos" w:cs="Times New Roman"/>
        <w:lang w:val="uk-UA"/>
      </w:rPr>
      <w:t xml:space="preserve">23477426 </w:t>
    </w:r>
    <w:r w:rsidR="000B2056">
      <w:rPr>
        <w:rFonts w:ascii="Aptos" w:eastAsia="Aptos" w:hAnsi="Aptos" w:cs="Times New Roman"/>
        <w:lang w:val="uk-UA"/>
      </w:rPr>
      <w:t>_1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21C4" w14:textId="77777777" w:rsidR="006B2EF2" w:rsidRDefault="000B2056">
      <w:pPr>
        <w:spacing w:after="0" w:line="240" w:lineRule="auto"/>
      </w:pPr>
      <w:r>
        <w:separator/>
      </w:r>
    </w:p>
  </w:footnote>
  <w:footnote w:type="continuationSeparator" w:id="0">
    <w:p w14:paraId="4053D349" w14:textId="77777777" w:rsidR="006B2EF2" w:rsidRDefault="000B2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3FC"/>
    <w:multiLevelType w:val="hybridMultilevel"/>
    <w:tmpl w:val="E02CA3F2"/>
    <w:lvl w:ilvl="0" w:tplc="D8281F30">
      <w:start w:val="1"/>
      <w:numFmt w:val="bullet"/>
      <w:lvlText w:val=""/>
      <w:lvlJc w:val="left"/>
      <w:pPr>
        <w:ind w:left="720" w:hanging="360"/>
      </w:pPr>
      <w:rPr>
        <w:rFonts w:ascii="Symbol" w:hAnsi="Symbol" w:hint="default"/>
      </w:rPr>
    </w:lvl>
    <w:lvl w:ilvl="1" w:tplc="F1AAC2A0" w:tentative="1">
      <w:start w:val="1"/>
      <w:numFmt w:val="bullet"/>
      <w:lvlText w:val="o"/>
      <w:lvlJc w:val="left"/>
      <w:pPr>
        <w:ind w:left="1440" w:hanging="360"/>
      </w:pPr>
      <w:rPr>
        <w:rFonts w:ascii="Courier New" w:hAnsi="Courier New" w:cs="Courier New" w:hint="default"/>
      </w:rPr>
    </w:lvl>
    <w:lvl w:ilvl="2" w:tplc="28384214" w:tentative="1">
      <w:start w:val="1"/>
      <w:numFmt w:val="bullet"/>
      <w:lvlText w:val=""/>
      <w:lvlJc w:val="left"/>
      <w:pPr>
        <w:ind w:left="2160" w:hanging="360"/>
      </w:pPr>
      <w:rPr>
        <w:rFonts w:ascii="Wingdings" w:hAnsi="Wingdings" w:hint="default"/>
      </w:rPr>
    </w:lvl>
    <w:lvl w:ilvl="3" w:tplc="6ACCB174" w:tentative="1">
      <w:start w:val="1"/>
      <w:numFmt w:val="bullet"/>
      <w:lvlText w:val=""/>
      <w:lvlJc w:val="left"/>
      <w:pPr>
        <w:ind w:left="2880" w:hanging="360"/>
      </w:pPr>
      <w:rPr>
        <w:rFonts w:ascii="Symbol" w:hAnsi="Symbol" w:hint="default"/>
      </w:rPr>
    </w:lvl>
    <w:lvl w:ilvl="4" w:tplc="502E5552" w:tentative="1">
      <w:start w:val="1"/>
      <w:numFmt w:val="bullet"/>
      <w:lvlText w:val="o"/>
      <w:lvlJc w:val="left"/>
      <w:pPr>
        <w:ind w:left="3600" w:hanging="360"/>
      </w:pPr>
      <w:rPr>
        <w:rFonts w:ascii="Courier New" w:hAnsi="Courier New" w:cs="Courier New" w:hint="default"/>
      </w:rPr>
    </w:lvl>
    <w:lvl w:ilvl="5" w:tplc="9918CA12" w:tentative="1">
      <w:start w:val="1"/>
      <w:numFmt w:val="bullet"/>
      <w:lvlText w:val=""/>
      <w:lvlJc w:val="left"/>
      <w:pPr>
        <w:ind w:left="4320" w:hanging="360"/>
      </w:pPr>
      <w:rPr>
        <w:rFonts w:ascii="Wingdings" w:hAnsi="Wingdings" w:hint="default"/>
      </w:rPr>
    </w:lvl>
    <w:lvl w:ilvl="6" w:tplc="D1100684" w:tentative="1">
      <w:start w:val="1"/>
      <w:numFmt w:val="bullet"/>
      <w:lvlText w:val=""/>
      <w:lvlJc w:val="left"/>
      <w:pPr>
        <w:ind w:left="5040" w:hanging="360"/>
      </w:pPr>
      <w:rPr>
        <w:rFonts w:ascii="Symbol" w:hAnsi="Symbol" w:hint="default"/>
      </w:rPr>
    </w:lvl>
    <w:lvl w:ilvl="7" w:tplc="43FC939A" w:tentative="1">
      <w:start w:val="1"/>
      <w:numFmt w:val="bullet"/>
      <w:lvlText w:val="o"/>
      <w:lvlJc w:val="left"/>
      <w:pPr>
        <w:ind w:left="5760" w:hanging="360"/>
      </w:pPr>
      <w:rPr>
        <w:rFonts w:ascii="Courier New" w:hAnsi="Courier New" w:cs="Courier New" w:hint="default"/>
      </w:rPr>
    </w:lvl>
    <w:lvl w:ilvl="8" w:tplc="07F80578" w:tentative="1">
      <w:start w:val="1"/>
      <w:numFmt w:val="bullet"/>
      <w:lvlText w:val=""/>
      <w:lvlJc w:val="left"/>
      <w:pPr>
        <w:ind w:left="6480" w:hanging="360"/>
      </w:pPr>
      <w:rPr>
        <w:rFonts w:ascii="Wingdings" w:hAnsi="Wingdings" w:hint="default"/>
      </w:rPr>
    </w:lvl>
  </w:abstractNum>
  <w:abstractNum w:abstractNumId="1" w15:restartNumberingAfterBreak="0">
    <w:nsid w:val="39D562D8"/>
    <w:multiLevelType w:val="hybridMultilevel"/>
    <w:tmpl w:val="94C84740"/>
    <w:lvl w:ilvl="0" w:tplc="B3A2D2E8">
      <w:start w:val="1"/>
      <w:numFmt w:val="bullet"/>
      <w:lvlText w:val=""/>
      <w:lvlJc w:val="left"/>
      <w:pPr>
        <w:ind w:left="720" w:hanging="360"/>
      </w:pPr>
      <w:rPr>
        <w:rFonts w:ascii="Symbol" w:hAnsi="Symbol" w:hint="default"/>
      </w:rPr>
    </w:lvl>
    <w:lvl w:ilvl="1" w:tplc="A6A81A1C" w:tentative="1">
      <w:start w:val="1"/>
      <w:numFmt w:val="bullet"/>
      <w:lvlText w:val="o"/>
      <w:lvlJc w:val="left"/>
      <w:pPr>
        <w:ind w:left="1440" w:hanging="360"/>
      </w:pPr>
      <w:rPr>
        <w:rFonts w:ascii="Courier New" w:hAnsi="Courier New" w:cs="Courier New" w:hint="default"/>
      </w:rPr>
    </w:lvl>
    <w:lvl w:ilvl="2" w:tplc="23A251C2" w:tentative="1">
      <w:start w:val="1"/>
      <w:numFmt w:val="bullet"/>
      <w:lvlText w:val=""/>
      <w:lvlJc w:val="left"/>
      <w:pPr>
        <w:ind w:left="2160" w:hanging="360"/>
      </w:pPr>
      <w:rPr>
        <w:rFonts w:ascii="Wingdings" w:hAnsi="Wingdings" w:hint="default"/>
      </w:rPr>
    </w:lvl>
    <w:lvl w:ilvl="3" w:tplc="E3525998" w:tentative="1">
      <w:start w:val="1"/>
      <w:numFmt w:val="bullet"/>
      <w:lvlText w:val=""/>
      <w:lvlJc w:val="left"/>
      <w:pPr>
        <w:ind w:left="2880" w:hanging="360"/>
      </w:pPr>
      <w:rPr>
        <w:rFonts w:ascii="Symbol" w:hAnsi="Symbol" w:hint="default"/>
      </w:rPr>
    </w:lvl>
    <w:lvl w:ilvl="4" w:tplc="AD98465A" w:tentative="1">
      <w:start w:val="1"/>
      <w:numFmt w:val="bullet"/>
      <w:lvlText w:val="o"/>
      <w:lvlJc w:val="left"/>
      <w:pPr>
        <w:ind w:left="3600" w:hanging="360"/>
      </w:pPr>
      <w:rPr>
        <w:rFonts w:ascii="Courier New" w:hAnsi="Courier New" w:cs="Courier New" w:hint="default"/>
      </w:rPr>
    </w:lvl>
    <w:lvl w:ilvl="5" w:tplc="36FE2E74" w:tentative="1">
      <w:start w:val="1"/>
      <w:numFmt w:val="bullet"/>
      <w:lvlText w:val=""/>
      <w:lvlJc w:val="left"/>
      <w:pPr>
        <w:ind w:left="4320" w:hanging="360"/>
      </w:pPr>
      <w:rPr>
        <w:rFonts w:ascii="Wingdings" w:hAnsi="Wingdings" w:hint="default"/>
      </w:rPr>
    </w:lvl>
    <w:lvl w:ilvl="6" w:tplc="A5FAF458" w:tentative="1">
      <w:start w:val="1"/>
      <w:numFmt w:val="bullet"/>
      <w:lvlText w:val=""/>
      <w:lvlJc w:val="left"/>
      <w:pPr>
        <w:ind w:left="5040" w:hanging="360"/>
      </w:pPr>
      <w:rPr>
        <w:rFonts w:ascii="Symbol" w:hAnsi="Symbol" w:hint="default"/>
      </w:rPr>
    </w:lvl>
    <w:lvl w:ilvl="7" w:tplc="694CEF74" w:tentative="1">
      <w:start w:val="1"/>
      <w:numFmt w:val="bullet"/>
      <w:lvlText w:val="o"/>
      <w:lvlJc w:val="left"/>
      <w:pPr>
        <w:ind w:left="5760" w:hanging="360"/>
      </w:pPr>
      <w:rPr>
        <w:rFonts w:ascii="Courier New" w:hAnsi="Courier New" w:cs="Courier New" w:hint="default"/>
      </w:rPr>
    </w:lvl>
    <w:lvl w:ilvl="8" w:tplc="E6BAF81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56"/>
    <w:rsid w:val="000B2056"/>
    <w:rsid w:val="000D68F6"/>
    <w:rsid w:val="000E1316"/>
    <w:rsid w:val="00100D03"/>
    <w:rsid w:val="00105AD1"/>
    <w:rsid w:val="0016698B"/>
    <w:rsid w:val="001701E8"/>
    <w:rsid w:val="00184D5A"/>
    <w:rsid w:val="001D52F3"/>
    <w:rsid w:val="003066CA"/>
    <w:rsid w:val="003D328A"/>
    <w:rsid w:val="004806D3"/>
    <w:rsid w:val="00493863"/>
    <w:rsid w:val="00620E89"/>
    <w:rsid w:val="006B2EF2"/>
    <w:rsid w:val="006E0466"/>
    <w:rsid w:val="006E32A6"/>
    <w:rsid w:val="007702EA"/>
    <w:rsid w:val="00771492"/>
    <w:rsid w:val="00775720"/>
    <w:rsid w:val="00881B25"/>
    <w:rsid w:val="008966B9"/>
    <w:rsid w:val="00932A56"/>
    <w:rsid w:val="00983A46"/>
    <w:rsid w:val="00A507F5"/>
    <w:rsid w:val="00A90142"/>
    <w:rsid w:val="00BF37E1"/>
    <w:rsid w:val="00C14643"/>
    <w:rsid w:val="00C44D9F"/>
    <w:rsid w:val="00C4562C"/>
    <w:rsid w:val="00C743E0"/>
    <w:rsid w:val="00DA4D77"/>
    <w:rsid w:val="00DB38E6"/>
    <w:rsid w:val="00E93BB0"/>
    <w:rsid w:val="00F14250"/>
    <w:rsid w:val="00F50573"/>
    <w:rsid w:val="00F521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92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A56"/>
    <w:rPr>
      <w:rFonts w:eastAsiaTheme="majorEastAsia" w:cstheme="majorBidi"/>
      <w:color w:val="272727" w:themeColor="text1" w:themeTint="D8"/>
    </w:rPr>
  </w:style>
  <w:style w:type="paragraph" w:styleId="Title">
    <w:name w:val="Title"/>
    <w:basedOn w:val="Normal"/>
    <w:next w:val="Normal"/>
    <w:link w:val="TitleChar"/>
    <w:uiPriority w:val="10"/>
    <w:qFormat/>
    <w:rsid w:val="00932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A56"/>
    <w:pPr>
      <w:spacing w:before="160"/>
      <w:jc w:val="center"/>
    </w:pPr>
    <w:rPr>
      <w:i/>
      <w:iCs/>
      <w:color w:val="404040" w:themeColor="text1" w:themeTint="BF"/>
    </w:rPr>
  </w:style>
  <w:style w:type="character" w:customStyle="1" w:styleId="QuoteChar">
    <w:name w:val="Quote Char"/>
    <w:basedOn w:val="DefaultParagraphFont"/>
    <w:link w:val="Quote"/>
    <w:uiPriority w:val="29"/>
    <w:rsid w:val="00932A56"/>
    <w:rPr>
      <w:i/>
      <w:iCs/>
      <w:color w:val="404040" w:themeColor="text1" w:themeTint="BF"/>
    </w:rPr>
  </w:style>
  <w:style w:type="paragraph" w:styleId="ListParagraph">
    <w:name w:val="List Paragraph"/>
    <w:basedOn w:val="Normal"/>
    <w:uiPriority w:val="34"/>
    <w:qFormat/>
    <w:rsid w:val="00932A56"/>
    <w:pPr>
      <w:ind w:left="720"/>
      <w:contextualSpacing/>
    </w:pPr>
  </w:style>
  <w:style w:type="character" w:styleId="IntenseEmphasis">
    <w:name w:val="Intense Emphasis"/>
    <w:basedOn w:val="DefaultParagraphFont"/>
    <w:uiPriority w:val="21"/>
    <w:qFormat/>
    <w:rsid w:val="00932A56"/>
    <w:rPr>
      <w:i/>
      <w:iCs/>
      <w:color w:val="0F4761" w:themeColor="accent1" w:themeShade="BF"/>
    </w:rPr>
  </w:style>
  <w:style w:type="paragraph" w:styleId="IntenseQuote">
    <w:name w:val="Intense Quote"/>
    <w:basedOn w:val="Normal"/>
    <w:next w:val="Normal"/>
    <w:link w:val="IntenseQuoteChar"/>
    <w:uiPriority w:val="30"/>
    <w:qFormat/>
    <w:rsid w:val="00932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A56"/>
    <w:rPr>
      <w:i/>
      <w:iCs/>
      <w:color w:val="0F4761" w:themeColor="accent1" w:themeShade="BF"/>
    </w:rPr>
  </w:style>
  <w:style w:type="character" w:styleId="IntenseReference">
    <w:name w:val="Intense Reference"/>
    <w:basedOn w:val="DefaultParagraphFont"/>
    <w:uiPriority w:val="32"/>
    <w:qFormat/>
    <w:rsid w:val="00932A56"/>
    <w:rPr>
      <w:b/>
      <w:bCs/>
      <w:smallCaps/>
      <w:color w:val="0F4761" w:themeColor="accent1" w:themeShade="BF"/>
      <w:spacing w:val="5"/>
    </w:rPr>
  </w:style>
  <w:style w:type="character" w:styleId="Hyperlink">
    <w:name w:val="Hyperlink"/>
    <w:basedOn w:val="DefaultParagraphFont"/>
    <w:uiPriority w:val="99"/>
    <w:unhideWhenUsed/>
    <w:rsid w:val="00C743E0"/>
    <w:rPr>
      <w:color w:val="467886" w:themeColor="hyperlink"/>
      <w:u w:val="single"/>
    </w:rPr>
  </w:style>
  <w:style w:type="character" w:styleId="UnresolvedMention">
    <w:name w:val="Unresolved Mention"/>
    <w:basedOn w:val="DefaultParagraphFont"/>
    <w:uiPriority w:val="99"/>
    <w:semiHidden/>
    <w:unhideWhenUsed/>
    <w:rsid w:val="00C743E0"/>
    <w:rPr>
      <w:color w:val="605E5C"/>
      <w:shd w:val="clear" w:color="auto" w:fill="E1DFDD"/>
    </w:rPr>
  </w:style>
  <w:style w:type="paragraph" w:styleId="Header">
    <w:name w:val="header"/>
    <w:basedOn w:val="Normal"/>
    <w:link w:val="HeaderChar"/>
    <w:uiPriority w:val="99"/>
    <w:unhideWhenUsed/>
    <w:rsid w:val="0077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492"/>
  </w:style>
  <w:style w:type="paragraph" w:styleId="Footer">
    <w:name w:val="footer"/>
    <w:basedOn w:val="Normal"/>
    <w:link w:val="FooterChar"/>
    <w:uiPriority w:val="99"/>
    <w:unhideWhenUsed/>
    <w:rsid w:val="0077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492"/>
  </w:style>
  <w:style w:type="paragraph" w:styleId="Revision">
    <w:name w:val="Revision"/>
    <w:hidden/>
    <w:uiPriority w:val="99"/>
    <w:semiHidden/>
    <w:rsid w:val="00770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crportal.hhs.gov/ocr/smartscreen/main.js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US2109504</dc:title>
  <dc:subject>US2109504</dc:subject>
  <dc:creator/>
  <cp:lastModifiedBy/>
  <cp:revision>1</cp:revision>
  <dcterms:created xsi:type="dcterms:W3CDTF">2025-07-21T22:29:00Z</dcterms:created>
  <dcterms:modified xsi:type="dcterms:W3CDTF">2025-07-22T16:27:00Z</dcterms:modified>
</cp:coreProperties>
</file>