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A050" w14:textId="30AA4EB6" w:rsidR="004806D3" w:rsidRPr="00556B91" w:rsidRDefault="00D836B1" w:rsidP="004806D3">
      <w:pPr>
        <w:spacing w:after="0" w:line="240" w:lineRule="auto"/>
        <w:rPr>
          <w:sz w:val="28"/>
          <w:szCs w:val="28"/>
          <w:lang w:val="de-DE"/>
        </w:rPr>
      </w:pPr>
      <w:r>
        <w:rPr>
          <w:rFonts w:ascii="Aptos" w:eastAsia="Aptos" w:hAnsi="Aptos" w:cs="Times New Roman"/>
          <w:sz w:val="28"/>
          <w:szCs w:val="28"/>
          <w:lang w:val="de-DE"/>
        </w:rPr>
        <w:t>Erklärung zur Nichtdiskriminierung des ARMC Healthcare System</w:t>
      </w:r>
    </w:p>
    <w:p w14:paraId="3786DEB5" w14:textId="77777777" w:rsidR="004806D3" w:rsidRPr="00556B91" w:rsidRDefault="004806D3" w:rsidP="004806D3">
      <w:pPr>
        <w:spacing w:after="0" w:line="240" w:lineRule="auto"/>
        <w:rPr>
          <w:sz w:val="28"/>
          <w:szCs w:val="28"/>
          <w:lang w:val="de-DE"/>
        </w:rPr>
      </w:pPr>
    </w:p>
    <w:p w14:paraId="35D94B56" w14:textId="622E3065" w:rsidR="004806D3" w:rsidRPr="00556B91" w:rsidRDefault="00D836B1" w:rsidP="004806D3">
      <w:pPr>
        <w:spacing w:after="0" w:line="240" w:lineRule="auto"/>
        <w:rPr>
          <w:lang w:val="de-DE"/>
        </w:rPr>
      </w:pPr>
      <w:r>
        <w:rPr>
          <w:rFonts w:ascii="Aptos" w:eastAsia="Aptos" w:hAnsi="Aptos" w:cs="Times New Roman"/>
          <w:lang w:val="de-DE"/>
        </w:rPr>
        <w:t>Das ARMC Healthcare System (das aus dem Ashtabula Regional Medical Center [ARMC], ARMC Home Health sowie dem Glenbeigh Hospital und ambulanten Zentren besteht) hält alle geltenden Bundesgesetze zu Bürgerrechten ein, einschließlich Abschnitt 1557 des Affordable Care Act. Das ARMC Healthcare System diskriminiert nicht aufgrund von ethnischer Herkunft, Hautfarbe, nationaler Herkunft (einschließlich begrenzter Englischkenntnisse und Primärsprache), Geschlecht (entsprechend dem Umfang der in 45 CFR § 92.101 [a][ 2] beschriebenen geschlechtlichen Diskriminierung), Alter oder Behinderung.</w:t>
      </w:r>
    </w:p>
    <w:p w14:paraId="429F199F" w14:textId="77777777" w:rsidR="004806D3" w:rsidRPr="00556B91" w:rsidRDefault="004806D3" w:rsidP="004806D3">
      <w:pPr>
        <w:spacing w:after="0" w:line="240" w:lineRule="auto"/>
        <w:rPr>
          <w:lang w:val="de-DE"/>
        </w:rPr>
      </w:pPr>
    </w:p>
    <w:p w14:paraId="54FFFA0E" w14:textId="7E398391" w:rsidR="004806D3" w:rsidRPr="00556B91" w:rsidRDefault="00D836B1" w:rsidP="004806D3">
      <w:pPr>
        <w:spacing w:after="0" w:line="240" w:lineRule="auto"/>
        <w:rPr>
          <w:lang w:val="de-DE"/>
        </w:rPr>
      </w:pPr>
      <w:r>
        <w:rPr>
          <w:rFonts w:ascii="Aptos" w:eastAsia="Aptos" w:hAnsi="Aptos" w:cs="Times New Roman"/>
          <w:lang w:val="de-DE"/>
        </w:rPr>
        <w:t>Gemäß Abschnitt 1557 und anderen Bundesgesetzen zu Bürgerrechten stellen wir Folgendes bei Bedarf zeitnah und kostenlos zur Verfügung:</w:t>
      </w:r>
    </w:p>
    <w:p w14:paraId="6BF39A4F" w14:textId="77777777" w:rsidR="004806D3" w:rsidRPr="00556B91" w:rsidRDefault="004806D3" w:rsidP="004806D3">
      <w:pPr>
        <w:spacing w:after="0" w:line="240" w:lineRule="auto"/>
        <w:rPr>
          <w:lang w:val="de-DE"/>
        </w:rPr>
      </w:pPr>
    </w:p>
    <w:p w14:paraId="20E13AD8" w14:textId="416CE322" w:rsidR="004806D3" w:rsidRDefault="00D836B1" w:rsidP="004806D3">
      <w:pPr>
        <w:spacing w:after="0" w:line="240" w:lineRule="auto"/>
      </w:pPr>
      <w:r>
        <w:rPr>
          <w:rFonts w:ascii="Aptos" w:eastAsia="Aptos" w:hAnsi="Aptos" w:cs="Times New Roman"/>
          <w:b/>
          <w:bCs/>
          <w:lang w:val="de-DE"/>
        </w:rPr>
        <w:t>Sprachunterstützungsdienste</w:t>
      </w:r>
      <w:r>
        <w:rPr>
          <w:rFonts w:ascii="Aptos" w:eastAsia="Aptos" w:hAnsi="Aptos" w:cs="Times New Roman"/>
          <w:lang w:val="de-DE"/>
        </w:rPr>
        <w:t>: Das ARMC Healthcare System bietet Sprachunterstützungsdienste für Personen mit begrenzten Englischkenntnissen (einschließlich ihrer Begleitpersonen mit begrenzten Englischkenntnissen), um einen sinnvollen Zugang zu unseren Programmen, Aktivitäten, Dienstleistungen und anderen Leistungen zu gewährleisten. Diese Sprachunterstützungsdienste können Folgendes umfassen:</w:t>
      </w:r>
    </w:p>
    <w:p w14:paraId="6CC2F77F" w14:textId="309B4F8C" w:rsidR="004806D3" w:rsidRDefault="00D836B1" w:rsidP="004806D3">
      <w:pPr>
        <w:pStyle w:val="ListParagraph"/>
        <w:numPr>
          <w:ilvl w:val="0"/>
          <w:numId w:val="1"/>
        </w:numPr>
        <w:spacing w:after="0" w:line="240" w:lineRule="auto"/>
      </w:pPr>
      <w:r>
        <w:rPr>
          <w:rFonts w:ascii="Aptos" w:eastAsia="Aptos" w:hAnsi="Aptos" w:cs="Times New Roman"/>
          <w:lang w:val="de-DE"/>
        </w:rPr>
        <w:t>elektronische und schriftliche übersetzte Dokumente</w:t>
      </w:r>
    </w:p>
    <w:p w14:paraId="3EC37FFF" w14:textId="6101ECD1" w:rsidR="004806D3" w:rsidRDefault="00D836B1" w:rsidP="004806D3">
      <w:pPr>
        <w:pStyle w:val="ListParagraph"/>
        <w:numPr>
          <w:ilvl w:val="0"/>
          <w:numId w:val="1"/>
        </w:numPr>
        <w:spacing w:after="0" w:line="240" w:lineRule="auto"/>
      </w:pPr>
      <w:r>
        <w:rPr>
          <w:rFonts w:ascii="Aptos" w:eastAsia="Aptos" w:hAnsi="Aptos" w:cs="Times New Roman"/>
          <w:lang w:val="de-DE"/>
        </w:rPr>
        <w:t>qualifizierte Dolmetscher</w:t>
      </w:r>
    </w:p>
    <w:p w14:paraId="3BA7CC8C" w14:textId="77777777" w:rsidR="004806D3" w:rsidRDefault="004806D3" w:rsidP="004806D3">
      <w:pPr>
        <w:spacing w:after="0" w:line="240" w:lineRule="auto"/>
      </w:pPr>
    </w:p>
    <w:p w14:paraId="53C0287A" w14:textId="45AFF938" w:rsidR="004806D3" w:rsidRDefault="00D836B1" w:rsidP="004806D3">
      <w:pPr>
        <w:spacing w:after="0" w:line="240" w:lineRule="auto"/>
      </w:pPr>
      <w:r>
        <w:rPr>
          <w:rFonts w:ascii="Aptos" w:eastAsia="Aptos" w:hAnsi="Aptos" w:cs="Times New Roman"/>
          <w:b/>
          <w:bCs/>
          <w:lang w:val="de-DE"/>
        </w:rPr>
        <w:t>Bereitstellung von Sprachunterstützungsdiensten sowie angemessenen Hilfsmitteln und -dienstleistungen</w:t>
      </w:r>
      <w:r>
        <w:rPr>
          <w:rFonts w:ascii="Aptos" w:eastAsia="Aptos" w:hAnsi="Aptos" w:cs="Times New Roman"/>
          <w:lang w:val="de-DE"/>
        </w:rPr>
        <w:t>: Das ARMC Healthcare System bietet Sprachunterstützungsdienste sowie angemessene Hilfsmittel und -dienstleistungen für Personen mit Behinderungen (einschließlich ihrer Begleitpersonen mit Behinderungen), um eine effektive Kommunikation zu gewährleisten. Die angemessenen Hilfsmittel und -dienstleistungen können Folgendes umfassen:</w:t>
      </w:r>
    </w:p>
    <w:p w14:paraId="7864EA81" w14:textId="102222B6" w:rsidR="004806D3" w:rsidRPr="00556B91" w:rsidRDefault="00D836B1" w:rsidP="004806D3">
      <w:pPr>
        <w:pStyle w:val="ListParagraph"/>
        <w:numPr>
          <w:ilvl w:val="0"/>
          <w:numId w:val="2"/>
        </w:numPr>
        <w:spacing w:after="0" w:line="240" w:lineRule="auto"/>
        <w:rPr>
          <w:lang w:val="de-DE"/>
        </w:rPr>
      </w:pPr>
      <w:r>
        <w:rPr>
          <w:rFonts w:ascii="Aptos" w:eastAsia="Aptos" w:hAnsi="Aptos" w:cs="Times New Roman"/>
          <w:lang w:val="de-DE"/>
        </w:rPr>
        <w:t>qualifizierte Dolmetscher, einschließlich Dolmetschern für die amerikanische Gebärdensprache (American Sign Language)</w:t>
      </w:r>
    </w:p>
    <w:p w14:paraId="17CF99C9" w14:textId="79371D04" w:rsidR="004806D3" w:rsidRDefault="00D836B1" w:rsidP="004806D3">
      <w:pPr>
        <w:pStyle w:val="ListParagraph"/>
        <w:numPr>
          <w:ilvl w:val="0"/>
          <w:numId w:val="2"/>
        </w:numPr>
        <w:spacing w:after="0" w:line="240" w:lineRule="auto"/>
      </w:pPr>
      <w:r>
        <w:rPr>
          <w:rFonts w:ascii="Aptos" w:eastAsia="Aptos" w:hAnsi="Aptos" w:cs="Times New Roman"/>
          <w:lang w:val="de-DE"/>
        </w:rPr>
        <w:t>Ferndolmetschen per Video</w:t>
      </w:r>
    </w:p>
    <w:p w14:paraId="71FA2A1B" w14:textId="55EE0F07" w:rsidR="004806D3" w:rsidRPr="00556B91" w:rsidRDefault="00D836B1" w:rsidP="004806D3">
      <w:pPr>
        <w:pStyle w:val="ListParagraph"/>
        <w:numPr>
          <w:ilvl w:val="0"/>
          <w:numId w:val="2"/>
        </w:numPr>
        <w:spacing w:after="0" w:line="240" w:lineRule="auto"/>
        <w:rPr>
          <w:lang w:val="de-DE"/>
        </w:rPr>
      </w:pPr>
      <w:r>
        <w:rPr>
          <w:rFonts w:ascii="Aptos" w:eastAsia="Aptos" w:hAnsi="Aptos" w:cs="Times New Roman"/>
          <w:lang w:val="de-DE"/>
        </w:rPr>
        <w:t>Informationen in alternativen Formaten (einschließlich, aber nicht beschränkt auf Großdruck, Audioaufzeichnung und barrierefreie elektronische Formate)</w:t>
      </w:r>
    </w:p>
    <w:p w14:paraId="3C6E17E8" w14:textId="77777777" w:rsidR="004806D3" w:rsidRPr="00556B91" w:rsidRDefault="004806D3" w:rsidP="004806D3">
      <w:pPr>
        <w:spacing w:after="0" w:line="240" w:lineRule="auto"/>
        <w:rPr>
          <w:lang w:val="de-DE"/>
        </w:rPr>
      </w:pPr>
    </w:p>
    <w:p w14:paraId="4A9FF935" w14:textId="7582B62A" w:rsidR="004806D3" w:rsidRPr="00556B91" w:rsidRDefault="00D836B1" w:rsidP="004806D3">
      <w:pPr>
        <w:spacing w:after="0" w:line="240" w:lineRule="auto"/>
        <w:rPr>
          <w:lang w:val="de-DE"/>
        </w:rPr>
      </w:pPr>
      <w:r>
        <w:rPr>
          <w:rFonts w:ascii="Aptos" w:eastAsia="Aptos" w:hAnsi="Aptos" w:cs="Times New Roman"/>
          <w:b/>
          <w:bCs/>
          <w:lang w:val="de-DE"/>
        </w:rPr>
        <w:t>Angemessene Anpassungen:</w:t>
      </w:r>
      <w:r>
        <w:rPr>
          <w:rFonts w:ascii="Aptos" w:eastAsia="Aptos" w:hAnsi="Aptos" w:cs="Times New Roman"/>
          <w:lang w:val="de-DE"/>
        </w:rPr>
        <w:t xml:space="preserve"> Das ARMC Healthcare System wird angemessene Anpassungen für Personen mit Behinderungen, welche die entsprechenden Anforderungen erfüllen, vornehmen, wenn dies erforderlich ist, um die Zugänglichkeit und die Chancengleichheit zur Teilnahme an unseren Programmen, Aktivitäten, Dienstleistungen oder anderen Leistungen zu gewährleisten.</w:t>
      </w:r>
    </w:p>
    <w:p w14:paraId="14DAAE91" w14:textId="77777777" w:rsidR="00C743E0" w:rsidRPr="00556B91" w:rsidRDefault="00C743E0" w:rsidP="004806D3">
      <w:pPr>
        <w:spacing w:after="0" w:line="240" w:lineRule="auto"/>
        <w:rPr>
          <w:lang w:val="de-DE"/>
        </w:rPr>
      </w:pPr>
    </w:p>
    <w:p w14:paraId="39CE9E49" w14:textId="1A3C6FF0" w:rsidR="00C743E0" w:rsidRPr="00556B91" w:rsidRDefault="00D836B1" w:rsidP="004806D3">
      <w:pPr>
        <w:spacing w:after="0" w:line="240" w:lineRule="auto"/>
        <w:rPr>
          <w:lang w:val="de-DE"/>
        </w:rPr>
      </w:pPr>
      <w:r>
        <w:rPr>
          <w:rFonts w:ascii="Aptos" w:eastAsia="Aptos" w:hAnsi="Aptos" w:cs="Times New Roman"/>
          <w:lang w:val="de-DE"/>
        </w:rPr>
        <w:t xml:space="preserve">Um auf unsere Sprachunterstützungsdienste, Hilfsmittel und </w:t>
      </w:r>
      <w:r>
        <w:rPr>
          <w:rFonts w:ascii="Aptos" w:eastAsia="Aptos" w:hAnsi="Aptos" w:cs="Times New Roman"/>
          <w:lang w:val="de-DE"/>
        </w:rPr>
        <w:noBreakHyphen/>
        <w:t xml:space="preserve">dienstleistungen zuzugreifen und um Unterstützung in Bezug auf eine angemessene Anpassung zu erhalten, wenden Sie sich bitte an ein Mitglied Ihres Betreuungsteams. Wenn Sie weitere Unterstützung benötigen, können Sie sich auch über Ihr Betreuungsteam an die Pflegeleitung wenden. </w:t>
      </w:r>
    </w:p>
    <w:p w14:paraId="7C78F09D" w14:textId="77777777" w:rsidR="00C743E0" w:rsidRPr="00556B91" w:rsidRDefault="00C743E0" w:rsidP="004806D3">
      <w:pPr>
        <w:spacing w:after="0" w:line="240" w:lineRule="auto"/>
        <w:rPr>
          <w:lang w:val="de-DE"/>
        </w:rPr>
      </w:pPr>
    </w:p>
    <w:p w14:paraId="336D7D35" w14:textId="5B38DEB2" w:rsidR="00C743E0" w:rsidRPr="00556B91" w:rsidRDefault="00D836B1" w:rsidP="004806D3">
      <w:pPr>
        <w:spacing w:after="0" w:line="240" w:lineRule="auto"/>
        <w:rPr>
          <w:lang w:val="de-DE"/>
        </w:rPr>
      </w:pPr>
      <w:r>
        <w:rPr>
          <w:rFonts w:ascii="Aptos" w:eastAsia="Aptos" w:hAnsi="Aptos" w:cs="Times New Roman"/>
          <w:lang w:val="de-DE"/>
        </w:rPr>
        <w:t xml:space="preserve">Wenn Sie der Meinung sind, dass das ARMC Healthcare System diese Dienstleistungen nicht bereitgestellt hat oder auf andere Weise aufgrund von ethnischer Zugehörigkeit, Hautfarbe, nationaler Herkunft, Geschlecht, Alter oder Behinderung diskriminiert hat, können Sie eine Beschwerde bei der nachfolgend angegebenen Kontaktstelle einreichen: </w:t>
      </w:r>
    </w:p>
    <w:p w14:paraId="3B1C7A9C" w14:textId="77777777" w:rsidR="00C743E0" w:rsidRPr="00556B91" w:rsidRDefault="00C743E0" w:rsidP="004806D3">
      <w:pPr>
        <w:spacing w:after="0" w:line="240" w:lineRule="auto"/>
        <w:rPr>
          <w:lang w:val="de-DE"/>
        </w:rPr>
      </w:pPr>
    </w:p>
    <w:tbl>
      <w:tblPr>
        <w:tblStyle w:val="TableGrid"/>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3357"/>
      </w:tblGrid>
      <w:tr w:rsidR="00FB2C55" w:rsidRPr="00FB2C55" w14:paraId="3E8F7518" w14:textId="77777777" w:rsidTr="00745A43">
        <w:tc>
          <w:tcPr>
            <w:tcW w:w="3969" w:type="dxa"/>
          </w:tcPr>
          <w:p w14:paraId="6EB336B9" w14:textId="77777777" w:rsidR="00FB2C55" w:rsidRPr="00FB2C55" w:rsidRDefault="00FB2C55" w:rsidP="00A8618D">
            <w:pPr>
              <w:rPr>
                <w:rFonts w:ascii="Aptos" w:eastAsia="Aptos" w:hAnsi="Aptos" w:cs="Times New Roman"/>
                <w:lang w:val="en-GB"/>
              </w:rPr>
            </w:pPr>
            <w:r w:rsidRPr="00FB2C55">
              <w:rPr>
                <w:rFonts w:ascii="Aptos" w:eastAsia="Aptos" w:hAnsi="Aptos" w:cs="Times New Roman"/>
                <w:lang w:val="en-GB"/>
              </w:rPr>
              <w:t>Ombudsmann</w:t>
            </w:r>
          </w:p>
        </w:tc>
        <w:tc>
          <w:tcPr>
            <w:tcW w:w="3119" w:type="dxa"/>
          </w:tcPr>
          <w:p w14:paraId="6C473D7B" w14:textId="227AAE93" w:rsidR="00FB2C55" w:rsidRPr="00FB2C55" w:rsidRDefault="00221FC0" w:rsidP="00A8618D">
            <w:pPr>
              <w:rPr>
                <w:rFonts w:ascii="Aptos" w:eastAsia="Aptos" w:hAnsi="Aptos" w:cs="Times New Roman"/>
                <w:lang w:val="en-GB"/>
              </w:rPr>
            </w:pPr>
            <w:r w:rsidRPr="00FB2C55">
              <w:rPr>
                <w:rFonts w:ascii="Aptos" w:eastAsia="Aptos" w:hAnsi="Aptos" w:cs="Times New Roman"/>
                <w:lang w:val="en-GB"/>
              </w:rPr>
              <w:t>Qualitätsdirektor</w:t>
            </w:r>
          </w:p>
        </w:tc>
        <w:tc>
          <w:tcPr>
            <w:tcW w:w="3357" w:type="dxa"/>
          </w:tcPr>
          <w:p w14:paraId="040E95A4" w14:textId="5B8557FE" w:rsidR="00FB2C55" w:rsidRPr="00FB2C55" w:rsidRDefault="00221FC0" w:rsidP="00A8618D">
            <w:pPr>
              <w:rPr>
                <w:rFonts w:ascii="Aptos" w:eastAsia="Aptos" w:hAnsi="Aptos" w:cs="Times New Roman"/>
                <w:lang w:val="en-GB"/>
              </w:rPr>
            </w:pPr>
            <w:r w:rsidRPr="00FB2C55">
              <w:rPr>
                <w:rFonts w:ascii="Aptos" w:eastAsia="Aptos" w:hAnsi="Aptos" w:cs="Times New Roman"/>
                <w:lang w:val="en-GB"/>
              </w:rPr>
              <w:t>Qualitätsleiter</w:t>
            </w:r>
          </w:p>
        </w:tc>
      </w:tr>
      <w:tr w:rsidR="00FB2C55" w:rsidRPr="00FB2C55" w14:paraId="40584655" w14:textId="77777777" w:rsidTr="00745A43">
        <w:tc>
          <w:tcPr>
            <w:tcW w:w="3969" w:type="dxa"/>
          </w:tcPr>
          <w:p w14:paraId="208BDC42" w14:textId="5A5074CE" w:rsidR="00FB2C55" w:rsidRPr="00FB2C55" w:rsidRDefault="00221FC0" w:rsidP="00A8618D">
            <w:pPr>
              <w:rPr>
                <w:rFonts w:ascii="Aptos" w:eastAsia="Aptos" w:hAnsi="Aptos" w:cs="Times New Roman"/>
                <w:lang w:val="en-GB"/>
              </w:rPr>
            </w:pPr>
            <w:r w:rsidRPr="00FB2C55">
              <w:rPr>
                <w:rFonts w:ascii="Aptos" w:eastAsia="Aptos" w:hAnsi="Aptos" w:cs="Times New Roman"/>
                <w:lang w:val="en-GB"/>
              </w:rPr>
              <w:t>Ashtabula Regional Medical Center</w:t>
            </w:r>
          </w:p>
        </w:tc>
        <w:tc>
          <w:tcPr>
            <w:tcW w:w="3119" w:type="dxa"/>
          </w:tcPr>
          <w:p w14:paraId="308D8ED8" w14:textId="394F8FFF" w:rsidR="00FB2C55" w:rsidRPr="00FB2C55" w:rsidRDefault="00221FC0" w:rsidP="00A8618D">
            <w:pPr>
              <w:rPr>
                <w:rFonts w:ascii="Aptos" w:eastAsia="Aptos" w:hAnsi="Aptos" w:cs="Times New Roman"/>
                <w:lang w:val="en-GB"/>
              </w:rPr>
            </w:pPr>
            <w:r w:rsidRPr="00FB2C55">
              <w:rPr>
                <w:rFonts w:ascii="Aptos" w:eastAsia="Aptos" w:hAnsi="Aptos" w:cs="Times New Roman"/>
                <w:lang w:val="en-GB"/>
              </w:rPr>
              <w:t>ARMC Home Health</w:t>
            </w:r>
          </w:p>
        </w:tc>
        <w:tc>
          <w:tcPr>
            <w:tcW w:w="3357" w:type="dxa"/>
          </w:tcPr>
          <w:p w14:paraId="41ADB728" w14:textId="40E163E8" w:rsidR="00FB2C55" w:rsidRPr="00FB2C55" w:rsidRDefault="00221FC0" w:rsidP="00A8618D">
            <w:pPr>
              <w:rPr>
                <w:rFonts w:ascii="Aptos" w:eastAsia="Aptos" w:hAnsi="Aptos" w:cs="Times New Roman"/>
                <w:lang w:val="en-GB"/>
              </w:rPr>
            </w:pPr>
            <w:r w:rsidRPr="00FB2C55">
              <w:rPr>
                <w:rFonts w:ascii="Aptos" w:eastAsia="Aptos" w:hAnsi="Aptos" w:cs="Times New Roman"/>
                <w:lang w:val="en-GB"/>
              </w:rPr>
              <w:t>Glenbeigh</w:t>
            </w:r>
          </w:p>
        </w:tc>
      </w:tr>
      <w:tr w:rsidR="00FB2C55" w:rsidRPr="00FB2C55" w14:paraId="3409360D" w14:textId="77777777" w:rsidTr="00745A43">
        <w:tc>
          <w:tcPr>
            <w:tcW w:w="3969" w:type="dxa"/>
          </w:tcPr>
          <w:p w14:paraId="158F0BB0" w14:textId="18ECFB49" w:rsidR="00FB2C55" w:rsidRPr="00FB2C55" w:rsidRDefault="00221FC0" w:rsidP="00A8618D">
            <w:r w:rsidRPr="00FB2C55">
              <w:rPr>
                <w:rFonts w:ascii="Aptos" w:eastAsia="Aptos" w:hAnsi="Aptos" w:cs="Times New Roman"/>
                <w:lang w:val="en-GB"/>
              </w:rPr>
              <w:t>2420 Lake Avenue</w:t>
            </w:r>
          </w:p>
        </w:tc>
        <w:tc>
          <w:tcPr>
            <w:tcW w:w="3119" w:type="dxa"/>
          </w:tcPr>
          <w:p w14:paraId="2BC02C7D" w14:textId="00D85943" w:rsidR="00FB2C55" w:rsidRPr="00FB2C55" w:rsidRDefault="00221FC0" w:rsidP="00A8618D">
            <w:r w:rsidRPr="00FB2C55">
              <w:rPr>
                <w:rFonts w:ascii="Aptos" w:eastAsia="Aptos" w:hAnsi="Aptos" w:cs="Times New Roman"/>
                <w:lang w:val="en-GB"/>
              </w:rPr>
              <w:t>2131 Lake Ave, Ste 2</w:t>
            </w:r>
          </w:p>
        </w:tc>
        <w:tc>
          <w:tcPr>
            <w:tcW w:w="3357" w:type="dxa"/>
          </w:tcPr>
          <w:p w14:paraId="0677912E" w14:textId="28E7F435" w:rsidR="00FB2C55" w:rsidRPr="00FB2C55" w:rsidRDefault="00221FC0" w:rsidP="00A8618D">
            <w:r w:rsidRPr="00FB2C55">
              <w:rPr>
                <w:rFonts w:ascii="Aptos" w:eastAsia="Aptos" w:hAnsi="Aptos" w:cs="Times New Roman"/>
                <w:lang w:val="en-GB"/>
              </w:rPr>
              <w:t>2863 State Route 45N</w:t>
            </w:r>
          </w:p>
        </w:tc>
      </w:tr>
      <w:tr w:rsidR="00FB2C55" w:rsidRPr="00FB2C55" w14:paraId="59D22A59" w14:textId="77777777" w:rsidTr="00745A43">
        <w:tc>
          <w:tcPr>
            <w:tcW w:w="3969" w:type="dxa"/>
          </w:tcPr>
          <w:p w14:paraId="606B6E3B" w14:textId="24CCB4DF" w:rsidR="00FB2C55" w:rsidRPr="00FB2C55" w:rsidRDefault="00221FC0" w:rsidP="00A8618D">
            <w:pPr>
              <w:rPr>
                <w:rFonts w:ascii="Aptos" w:eastAsia="Aptos" w:hAnsi="Aptos" w:cs="Times New Roman"/>
                <w:lang w:val="en-GB"/>
              </w:rPr>
            </w:pPr>
            <w:r w:rsidRPr="00FB2C55">
              <w:rPr>
                <w:rFonts w:ascii="Aptos" w:eastAsia="Aptos" w:hAnsi="Aptos" w:cs="Times New Roman"/>
                <w:lang w:val="de-DE"/>
              </w:rPr>
              <w:t>Ashtabula, OH 44004, USA</w:t>
            </w:r>
          </w:p>
        </w:tc>
        <w:tc>
          <w:tcPr>
            <w:tcW w:w="3119" w:type="dxa"/>
          </w:tcPr>
          <w:p w14:paraId="1470C1A6" w14:textId="267EDAA6" w:rsidR="00FB2C55" w:rsidRPr="00FB2C55" w:rsidRDefault="00221FC0" w:rsidP="00A8618D">
            <w:pPr>
              <w:rPr>
                <w:rFonts w:ascii="Aptos" w:eastAsia="Aptos" w:hAnsi="Aptos" w:cs="Times New Roman"/>
                <w:lang w:val="en-GB"/>
              </w:rPr>
            </w:pPr>
            <w:r w:rsidRPr="00FB2C55">
              <w:rPr>
                <w:rFonts w:ascii="Aptos" w:eastAsia="Aptos" w:hAnsi="Aptos" w:cs="Times New Roman"/>
                <w:lang w:val="de-DE"/>
              </w:rPr>
              <w:t>Ashtabula, OH 44004, USA</w:t>
            </w:r>
          </w:p>
        </w:tc>
        <w:tc>
          <w:tcPr>
            <w:tcW w:w="3357" w:type="dxa"/>
          </w:tcPr>
          <w:p w14:paraId="44C1CC94" w14:textId="74905431" w:rsidR="00FB2C55" w:rsidRPr="00FB2C55" w:rsidRDefault="00221FC0" w:rsidP="00A8618D">
            <w:pPr>
              <w:rPr>
                <w:rFonts w:ascii="Aptos" w:eastAsia="Aptos" w:hAnsi="Aptos" w:cs="Times New Roman"/>
                <w:lang w:val="en-GB"/>
              </w:rPr>
            </w:pPr>
            <w:r w:rsidRPr="00FB2C55">
              <w:rPr>
                <w:rFonts w:ascii="Aptos" w:eastAsia="Aptos" w:hAnsi="Aptos" w:cs="Times New Roman"/>
                <w:lang w:val="de-DE"/>
              </w:rPr>
              <w:t>Rock Creek, OH 44084, USA</w:t>
            </w:r>
          </w:p>
        </w:tc>
      </w:tr>
      <w:tr w:rsidR="00FB2C55" w:rsidRPr="00FB2C55" w14:paraId="1EA55453" w14:textId="77777777" w:rsidTr="00745A43">
        <w:tc>
          <w:tcPr>
            <w:tcW w:w="3969" w:type="dxa"/>
          </w:tcPr>
          <w:p w14:paraId="6EAF7757" w14:textId="66CDA430" w:rsidR="00FB2C55" w:rsidRPr="00FB2C55" w:rsidRDefault="00221FC0" w:rsidP="00A8618D">
            <w:r w:rsidRPr="00FB2C55">
              <w:rPr>
                <w:rFonts w:ascii="Aptos" w:eastAsia="Aptos" w:hAnsi="Aptos" w:cs="Times New Roman"/>
                <w:lang w:val="de-DE"/>
              </w:rPr>
              <w:t>+1 440-997-2262</w:t>
            </w:r>
          </w:p>
        </w:tc>
        <w:tc>
          <w:tcPr>
            <w:tcW w:w="3119" w:type="dxa"/>
          </w:tcPr>
          <w:p w14:paraId="5C822ABB" w14:textId="1347269C" w:rsidR="00FB2C55" w:rsidRPr="00FB2C55" w:rsidRDefault="00221FC0" w:rsidP="00A8618D">
            <w:r w:rsidRPr="00FB2C55">
              <w:rPr>
                <w:rFonts w:ascii="Aptos" w:eastAsia="Aptos" w:hAnsi="Aptos" w:cs="Times New Roman"/>
                <w:lang w:val="de-DE"/>
              </w:rPr>
              <w:t>+1 440-992-4633</w:t>
            </w:r>
          </w:p>
        </w:tc>
        <w:tc>
          <w:tcPr>
            <w:tcW w:w="3357" w:type="dxa"/>
          </w:tcPr>
          <w:p w14:paraId="08AE37F5" w14:textId="2CF5EDB4" w:rsidR="00FB2C55" w:rsidRPr="00FB2C55" w:rsidRDefault="00221FC0" w:rsidP="00A8618D">
            <w:r w:rsidRPr="00FB2C55">
              <w:rPr>
                <w:rFonts w:ascii="Aptos" w:eastAsia="Aptos" w:hAnsi="Aptos" w:cs="Times New Roman"/>
                <w:lang w:val="de-DE"/>
              </w:rPr>
              <w:t>+1 440-563-3400</w:t>
            </w:r>
          </w:p>
        </w:tc>
      </w:tr>
    </w:tbl>
    <w:p w14:paraId="5F3255CB" w14:textId="77777777" w:rsidR="00C743E0" w:rsidRPr="00556B91" w:rsidRDefault="00C743E0" w:rsidP="004806D3">
      <w:pPr>
        <w:spacing w:after="0" w:line="240" w:lineRule="auto"/>
        <w:rPr>
          <w:lang w:val="de-DE"/>
        </w:rPr>
      </w:pPr>
    </w:p>
    <w:p w14:paraId="777E0859" w14:textId="7B008D1C" w:rsidR="00C743E0" w:rsidRPr="00556B91" w:rsidRDefault="00D836B1" w:rsidP="004806D3">
      <w:pPr>
        <w:spacing w:after="0" w:line="240" w:lineRule="auto"/>
        <w:rPr>
          <w:lang w:val="de-DE"/>
        </w:rPr>
      </w:pPr>
      <w:r>
        <w:rPr>
          <w:rFonts w:ascii="Aptos" w:eastAsia="Aptos" w:hAnsi="Aptos" w:cs="Times New Roman"/>
          <w:lang w:val="de-DE"/>
        </w:rPr>
        <w:t xml:space="preserve">Außerdem können Sie eine Beschwerde beim Amt für Bürgerrechte (Office for Civil Rights) des US-Gesundheitsministeriums (US Department of Health and Human Services), einreichen unter </w:t>
      </w:r>
      <w:hyperlink r:id="rId8" w:history="1">
        <w:r w:rsidR="00C743E0">
          <w:rPr>
            <w:rFonts w:ascii="Aptos" w:eastAsia="Aptos" w:hAnsi="Aptos" w:cs="Times New Roman"/>
            <w:color w:val="467886"/>
            <w:u w:val="single"/>
            <w:lang w:val="de-DE"/>
          </w:rPr>
          <w:t>https://ocrportal.hhs.gov/ocr/smartscreen/main.jsf</w:t>
        </w:r>
      </w:hyperlink>
      <w:r>
        <w:rPr>
          <w:rFonts w:ascii="Aptos" w:eastAsia="Aptos" w:hAnsi="Aptos" w:cs="Times New Roman"/>
          <w:lang w:val="de-DE"/>
        </w:rPr>
        <w:t xml:space="preserve"> oder per Post an:</w:t>
      </w:r>
    </w:p>
    <w:p w14:paraId="64C3E43D" w14:textId="77777777" w:rsidR="00C743E0" w:rsidRPr="00556B91" w:rsidRDefault="00C743E0" w:rsidP="004806D3">
      <w:pPr>
        <w:spacing w:after="0" w:line="240" w:lineRule="auto"/>
        <w:rPr>
          <w:lang w:val="de-DE"/>
        </w:rPr>
      </w:pPr>
    </w:p>
    <w:p w14:paraId="10FC835D" w14:textId="675D8CFE" w:rsidR="00C743E0" w:rsidRDefault="00D836B1" w:rsidP="004806D3">
      <w:pPr>
        <w:spacing w:after="0" w:line="240" w:lineRule="auto"/>
      </w:pPr>
      <w:r w:rsidRPr="00556B91">
        <w:rPr>
          <w:rFonts w:ascii="Aptos" w:eastAsia="Aptos" w:hAnsi="Aptos" w:cs="Times New Roman"/>
          <w:lang w:val="en-GB"/>
        </w:rPr>
        <w:t>US Department of Health and Human Services</w:t>
      </w:r>
    </w:p>
    <w:p w14:paraId="3A4E7EDC" w14:textId="58055518" w:rsidR="00C743E0" w:rsidRDefault="00D836B1" w:rsidP="004806D3">
      <w:pPr>
        <w:spacing w:after="0" w:line="240" w:lineRule="auto"/>
      </w:pPr>
      <w:r w:rsidRPr="00556B91">
        <w:rPr>
          <w:rFonts w:ascii="Aptos" w:eastAsia="Aptos" w:hAnsi="Aptos" w:cs="Times New Roman"/>
          <w:lang w:val="en-GB"/>
        </w:rPr>
        <w:t>200 Independence Avenue, SW – 509F</w:t>
      </w:r>
    </w:p>
    <w:p w14:paraId="5A3A2CA0" w14:textId="7C55D541" w:rsidR="00C743E0" w:rsidRDefault="00D836B1" w:rsidP="004806D3">
      <w:pPr>
        <w:spacing w:after="0" w:line="240" w:lineRule="auto"/>
      </w:pPr>
      <w:r w:rsidRPr="00556B91">
        <w:rPr>
          <w:rFonts w:ascii="Aptos" w:eastAsia="Aptos" w:hAnsi="Aptos" w:cs="Times New Roman"/>
          <w:lang w:val="en-GB"/>
        </w:rPr>
        <w:t>Washington, DC 20201, USA</w:t>
      </w:r>
    </w:p>
    <w:p w14:paraId="0C911862" w14:textId="77777777" w:rsidR="00E93BB0" w:rsidRDefault="00E93BB0" w:rsidP="004806D3">
      <w:pPr>
        <w:spacing w:after="0" w:line="240" w:lineRule="auto"/>
      </w:pPr>
    </w:p>
    <w:p w14:paraId="319513A0" w14:textId="77777777" w:rsidR="00E93BB0" w:rsidRDefault="00E93BB0" w:rsidP="004806D3">
      <w:pPr>
        <w:spacing w:after="0" w:line="240" w:lineRule="auto"/>
      </w:pPr>
    </w:p>
    <w:p w14:paraId="17C0F55F" w14:textId="77777777" w:rsidR="00E93BB0" w:rsidRDefault="00E93BB0" w:rsidP="004806D3">
      <w:pPr>
        <w:spacing w:after="0" w:line="240" w:lineRule="auto"/>
      </w:pPr>
    </w:p>
    <w:p w14:paraId="68FCA413" w14:textId="77777777" w:rsidR="00E93BB0" w:rsidRDefault="00E93BB0" w:rsidP="004806D3">
      <w:pPr>
        <w:spacing w:after="0" w:line="240" w:lineRule="auto"/>
      </w:pPr>
    </w:p>
    <w:p w14:paraId="162C5C81" w14:textId="06F45985" w:rsidR="00E93BB0" w:rsidRPr="004806D3" w:rsidRDefault="00D836B1" w:rsidP="004806D3">
      <w:pPr>
        <w:spacing w:after="0" w:line="240" w:lineRule="auto"/>
      </w:pPr>
      <w:r>
        <w:rPr>
          <w:noProof/>
        </w:rPr>
        <w:drawing>
          <wp:inline distT="0" distB="0" distL="0" distR="0" wp14:anchorId="319D8F13" wp14:editId="0486A2C0">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43FFA975" w14:textId="77777777" w:rsidR="00E93BB0" w:rsidRDefault="00E93BB0">
      <w:pPr>
        <w:rPr>
          <w:sz w:val="28"/>
          <w:szCs w:val="28"/>
        </w:rPr>
      </w:pPr>
    </w:p>
    <w:p w14:paraId="5479BE73" w14:textId="64260165" w:rsidR="00E93BB0" w:rsidRDefault="00D836B1">
      <w:pPr>
        <w:rPr>
          <w:sz w:val="28"/>
          <w:szCs w:val="28"/>
        </w:rPr>
      </w:pPr>
      <w:r>
        <w:rPr>
          <w:noProof/>
          <w:sz w:val="28"/>
          <w:szCs w:val="28"/>
        </w:rPr>
        <w:drawing>
          <wp:inline distT="0" distB="0" distL="0" distR="0" wp14:anchorId="3C1E40DE" wp14:editId="6FAB696D">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5D3B0486" w14:textId="77777777" w:rsidR="00E93BB0" w:rsidRPr="00E93BB0" w:rsidRDefault="00E93BB0">
      <w:pPr>
        <w:rPr>
          <w:sz w:val="20"/>
          <w:szCs w:val="20"/>
        </w:rPr>
      </w:pPr>
    </w:p>
    <w:p w14:paraId="494341BA" w14:textId="6092079D" w:rsidR="00E93BB0" w:rsidRPr="004806D3" w:rsidRDefault="00D836B1">
      <w:pPr>
        <w:rPr>
          <w:sz w:val="28"/>
          <w:szCs w:val="28"/>
        </w:rPr>
      </w:pPr>
      <w:r>
        <w:rPr>
          <w:noProof/>
          <w:sz w:val="28"/>
          <w:szCs w:val="28"/>
        </w:rPr>
        <w:drawing>
          <wp:inline distT="0" distB="0" distL="0" distR="0" wp14:anchorId="1DF86034" wp14:editId="5C8F6A0E">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7249" w14:textId="77777777" w:rsidR="00D836B1" w:rsidRDefault="00D836B1">
      <w:pPr>
        <w:spacing w:after="0" w:line="240" w:lineRule="auto"/>
      </w:pPr>
      <w:r>
        <w:separator/>
      </w:r>
    </w:p>
  </w:endnote>
  <w:endnote w:type="continuationSeparator" w:id="0">
    <w:p w14:paraId="2955EB26" w14:textId="77777777" w:rsidR="00D836B1" w:rsidRDefault="00D8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3B19" w14:textId="4B2A19E1" w:rsidR="00771492" w:rsidRDefault="000D68F6">
    <w:pPr>
      <w:pStyle w:val="Footer"/>
    </w:pPr>
    <w:r>
      <w:fldChar w:fldCharType="begin"/>
    </w:r>
    <w:r w:rsidR="00D836B1">
      <w:instrText xml:space="preserve"> DOCPROPERTY DOCXDOCID DMS=InterwovenIManage Format=&lt;&lt;NUM&gt;&gt; _&lt;&lt;VER&gt;&gt; PRESERVELOCATION \* MERGEFORMAT </w:instrText>
    </w:r>
    <w:r>
      <w:fldChar w:fldCharType="separate"/>
    </w:r>
    <w:r w:rsidR="00D836B1">
      <w:rPr>
        <w:rFonts w:ascii="Aptos" w:eastAsia="Aptos" w:hAnsi="Aptos" w:cs="Times New Roman"/>
        <w:lang w:val="de-DE"/>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FECE" w14:textId="25F377F9" w:rsidR="00771492" w:rsidRDefault="000D68F6">
    <w:pPr>
      <w:pStyle w:val="Footer"/>
    </w:pPr>
    <w:r>
      <w:fldChar w:fldCharType="begin"/>
    </w:r>
    <w:r w:rsidR="00D836B1">
      <w:instrText xml:space="preserve"> DOCPROPERTY DOCXDOCID DMS=InterwovenIManage Format=&lt;&lt;NUM&gt;&gt; _&lt;&lt;VER&gt;&gt; PRESERVELOCATION \* MERGEFORMAT </w:instrText>
    </w:r>
    <w:r>
      <w:fldChar w:fldCharType="separate"/>
    </w:r>
    <w:r w:rsidR="00D836B1">
      <w:rPr>
        <w:rFonts w:ascii="Aptos" w:eastAsia="Aptos" w:hAnsi="Aptos" w:cs="Times New Roman"/>
        <w:lang w:val="de-DE"/>
      </w:rPr>
      <w:t>23477426 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B7BF" w14:textId="3DB71E27" w:rsidR="00771492" w:rsidRDefault="000D68F6">
    <w:pPr>
      <w:pStyle w:val="Footer"/>
    </w:pPr>
    <w:r>
      <w:fldChar w:fldCharType="begin"/>
    </w:r>
    <w:r w:rsidR="00D836B1">
      <w:instrText xml:space="preserve"> DOCPROPERTY DOCXDOCID DMS=InterwovenIManage Format=&lt;&lt;NUM&gt;&gt; _&lt;&lt;VER&gt;&gt; PRESERVELOCATION \* MERGEFORMAT </w:instrText>
    </w:r>
    <w:r>
      <w:fldChar w:fldCharType="separate"/>
    </w:r>
    <w:r w:rsidR="00D836B1">
      <w:rPr>
        <w:rFonts w:ascii="Aptos" w:eastAsia="Aptos" w:hAnsi="Aptos" w:cs="Times New Roman"/>
        <w:lang w:val="de-DE"/>
      </w:rPr>
      <w:t>23477426 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464C" w14:textId="77777777" w:rsidR="00D836B1" w:rsidRDefault="00D836B1">
      <w:pPr>
        <w:spacing w:after="0" w:line="240" w:lineRule="auto"/>
      </w:pPr>
      <w:r>
        <w:separator/>
      </w:r>
    </w:p>
  </w:footnote>
  <w:footnote w:type="continuationSeparator" w:id="0">
    <w:p w14:paraId="17F62A4E" w14:textId="77777777" w:rsidR="00D836B1" w:rsidRDefault="00D8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E50B" w14:textId="77777777" w:rsidR="00771492" w:rsidRDefault="0077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C1D3" w14:textId="77777777" w:rsidR="00771492" w:rsidRDefault="0077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1C50" w14:textId="77777777" w:rsidR="00771492" w:rsidRDefault="0077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ED6CE5C2">
      <w:start w:val="1"/>
      <w:numFmt w:val="bullet"/>
      <w:lvlText w:val=""/>
      <w:lvlJc w:val="left"/>
      <w:pPr>
        <w:ind w:left="720" w:hanging="360"/>
      </w:pPr>
      <w:rPr>
        <w:rFonts w:ascii="Symbol" w:hAnsi="Symbol" w:hint="default"/>
      </w:rPr>
    </w:lvl>
    <w:lvl w:ilvl="1" w:tplc="0846B2BA" w:tentative="1">
      <w:start w:val="1"/>
      <w:numFmt w:val="bullet"/>
      <w:lvlText w:val="o"/>
      <w:lvlJc w:val="left"/>
      <w:pPr>
        <w:ind w:left="1440" w:hanging="360"/>
      </w:pPr>
      <w:rPr>
        <w:rFonts w:ascii="Courier New" w:hAnsi="Courier New" w:cs="Courier New" w:hint="default"/>
      </w:rPr>
    </w:lvl>
    <w:lvl w:ilvl="2" w:tplc="2264D264" w:tentative="1">
      <w:start w:val="1"/>
      <w:numFmt w:val="bullet"/>
      <w:lvlText w:val=""/>
      <w:lvlJc w:val="left"/>
      <w:pPr>
        <w:ind w:left="2160" w:hanging="360"/>
      </w:pPr>
      <w:rPr>
        <w:rFonts w:ascii="Wingdings" w:hAnsi="Wingdings" w:hint="default"/>
      </w:rPr>
    </w:lvl>
    <w:lvl w:ilvl="3" w:tplc="C82845D4" w:tentative="1">
      <w:start w:val="1"/>
      <w:numFmt w:val="bullet"/>
      <w:lvlText w:val=""/>
      <w:lvlJc w:val="left"/>
      <w:pPr>
        <w:ind w:left="2880" w:hanging="360"/>
      </w:pPr>
      <w:rPr>
        <w:rFonts w:ascii="Symbol" w:hAnsi="Symbol" w:hint="default"/>
      </w:rPr>
    </w:lvl>
    <w:lvl w:ilvl="4" w:tplc="36386972" w:tentative="1">
      <w:start w:val="1"/>
      <w:numFmt w:val="bullet"/>
      <w:lvlText w:val="o"/>
      <w:lvlJc w:val="left"/>
      <w:pPr>
        <w:ind w:left="3600" w:hanging="360"/>
      </w:pPr>
      <w:rPr>
        <w:rFonts w:ascii="Courier New" w:hAnsi="Courier New" w:cs="Courier New" w:hint="default"/>
      </w:rPr>
    </w:lvl>
    <w:lvl w:ilvl="5" w:tplc="D02825F6" w:tentative="1">
      <w:start w:val="1"/>
      <w:numFmt w:val="bullet"/>
      <w:lvlText w:val=""/>
      <w:lvlJc w:val="left"/>
      <w:pPr>
        <w:ind w:left="4320" w:hanging="360"/>
      </w:pPr>
      <w:rPr>
        <w:rFonts w:ascii="Wingdings" w:hAnsi="Wingdings" w:hint="default"/>
      </w:rPr>
    </w:lvl>
    <w:lvl w:ilvl="6" w:tplc="B762AEC8" w:tentative="1">
      <w:start w:val="1"/>
      <w:numFmt w:val="bullet"/>
      <w:lvlText w:val=""/>
      <w:lvlJc w:val="left"/>
      <w:pPr>
        <w:ind w:left="5040" w:hanging="360"/>
      </w:pPr>
      <w:rPr>
        <w:rFonts w:ascii="Symbol" w:hAnsi="Symbol" w:hint="default"/>
      </w:rPr>
    </w:lvl>
    <w:lvl w:ilvl="7" w:tplc="BE82F09A" w:tentative="1">
      <w:start w:val="1"/>
      <w:numFmt w:val="bullet"/>
      <w:lvlText w:val="o"/>
      <w:lvlJc w:val="left"/>
      <w:pPr>
        <w:ind w:left="5760" w:hanging="360"/>
      </w:pPr>
      <w:rPr>
        <w:rFonts w:ascii="Courier New" w:hAnsi="Courier New" w:cs="Courier New" w:hint="default"/>
      </w:rPr>
    </w:lvl>
    <w:lvl w:ilvl="8" w:tplc="EA72B236"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EA82FD9A">
      <w:start w:val="1"/>
      <w:numFmt w:val="bullet"/>
      <w:lvlText w:val=""/>
      <w:lvlJc w:val="left"/>
      <w:pPr>
        <w:ind w:left="720" w:hanging="360"/>
      </w:pPr>
      <w:rPr>
        <w:rFonts w:ascii="Symbol" w:hAnsi="Symbol" w:hint="default"/>
      </w:rPr>
    </w:lvl>
    <w:lvl w:ilvl="1" w:tplc="8E2CBC62" w:tentative="1">
      <w:start w:val="1"/>
      <w:numFmt w:val="bullet"/>
      <w:lvlText w:val="o"/>
      <w:lvlJc w:val="left"/>
      <w:pPr>
        <w:ind w:left="1440" w:hanging="360"/>
      </w:pPr>
      <w:rPr>
        <w:rFonts w:ascii="Courier New" w:hAnsi="Courier New" w:cs="Courier New" w:hint="default"/>
      </w:rPr>
    </w:lvl>
    <w:lvl w:ilvl="2" w:tplc="876CE24A" w:tentative="1">
      <w:start w:val="1"/>
      <w:numFmt w:val="bullet"/>
      <w:lvlText w:val=""/>
      <w:lvlJc w:val="left"/>
      <w:pPr>
        <w:ind w:left="2160" w:hanging="360"/>
      </w:pPr>
      <w:rPr>
        <w:rFonts w:ascii="Wingdings" w:hAnsi="Wingdings" w:hint="default"/>
      </w:rPr>
    </w:lvl>
    <w:lvl w:ilvl="3" w:tplc="B7D283A8" w:tentative="1">
      <w:start w:val="1"/>
      <w:numFmt w:val="bullet"/>
      <w:lvlText w:val=""/>
      <w:lvlJc w:val="left"/>
      <w:pPr>
        <w:ind w:left="2880" w:hanging="360"/>
      </w:pPr>
      <w:rPr>
        <w:rFonts w:ascii="Symbol" w:hAnsi="Symbol" w:hint="default"/>
      </w:rPr>
    </w:lvl>
    <w:lvl w:ilvl="4" w:tplc="4D44B3A2" w:tentative="1">
      <w:start w:val="1"/>
      <w:numFmt w:val="bullet"/>
      <w:lvlText w:val="o"/>
      <w:lvlJc w:val="left"/>
      <w:pPr>
        <w:ind w:left="3600" w:hanging="360"/>
      </w:pPr>
      <w:rPr>
        <w:rFonts w:ascii="Courier New" w:hAnsi="Courier New" w:cs="Courier New" w:hint="default"/>
      </w:rPr>
    </w:lvl>
    <w:lvl w:ilvl="5" w:tplc="F9C6B96C" w:tentative="1">
      <w:start w:val="1"/>
      <w:numFmt w:val="bullet"/>
      <w:lvlText w:val=""/>
      <w:lvlJc w:val="left"/>
      <w:pPr>
        <w:ind w:left="4320" w:hanging="360"/>
      </w:pPr>
      <w:rPr>
        <w:rFonts w:ascii="Wingdings" w:hAnsi="Wingdings" w:hint="default"/>
      </w:rPr>
    </w:lvl>
    <w:lvl w:ilvl="6" w:tplc="1068D71A" w:tentative="1">
      <w:start w:val="1"/>
      <w:numFmt w:val="bullet"/>
      <w:lvlText w:val=""/>
      <w:lvlJc w:val="left"/>
      <w:pPr>
        <w:ind w:left="5040" w:hanging="360"/>
      </w:pPr>
      <w:rPr>
        <w:rFonts w:ascii="Symbol" w:hAnsi="Symbol" w:hint="default"/>
      </w:rPr>
    </w:lvl>
    <w:lvl w:ilvl="7" w:tplc="C1A8F81C" w:tentative="1">
      <w:start w:val="1"/>
      <w:numFmt w:val="bullet"/>
      <w:lvlText w:val="o"/>
      <w:lvlJc w:val="left"/>
      <w:pPr>
        <w:ind w:left="5760" w:hanging="360"/>
      </w:pPr>
      <w:rPr>
        <w:rFonts w:ascii="Courier New" w:hAnsi="Courier New" w:cs="Courier New" w:hint="default"/>
      </w:rPr>
    </w:lvl>
    <w:lvl w:ilvl="8" w:tplc="D402EF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53914"/>
    <w:rsid w:val="000D68F6"/>
    <w:rsid w:val="000E1316"/>
    <w:rsid w:val="00100D03"/>
    <w:rsid w:val="00105AD1"/>
    <w:rsid w:val="0016698B"/>
    <w:rsid w:val="001701E8"/>
    <w:rsid w:val="00184D5A"/>
    <w:rsid w:val="001D52F3"/>
    <w:rsid w:val="00221FC0"/>
    <w:rsid w:val="003066CA"/>
    <w:rsid w:val="003D328A"/>
    <w:rsid w:val="00432610"/>
    <w:rsid w:val="004806D3"/>
    <w:rsid w:val="00493863"/>
    <w:rsid w:val="00556B91"/>
    <w:rsid w:val="0059475E"/>
    <w:rsid w:val="005C7142"/>
    <w:rsid w:val="00620E89"/>
    <w:rsid w:val="006E0466"/>
    <w:rsid w:val="006E32A6"/>
    <w:rsid w:val="00745A43"/>
    <w:rsid w:val="007702EA"/>
    <w:rsid w:val="00771492"/>
    <w:rsid w:val="00775720"/>
    <w:rsid w:val="00881B25"/>
    <w:rsid w:val="008966B9"/>
    <w:rsid w:val="00932A56"/>
    <w:rsid w:val="00983A46"/>
    <w:rsid w:val="00A507F5"/>
    <w:rsid w:val="00A90142"/>
    <w:rsid w:val="00BF37E1"/>
    <w:rsid w:val="00C02F13"/>
    <w:rsid w:val="00C14643"/>
    <w:rsid w:val="00C44D9F"/>
    <w:rsid w:val="00C4562C"/>
    <w:rsid w:val="00C743E0"/>
    <w:rsid w:val="00D836B1"/>
    <w:rsid w:val="00DA4D77"/>
    <w:rsid w:val="00DB38E6"/>
    <w:rsid w:val="00E93BB0"/>
    <w:rsid w:val="00F14250"/>
    <w:rsid w:val="00F50573"/>
    <w:rsid w:val="00FB2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47A4"/>
  <w15:chartTrackingRefBased/>
  <w15:docId w15:val="{DC252CD9-19CE-4154-B819-CA4127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 w:type="table" w:styleId="TableGrid">
    <w:name w:val="Table Grid"/>
    <w:basedOn w:val="TableNormal"/>
    <w:uiPriority w:val="39"/>
    <w:rsid w:val="00FB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6B1"/>
    <w:rPr>
      <w:sz w:val="16"/>
      <w:szCs w:val="16"/>
    </w:rPr>
  </w:style>
  <w:style w:type="paragraph" w:styleId="CommentText">
    <w:name w:val="annotation text"/>
    <w:basedOn w:val="Normal"/>
    <w:link w:val="CommentTextChar"/>
    <w:uiPriority w:val="99"/>
    <w:unhideWhenUsed/>
    <w:rsid w:val="00D836B1"/>
    <w:pPr>
      <w:spacing w:line="240" w:lineRule="auto"/>
    </w:pPr>
    <w:rPr>
      <w:sz w:val="20"/>
      <w:szCs w:val="20"/>
    </w:rPr>
  </w:style>
  <w:style w:type="character" w:customStyle="1" w:styleId="CommentTextChar">
    <w:name w:val="Comment Text Char"/>
    <w:basedOn w:val="DefaultParagraphFont"/>
    <w:link w:val="CommentText"/>
    <w:uiPriority w:val="99"/>
    <w:rsid w:val="00D836B1"/>
    <w:rPr>
      <w:sz w:val="20"/>
      <w:szCs w:val="20"/>
    </w:rPr>
  </w:style>
  <w:style w:type="paragraph" w:styleId="CommentSubject">
    <w:name w:val="annotation subject"/>
    <w:basedOn w:val="CommentText"/>
    <w:next w:val="CommentText"/>
    <w:link w:val="CommentSubjectChar"/>
    <w:uiPriority w:val="99"/>
    <w:semiHidden/>
    <w:unhideWhenUsed/>
    <w:rsid w:val="00D836B1"/>
    <w:rPr>
      <w:b/>
      <w:bCs/>
    </w:rPr>
  </w:style>
  <w:style w:type="character" w:customStyle="1" w:styleId="CommentSubjectChar">
    <w:name w:val="Comment Subject Char"/>
    <w:basedOn w:val="CommentTextChar"/>
    <w:link w:val="CommentSubject"/>
    <w:uiPriority w:val="99"/>
    <w:semiHidden/>
    <w:rsid w:val="00D83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smartscreen/main.js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5FCE-E9F6-43EC-A4AA-24FF3A5E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Ashtabula County Medical Center</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US2109504</dc:subject>
  <dc:creator>Tina Stasiewski</dc:creator>
  <cp:lastPrinted>2025-07-08T17:39:00Z</cp:lastPrinted>
  <dcterms:created xsi:type="dcterms:W3CDTF">2025-07-08T17:39:00Z</dcterms:created>
  <dcterms:modified xsi:type="dcterms:W3CDTF">2025-07-21T22:19:00Z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23477426 _1</vt:lpwstr>
  </property>
  <property fmtid="{D5CDD505-2E9C-101B-9397-08002B2CF9AE}" pid="3" name="DocXFormat">
    <vt:lpwstr>DefaultFormat</vt:lpwstr>
  </property>
  <property fmtid="{D5CDD505-2E9C-101B-9397-08002B2CF9AE}" pid="4" name="DocXLocation">
    <vt:lpwstr>Every Page</vt:lpwstr>
  </property>
</Properties>
</file>