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4639" w14:textId="77777777" w:rsidR="004806D3" w:rsidRDefault="000041D9" w:rsidP="004806D3">
      <w:pPr>
        <w:bidi/>
        <w:spacing w:after="0" w:line="240" w:lineRule="auto"/>
        <w:rPr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  <w:rtl/>
          <w:lang w:bidi="he-IL"/>
        </w:rPr>
        <w:t xml:space="preserve">הצהרת אי-אפליה של מערכת הבריאות </w:t>
      </w:r>
      <w:r>
        <w:rPr>
          <w:rFonts w:ascii="Aptos" w:eastAsia="Aptos" w:hAnsi="Aptos" w:cs="Times New Roman"/>
          <w:sz w:val="28"/>
          <w:szCs w:val="28"/>
          <w:lang w:bidi="he-IL"/>
        </w:rPr>
        <w:t>ARMC</w:t>
      </w:r>
    </w:p>
    <w:p w14:paraId="4557FCA8" w14:textId="77777777" w:rsidR="004806D3" w:rsidRDefault="004806D3" w:rsidP="004806D3">
      <w:pPr>
        <w:spacing w:after="0" w:line="240" w:lineRule="auto"/>
        <w:rPr>
          <w:sz w:val="28"/>
          <w:szCs w:val="28"/>
        </w:rPr>
      </w:pPr>
    </w:p>
    <w:p w14:paraId="5B848DEC" w14:textId="29FC075B" w:rsidR="004806D3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 xml:space="preserve">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(הכוללת את המרכז הרפואי האזורי אשטבולה (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), את שירות הרפואה הביתית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, ואת בית החולים והמרכזים האמבולטוריים גלנבי), עומדת בכל החוקים הפדרליים החלים בנושא זכויות האזרח, כולל סעיף </w:t>
      </w:r>
      <w:r>
        <w:rPr>
          <w:rFonts w:ascii="Aptos" w:eastAsia="Aptos" w:hAnsi="Aptos" w:cs="Times New Roman"/>
          <w:lang w:bidi="he-IL"/>
        </w:rPr>
        <w:t>1557</w:t>
      </w:r>
      <w:r>
        <w:rPr>
          <w:rFonts w:ascii="Aptos" w:eastAsia="Aptos" w:hAnsi="Aptos" w:cs="Times New Roman"/>
          <w:rtl/>
          <w:lang w:bidi="he-IL"/>
        </w:rPr>
        <w:t xml:space="preserve"> לחוק הגנת החולה וטיפול בר השגה.</w:t>
      </w:r>
      <w:r>
        <w:rPr>
          <w:rFonts w:ascii="Aptos" w:eastAsia="Aptos" w:hAnsi="Aptos" w:cs="Times New Roman"/>
          <w:lang w:bidi="he-IL"/>
        </w:rPr>
        <w:t xml:space="preserve"> </w:t>
      </w:r>
      <w:r>
        <w:rPr>
          <w:rFonts w:ascii="Aptos" w:eastAsia="Aptos" w:hAnsi="Aptos" w:cs="Times New Roman"/>
          <w:rtl/>
          <w:lang w:bidi="he-IL"/>
        </w:rPr>
        <w:t xml:space="preserve">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אינה מפלה על בסיס גזע, צבע, מוצא לאומי (כולל שליטה מוגבלת בשפה האנגלית ושפה ראשית), מין (בהתאם להיקף האפליה על רקע מין, כפי שמתואר בתקנה </w:t>
      </w:r>
      <w:r>
        <w:rPr>
          <w:rFonts w:ascii="Aptos" w:eastAsia="Aptos" w:hAnsi="Aptos" w:cs="Times New Roman"/>
          <w:lang w:bidi="he-IL"/>
        </w:rPr>
        <w:t>45 CFR § 92.101(a)(2</w:t>
      </w:r>
      <w:r w:rsidR="00157088">
        <w:rPr>
          <w:rFonts w:ascii="Aptos" w:eastAsia="Aptos" w:hAnsi="Aptos" w:cs="Times New Roman"/>
          <w:lang w:bidi="he-IL"/>
        </w:rPr>
        <w:t>))</w:t>
      </w:r>
      <w:r>
        <w:rPr>
          <w:rFonts w:ascii="Aptos" w:eastAsia="Aptos" w:hAnsi="Aptos" w:cs="Times New Roman"/>
          <w:rtl/>
          <w:lang w:bidi="he-IL"/>
        </w:rPr>
        <w:t>, גיל או מוגבלות.</w:t>
      </w:r>
    </w:p>
    <w:p w14:paraId="07458F39" w14:textId="77777777" w:rsidR="004806D3" w:rsidRDefault="004806D3" w:rsidP="004806D3">
      <w:pPr>
        <w:spacing w:after="0" w:line="240" w:lineRule="auto"/>
      </w:pPr>
    </w:p>
    <w:p w14:paraId="1294342F" w14:textId="77777777" w:rsidR="004806D3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 xml:space="preserve">בהתאם לסעיף </w:t>
      </w:r>
      <w:r>
        <w:rPr>
          <w:rFonts w:ascii="Aptos" w:eastAsia="Aptos" w:hAnsi="Aptos" w:cs="Times New Roman"/>
          <w:lang w:bidi="he-IL"/>
        </w:rPr>
        <w:t>1557</w:t>
      </w:r>
      <w:r>
        <w:rPr>
          <w:rFonts w:ascii="Aptos" w:eastAsia="Aptos" w:hAnsi="Aptos" w:cs="Times New Roman"/>
          <w:rtl/>
          <w:lang w:bidi="he-IL"/>
        </w:rPr>
        <w:t xml:space="preserve"> ולחוקי זכויות אזרח פדרליים אחרים, אנו מספקים לאנשים את השירותים הבאים, ללא דיחוי וללא תשלום:</w:t>
      </w:r>
    </w:p>
    <w:p w14:paraId="5AA2A492" w14:textId="77777777" w:rsidR="004806D3" w:rsidRDefault="004806D3" w:rsidP="004806D3">
      <w:pPr>
        <w:spacing w:after="0" w:line="240" w:lineRule="auto"/>
      </w:pPr>
    </w:p>
    <w:p w14:paraId="2C906967" w14:textId="77777777" w:rsidR="004806D3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b/>
          <w:bCs/>
          <w:rtl/>
          <w:lang w:bidi="he-IL"/>
        </w:rPr>
        <w:t>שירותי סיוע שפתי</w:t>
      </w:r>
      <w:r>
        <w:rPr>
          <w:rFonts w:ascii="Aptos" w:eastAsia="Aptos" w:hAnsi="Aptos" w:cs="Times New Roman"/>
          <w:lang w:bidi="he-IL"/>
        </w:rPr>
        <w:t xml:space="preserve">: </w:t>
      </w:r>
      <w:r>
        <w:rPr>
          <w:rFonts w:ascii="Aptos" w:eastAsia="Aptos" w:hAnsi="Aptos" w:cs="Times New Roman"/>
          <w:rtl/>
          <w:lang w:bidi="he-IL"/>
        </w:rPr>
        <w:t xml:space="preserve">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תספק שירותי סיוע שפתי לאנשים עם שליטה מוגבלת בשפה האנגלית (לרבות מלוויהם, אשר גם להם שליטה מוגבלת באנגלית), על מנת להבטיח גישה הולמת לתוכניות, לפעילויות, לשירותים ולהטבות האחרות שלנו.</w:t>
      </w:r>
      <w:r>
        <w:rPr>
          <w:rFonts w:ascii="Aptos" w:eastAsia="Aptos" w:hAnsi="Aptos" w:cs="Times New Roman"/>
          <w:lang w:bidi="he-IL"/>
        </w:rPr>
        <w:t xml:space="preserve"> </w:t>
      </w:r>
      <w:r>
        <w:rPr>
          <w:rFonts w:ascii="Aptos" w:eastAsia="Aptos" w:hAnsi="Aptos" w:cs="Times New Roman"/>
          <w:rtl/>
          <w:lang w:bidi="he-IL"/>
        </w:rPr>
        <w:t>שירותי הסיוע השפתי עשויים לכלול:</w:t>
      </w:r>
    </w:p>
    <w:p w14:paraId="3B2871A1" w14:textId="77777777" w:rsidR="004806D3" w:rsidRDefault="000041D9" w:rsidP="004806D3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מסמכים מתורגמים בכתב ובפורמט אלקטרוני</w:t>
      </w:r>
    </w:p>
    <w:p w14:paraId="199C05D5" w14:textId="77777777" w:rsidR="004806D3" w:rsidRDefault="000041D9" w:rsidP="004806D3">
      <w:pPr>
        <w:pStyle w:val="ListParagraph"/>
        <w:numPr>
          <w:ilvl w:val="0"/>
          <w:numId w:val="1"/>
        </w:num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מתורגמנים מוסמכים</w:t>
      </w:r>
    </w:p>
    <w:p w14:paraId="119875C7" w14:textId="77777777" w:rsidR="004806D3" w:rsidRDefault="004806D3" w:rsidP="004806D3">
      <w:pPr>
        <w:spacing w:after="0" w:line="240" w:lineRule="auto"/>
      </w:pPr>
    </w:p>
    <w:p w14:paraId="20EB0C04" w14:textId="77777777" w:rsidR="004806D3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b/>
          <w:bCs/>
          <w:rtl/>
          <w:lang w:bidi="he-IL"/>
        </w:rPr>
        <w:t>אספקת שירותי סיוע שפתי ואמצעי עזר ושירותים נלווים הולמים</w:t>
      </w:r>
      <w:r>
        <w:rPr>
          <w:rFonts w:ascii="Aptos" w:eastAsia="Aptos" w:hAnsi="Aptos" w:cs="Times New Roman"/>
          <w:lang w:bidi="he-IL"/>
        </w:rPr>
        <w:t xml:space="preserve">: </w:t>
      </w:r>
      <w:r>
        <w:rPr>
          <w:rFonts w:ascii="Aptos" w:eastAsia="Aptos" w:hAnsi="Aptos" w:cs="Times New Roman"/>
          <w:rtl/>
          <w:lang w:bidi="he-IL"/>
        </w:rPr>
        <w:t xml:space="preserve">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תספק שירותי סיוע שפתי ואמצעי עזר ושירותים נלווים הולמים לאנשים עם מוגבלויות (לרבות מלוויהם של אנשים עם מוגבלויות), כדי להבטיח תקשורת יעילה.</w:t>
      </w:r>
      <w:r>
        <w:rPr>
          <w:rFonts w:ascii="Aptos" w:eastAsia="Aptos" w:hAnsi="Aptos" w:cs="Times New Roman"/>
          <w:lang w:bidi="he-IL"/>
        </w:rPr>
        <w:t xml:space="preserve"> </w:t>
      </w:r>
      <w:r>
        <w:rPr>
          <w:rFonts w:ascii="Aptos" w:eastAsia="Aptos" w:hAnsi="Aptos" w:cs="Times New Roman"/>
          <w:rtl/>
          <w:lang w:bidi="he-IL"/>
        </w:rPr>
        <w:t>אמצעי עזר ושירותים נלווים הולמים עשויים לכלול:</w:t>
      </w:r>
    </w:p>
    <w:p w14:paraId="7438BC2F" w14:textId="77777777" w:rsidR="004806D3" w:rsidRDefault="000041D9" w:rsidP="004806D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מתורגמנים מוסמכים, לרבות מתורגמנים לשפת הסימנים האמריקאית</w:t>
      </w:r>
    </w:p>
    <w:p w14:paraId="3F9842E5" w14:textId="77777777" w:rsidR="004806D3" w:rsidRDefault="000041D9" w:rsidP="004806D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תרגום מרחוק בווידאו</w:t>
      </w:r>
    </w:p>
    <w:p w14:paraId="4F4B33B7" w14:textId="77777777" w:rsidR="004806D3" w:rsidRDefault="000041D9" w:rsidP="004806D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מידע בפורמטים חלופיים (לרבות, אך לא רק, דפוס גדול, הקלטות שמע ופורמטים אלקטרוניים נגישים)</w:t>
      </w:r>
    </w:p>
    <w:p w14:paraId="130BDC3C" w14:textId="77777777" w:rsidR="004806D3" w:rsidRDefault="004806D3" w:rsidP="004806D3">
      <w:pPr>
        <w:spacing w:after="0" w:line="240" w:lineRule="auto"/>
      </w:pPr>
    </w:p>
    <w:p w14:paraId="490C9ABA" w14:textId="77777777" w:rsidR="004806D3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b/>
          <w:bCs/>
          <w:rtl/>
          <w:lang w:bidi="he-IL"/>
        </w:rPr>
        <w:t>התאמות סבירות:</w:t>
      </w:r>
      <w:r>
        <w:rPr>
          <w:rFonts w:ascii="Aptos" w:eastAsia="Aptos" w:hAnsi="Aptos" w:cs="Times New Roman"/>
          <w:lang w:bidi="he-IL"/>
        </w:rPr>
        <w:t xml:space="preserve"> </w:t>
      </w:r>
      <w:r>
        <w:rPr>
          <w:rFonts w:ascii="Aptos" w:eastAsia="Aptos" w:hAnsi="Aptos" w:cs="Times New Roman"/>
          <w:rtl/>
          <w:lang w:bidi="he-IL"/>
        </w:rPr>
        <w:t xml:space="preserve">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תספק התאמות סבירות לאנשים זכאים עם מוגבלויות, במידת הצורך, כדי להבטיח נגישות ושוויון הזדמנויות להשתתפות בתוכניות, בפעילויות, בשירותים או בהטבות האחרות שלנו.</w:t>
      </w:r>
    </w:p>
    <w:p w14:paraId="03989C81" w14:textId="77777777" w:rsidR="00C743E0" w:rsidRDefault="00C743E0" w:rsidP="004806D3">
      <w:pPr>
        <w:spacing w:after="0" w:line="240" w:lineRule="auto"/>
      </w:pPr>
    </w:p>
    <w:p w14:paraId="10B8A68E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לקבלת שירותי הסיוע השפתי, אמצי העזר והשירותים הנלווים, ולקבלת סיוע בהשגת התאמה סבירה, יש ליצור קשר עם אחד מאנשי הצוות המטפל שלך.</w:t>
      </w:r>
      <w:r>
        <w:rPr>
          <w:rFonts w:ascii="Aptos" w:eastAsia="Aptos" w:hAnsi="Aptos" w:cs="Times New Roman"/>
          <w:lang w:bidi="he-IL"/>
        </w:rPr>
        <w:t xml:space="preserve"> </w:t>
      </w:r>
      <w:r>
        <w:rPr>
          <w:rFonts w:ascii="Aptos" w:eastAsia="Aptos" w:hAnsi="Aptos" w:cs="Times New Roman"/>
          <w:rtl/>
          <w:lang w:bidi="he-IL"/>
        </w:rPr>
        <w:t>לקבלת סיוע נוסף, ניתן גם ליצור קשר עם הממונה על הסיעוד, דרך הצוות המטפל שלך.</w:t>
      </w:r>
      <w:r>
        <w:rPr>
          <w:rFonts w:ascii="Aptos" w:eastAsia="Aptos" w:hAnsi="Aptos" w:cs="Times New Roman"/>
          <w:lang w:bidi="he-IL"/>
        </w:rPr>
        <w:t xml:space="preserve"> </w:t>
      </w:r>
    </w:p>
    <w:p w14:paraId="16DA5713" w14:textId="77777777" w:rsidR="00C743E0" w:rsidRDefault="00C743E0" w:rsidP="004806D3">
      <w:pPr>
        <w:spacing w:after="0" w:line="240" w:lineRule="auto"/>
      </w:pPr>
    </w:p>
    <w:p w14:paraId="514B444D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 xml:space="preserve">אם יש לך חשד שמערכת הבריאות </w:t>
      </w:r>
      <w:r>
        <w:rPr>
          <w:rFonts w:ascii="Aptos" w:eastAsia="Aptos" w:hAnsi="Aptos" w:cs="Times New Roman"/>
          <w:lang w:bidi="he-IL"/>
        </w:rPr>
        <w:t>ARMC</w:t>
      </w:r>
      <w:r>
        <w:rPr>
          <w:rFonts w:ascii="Aptos" w:eastAsia="Aptos" w:hAnsi="Aptos" w:cs="Times New Roman"/>
          <w:rtl/>
          <w:lang w:bidi="he-IL"/>
        </w:rPr>
        <w:t xml:space="preserve"> לא סיפקה שירותים אלה או הפלתה בדרך אחרת על בסיס גזע, צבע, מוצא לאומי, מין, גיל או מוגבלות, ניתן להגיש תלונה לגורם המצוין להלן:</w:t>
      </w:r>
      <w:r>
        <w:rPr>
          <w:rFonts w:ascii="Aptos" w:eastAsia="Aptos" w:hAnsi="Aptos" w:cs="Times New Roman"/>
          <w:lang w:bidi="he-IL"/>
        </w:rPr>
        <w:t xml:space="preserve"> </w:t>
      </w:r>
    </w:p>
    <w:p w14:paraId="4F8813FD" w14:textId="77777777" w:rsidR="00C743E0" w:rsidRDefault="00C743E0" w:rsidP="004806D3">
      <w:pPr>
        <w:spacing w:after="0" w:line="240" w:lineRule="auto"/>
      </w:pPr>
    </w:p>
    <w:p w14:paraId="3273BED5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>Ombudsman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Quality Director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Quality Manager</w:t>
      </w:r>
    </w:p>
    <w:p w14:paraId="1D6CB6C4" w14:textId="1BD26BAE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>Ashtabula Regional Medical Center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ARMC Home Health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proofErr w:type="spellStart"/>
      <w:r>
        <w:rPr>
          <w:rFonts w:ascii="Aptos" w:eastAsia="Aptos" w:hAnsi="Aptos" w:cs="Times New Roman"/>
          <w:lang w:bidi="he-IL"/>
        </w:rPr>
        <w:t>Glenbeigh</w:t>
      </w:r>
      <w:proofErr w:type="spellEnd"/>
    </w:p>
    <w:p w14:paraId="6EAC3852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 xml:space="preserve">‎2420 Lake Avenue 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2131 Lake Ave, Ste 2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2863 State Route 45N</w:t>
      </w:r>
    </w:p>
    <w:p w14:paraId="5FF987B1" w14:textId="586DB4CA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 xml:space="preserve">Ashtabula, OH 44004 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Ashtabula, OH 44004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Rock Creek, OH 44084</w:t>
      </w:r>
    </w:p>
    <w:p w14:paraId="02D76C58" w14:textId="03BD9A3B" w:rsidR="000E1316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>‎440-997-2262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440-992-4633</w:t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</w:r>
      <w:r>
        <w:rPr>
          <w:rFonts w:ascii="Aptos" w:eastAsia="Aptos" w:hAnsi="Aptos" w:cs="Times New Roman"/>
          <w:lang w:bidi="he-IL"/>
        </w:rPr>
        <w:tab/>
        <w:t>440-563-3400</w:t>
      </w:r>
    </w:p>
    <w:p w14:paraId="1D6413AF" w14:textId="77777777" w:rsidR="00C743E0" w:rsidRDefault="00C743E0" w:rsidP="004806D3">
      <w:pPr>
        <w:spacing w:after="0" w:line="240" w:lineRule="auto"/>
      </w:pPr>
    </w:p>
    <w:p w14:paraId="2353DE65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 xml:space="preserve">לחלופין, ניתן להגיש תלונה למשרד לזכויות האזרח במחלקת הבריאות ושירותי האנוש של ארה"ב, דרך </w:t>
      </w:r>
      <w:hyperlink r:id="rId7" w:history="1">
        <w:r>
          <w:rPr>
            <w:rFonts w:ascii="Aptos" w:eastAsia="Aptos" w:hAnsi="Aptos" w:cs="Times New Roman"/>
            <w:color w:val="467886"/>
            <w:u w:val="single"/>
            <w:lang w:bidi="he-IL"/>
          </w:rPr>
          <w:t>https://ocrportal.hhs.gov/ocr/smartscreen/main.jsf</w:t>
        </w:r>
      </w:hyperlink>
      <w:r>
        <w:rPr>
          <w:rFonts w:ascii="Aptos" w:eastAsia="Aptos" w:hAnsi="Aptos" w:cs="Times New Roman"/>
          <w:rtl/>
          <w:lang w:bidi="he-IL"/>
        </w:rPr>
        <w:t xml:space="preserve"> או בדואר לכתובת:</w:t>
      </w:r>
    </w:p>
    <w:p w14:paraId="63878D8C" w14:textId="77777777" w:rsidR="00C743E0" w:rsidRDefault="00C743E0" w:rsidP="004806D3">
      <w:pPr>
        <w:spacing w:after="0" w:line="240" w:lineRule="auto"/>
      </w:pPr>
    </w:p>
    <w:p w14:paraId="624E314A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>US Department of Health and Human Services</w:t>
      </w:r>
    </w:p>
    <w:p w14:paraId="6CC5C044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rtl/>
          <w:lang w:bidi="he-IL"/>
        </w:rPr>
        <w:t>‎‎‏‎</w:t>
      </w:r>
      <w:r>
        <w:rPr>
          <w:rFonts w:ascii="Aptos" w:eastAsia="Aptos" w:hAnsi="Aptos" w:cs="Times New Roman"/>
          <w:lang w:bidi="he-IL"/>
        </w:rPr>
        <w:t>200 Independence Avenue, SW – 509F</w:t>
      </w:r>
    </w:p>
    <w:p w14:paraId="796DEF7B" w14:textId="77777777" w:rsidR="00C743E0" w:rsidRDefault="000041D9" w:rsidP="004806D3">
      <w:pPr>
        <w:bidi/>
        <w:spacing w:after="0" w:line="240" w:lineRule="auto"/>
      </w:pPr>
      <w:r>
        <w:rPr>
          <w:rFonts w:ascii="Aptos" w:eastAsia="Aptos" w:hAnsi="Aptos" w:cs="Times New Roman"/>
          <w:lang w:bidi="he-IL"/>
        </w:rPr>
        <w:t>Washington, DC 20201</w:t>
      </w:r>
    </w:p>
    <w:p w14:paraId="0989286A" w14:textId="77777777" w:rsidR="00E93BB0" w:rsidRDefault="00E93BB0" w:rsidP="004806D3">
      <w:pPr>
        <w:spacing w:after="0" w:line="240" w:lineRule="auto"/>
      </w:pPr>
    </w:p>
    <w:p w14:paraId="4A191C26" w14:textId="77777777" w:rsidR="00E93BB0" w:rsidRDefault="00E93BB0" w:rsidP="004806D3">
      <w:pPr>
        <w:spacing w:after="0" w:line="240" w:lineRule="auto"/>
      </w:pPr>
    </w:p>
    <w:p w14:paraId="4059C222" w14:textId="77777777" w:rsidR="00E93BB0" w:rsidRDefault="00E93BB0" w:rsidP="004806D3">
      <w:pPr>
        <w:spacing w:after="0" w:line="240" w:lineRule="auto"/>
      </w:pPr>
    </w:p>
    <w:p w14:paraId="4E797482" w14:textId="77777777" w:rsidR="00E93BB0" w:rsidRPr="004806D3" w:rsidRDefault="000041D9" w:rsidP="004806D3">
      <w:pPr>
        <w:spacing w:after="0" w:line="240" w:lineRule="auto"/>
      </w:pPr>
      <w:r>
        <w:rPr>
          <w:noProof/>
        </w:rPr>
        <w:drawing>
          <wp:inline distT="0" distB="0" distL="0" distR="0" wp14:anchorId="0DDE1CFC" wp14:editId="1D0ABA2E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771F" w14:textId="77777777" w:rsidR="00E93BB0" w:rsidRDefault="00E93BB0">
      <w:pPr>
        <w:rPr>
          <w:sz w:val="28"/>
          <w:szCs w:val="28"/>
        </w:rPr>
      </w:pPr>
    </w:p>
    <w:p w14:paraId="16219637" w14:textId="77777777" w:rsidR="00E93BB0" w:rsidRDefault="000041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9526E4" wp14:editId="5801CACC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C6711" w14:textId="77777777" w:rsidR="00E93BB0" w:rsidRPr="00E93BB0" w:rsidRDefault="00E93BB0">
      <w:pPr>
        <w:rPr>
          <w:sz w:val="20"/>
          <w:szCs w:val="20"/>
        </w:rPr>
      </w:pPr>
    </w:p>
    <w:p w14:paraId="225ABBAA" w14:textId="77777777" w:rsidR="00E93BB0" w:rsidRPr="004806D3" w:rsidRDefault="000041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CDE95F" wp14:editId="117EC59E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4806D3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4D83" w14:textId="77777777" w:rsidR="00467A36" w:rsidRDefault="000041D9">
      <w:pPr>
        <w:spacing w:after="0" w:line="240" w:lineRule="auto"/>
      </w:pPr>
      <w:r>
        <w:separator/>
      </w:r>
    </w:p>
  </w:endnote>
  <w:endnote w:type="continuationSeparator" w:id="0">
    <w:p w14:paraId="278CBC20" w14:textId="77777777" w:rsidR="00467A36" w:rsidRDefault="0000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98B9" w14:textId="77777777" w:rsidR="00771492" w:rsidRDefault="000D68F6">
    <w:pPr>
      <w:pStyle w:val="Footer"/>
      <w:bidi/>
    </w:pPr>
    <w:r>
      <w:fldChar w:fldCharType="begin"/>
    </w:r>
    <w:r w:rsidR="000041D9">
      <w:instrText xml:space="preserve"> DOCPROPERTY DOCXDOCID DMS=InterwovenIManage Format=&lt;&lt;NUM&gt;&gt; _&lt;&lt;VER&gt;&gt; PRESERVELOCATION \* MERGEFORMAT </w:instrText>
    </w:r>
    <w:r>
      <w:fldChar w:fldCharType="separate"/>
    </w:r>
    <w:r w:rsidR="000041D9">
      <w:rPr>
        <w:rFonts w:ascii="Aptos" w:eastAsia="Aptos" w:hAnsi="Aptos" w:cs="Times New Roman"/>
        <w:lang w:bidi="he-IL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C8D" w14:textId="77777777" w:rsidR="00771492" w:rsidRDefault="000D68F6">
    <w:pPr>
      <w:pStyle w:val="Footer"/>
      <w:bidi/>
    </w:pPr>
    <w:r>
      <w:fldChar w:fldCharType="begin"/>
    </w:r>
    <w:r w:rsidR="000041D9">
      <w:instrText xml:space="preserve"> DOCPROPERTY DOCXDOCID DMS=InterwovenIManage Format=&lt;&lt;NUM&gt;&gt; _&lt;&lt;VER&gt;&gt; PRESERVELOCATION \* MERGEFORMAT </w:instrText>
    </w:r>
    <w:r>
      <w:fldChar w:fldCharType="separate"/>
    </w:r>
    <w:r w:rsidR="000041D9">
      <w:rPr>
        <w:rFonts w:ascii="Aptos" w:eastAsia="Aptos" w:hAnsi="Aptos" w:cs="Times New Roman"/>
        <w:lang w:bidi="he-IL"/>
      </w:rPr>
      <w:t>23477426 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02BF" w14:textId="77777777" w:rsidR="00771492" w:rsidRDefault="000D68F6">
    <w:pPr>
      <w:pStyle w:val="Footer"/>
      <w:bidi/>
    </w:pPr>
    <w:r>
      <w:fldChar w:fldCharType="begin"/>
    </w:r>
    <w:r w:rsidR="000041D9">
      <w:instrText xml:space="preserve"> DOCPROPERTY DOCXDOCID DMS=InterwovenIManage Format=&lt;&lt;NUM&gt;&gt; _&lt;&lt;VER&gt;&gt; PRESERVELOCATION \* MERGEFORMAT </w:instrText>
    </w:r>
    <w:r>
      <w:fldChar w:fldCharType="separate"/>
    </w:r>
    <w:r w:rsidR="000041D9">
      <w:rPr>
        <w:rFonts w:ascii="Aptos" w:eastAsia="Aptos" w:hAnsi="Aptos" w:cs="Times New Roman"/>
        <w:lang w:bidi="he-IL"/>
      </w:rPr>
      <w:t>23477426 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0BA6" w14:textId="77777777" w:rsidR="00467A36" w:rsidRDefault="000041D9">
      <w:pPr>
        <w:spacing w:after="0" w:line="240" w:lineRule="auto"/>
      </w:pPr>
      <w:r>
        <w:separator/>
      </w:r>
    </w:p>
  </w:footnote>
  <w:footnote w:type="continuationSeparator" w:id="0">
    <w:p w14:paraId="170A2024" w14:textId="77777777" w:rsidR="00467A36" w:rsidRDefault="0000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FCF4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FCBC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BA3F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87F4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5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2D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EC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A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A1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9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C3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46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763E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6B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8E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F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C0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CB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9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E7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041D9"/>
    <w:rsid w:val="000D68F6"/>
    <w:rsid w:val="000E1316"/>
    <w:rsid w:val="00100D03"/>
    <w:rsid w:val="00105AD1"/>
    <w:rsid w:val="00157088"/>
    <w:rsid w:val="0016698B"/>
    <w:rsid w:val="001701E8"/>
    <w:rsid w:val="00184D5A"/>
    <w:rsid w:val="001D52F3"/>
    <w:rsid w:val="003066CA"/>
    <w:rsid w:val="003D328A"/>
    <w:rsid w:val="00467A36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14643"/>
    <w:rsid w:val="00C44D9F"/>
    <w:rsid w:val="00C4562C"/>
    <w:rsid w:val="00C743E0"/>
    <w:rsid w:val="00DA4D77"/>
    <w:rsid w:val="00DB38E6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DA13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ModifiedBy>Transperfect</cp:lastModifiedBy>
  <cp:revision>2</cp:revision>
  <cp:lastPrinted>2025-07-08T17:39:00Z</cp:lastPrinted>
  <dcterms:created xsi:type="dcterms:W3CDTF">2025-07-08T17:39:00Z</dcterms:created>
  <dcterms:modified xsi:type="dcterms:W3CDTF">2025-07-22T17:39:00Z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