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9E529C" w14:textId="77777777" w:rsidR="004806D3" w:rsidRPr="006C11A5" w:rsidRDefault="00673067" w:rsidP="004806D3">
      <w:pPr>
        <w:spacing w:after="0" w:line="240" w:lineRule="auto"/>
        <w:rPr>
          <w:sz w:val="28"/>
          <w:szCs w:val="28"/>
          <w:lang w:val="it-IT"/>
        </w:rPr>
      </w:pPr>
      <w:r w:rsidRPr="006C11A5">
        <w:rPr>
          <w:rFonts w:ascii="Aptos" w:eastAsia="Aptos" w:hAnsi="Aptos" w:cs="Times New Roman"/>
          <w:sz w:val="28"/>
          <w:szCs w:val="28"/>
          <w:lang w:val="it-IT"/>
        </w:rPr>
        <w:t>Dichiarazione di non discriminazione del sistema sanitario ARMC</w:t>
      </w:r>
    </w:p>
    <w:p w14:paraId="37D40BA1" w14:textId="77777777" w:rsidR="004806D3" w:rsidRPr="006C11A5" w:rsidRDefault="004806D3" w:rsidP="004806D3">
      <w:pPr>
        <w:spacing w:after="0" w:line="240" w:lineRule="auto"/>
        <w:rPr>
          <w:sz w:val="28"/>
          <w:szCs w:val="28"/>
          <w:lang w:val="it-IT"/>
        </w:rPr>
      </w:pPr>
    </w:p>
    <w:p w14:paraId="5CCEFAF9" w14:textId="77777777" w:rsidR="004806D3" w:rsidRPr="006C11A5" w:rsidRDefault="00673067" w:rsidP="004806D3">
      <w:pPr>
        <w:spacing w:after="0" w:line="240" w:lineRule="auto"/>
        <w:rPr>
          <w:lang w:val="it-IT"/>
        </w:rPr>
      </w:pPr>
      <w:r w:rsidRPr="006C11A5">
        <w:rPr>
          <w:rFonts w:ascii="Aptos" w:eastAsia="Aptos" w:hAnsi="Aptos" w:cs="Times New Roman"/>
          <w:lang w:val="it-IT"/>
        </w:rPr>
        <w:t xml:space="preserve">Il sistema sanitario ARMC (costituito da Ashtabula Regional Medical Center [ARMC], ARMC Home Health, </w:t>
      </w:r>
      <w:r w:rsidRPr="006C11A5">
        <w:rPr>
          <w:rFonts w:ascii="Aptos" w:eastAsia="Aptos" w:hAnsi="Aptos" w:cs="Times New Roman"/>
          <w:lang w:val="it-IT"/>
        </w:rPr>
        <w:t xml:space="preserve">Glenbeigh Hospital e centri ambulatoriali) è conforme a tutte le leggi federali sui diritti civili applicabili, compresa la Sezione 1557 dell’Affordable Care Act. Il sistema sanitario ARMC non discrimina sulla base di razza, colore, origine nazionale (ivi </w:t>
      </w:r>
      <w:r w:rsidRPr="006C11A5">
        <w:rPr>
          <w:rFonts w:ascii="Aptos" w:eastAsia="Aptos" w:hAnsi="Aptos" w:cs="Times New Roman"/>
          <w:lang w:val="it-IT"/>
        </w:rPr>
        <w:t>inclusa la conoscenza limitata della lingua inglese e la lingua primaria), sesso (conformemente all’ambito della discriminazione sessuale descritto in 45 CFR § 92.101(a)(2)), età o disabilità.</w:t>
      </w:r>
    </w:p>
    <w:p w14:paraId="0B7F1A59" w14:textId="77777777" w:rsidR="004806D3" w:rsidRPr="006C11A5" w:rsidRDefault="004806D3" w:rsidP="004806D3">
      <w:pPr>
        <w:spacing w:after="0" w:line="240" w:lineRule="auto"/>
        <w:rPr>
          <w:lang w:val="it-IT"/>
        </w:rPr>
      </w:pPr>
    </w:p>
    <w:p w14:paraId="26226D6C" w14:textId="77777777" w:rsidR="004806D3" w:rsidRPr="006C11A5" w:rsidRDefault="00673067" w:rsidP="004806D3">
      <w:pPr>
        <w:spacing w:after="0" w:line="240" w:lineRule="auto"/>
        <w:rPr>
          <w:lang w:val="it-IT"/>
        </w:rPr>
      </w:pPr>
      <w:r w:rsidRPr="006C11A5">
        <w:rPr>
          <w:rFonts w:ascii="Aptos" w:eastAsia="Aptos" w:hAnsi="Aptos" w:cs="Times New Roman"/>
          <w:lang w:val="it-IT"/>
        </w:rPr>
        <w:t>In conformità alla Sezione 1557 e ad altre leggi federali in materia di diritti civili, forniamo agli individui, in modo tempestivo e a titolo gratuito, quanto segue:</w:t>
      </w:r>
    </w:p>
    <w:p w14:paraId="11CC9EB4" w14:textId="77777777" w:rsidR="004806D3" w:rsidRPr="006C11A5" w:rsidRDefault="004806D3" w:rsidP="004806D3">
      <w:pPr>
        <w:spacing w:after="0" w:line="240" w:lineRule="auto"/>
        <w:rPr>
          <w:lang w:val="it-IT"/>
        </w:rPr>
      </w:pPr>
    </w:p>
    <w:p w14:paraId="71F12A64" w14:textId="77777777" w:rsidR="004806D3" w:rsidRPr="006C11A5" w:rsidRDefault="00673067" w:rsidP="004806D3">
      <w:pPr>
        <w:spacing w:after="0" w:line="240" w:lineRule="auto"/>
        <w:rPr>
          <w:lang w:val="it-IT"/>
        </w:rPr>
      </w:pPr>
      <w:r w:rsidRPr="006C11A5">
        <w:rPr>
          <w:rFonts w:ascii="Aptos" w:eastAsia="Aptos" w:hAnsi="Aptos" w:cs="Times New Roman"/>
          <w:b/>
          <w:bCs/>
          <w:lang w:val="it-IT"/>
        </w:rPr>
        <w:t>Servizi di assistenza linguistica</w:t>
      </w:r>
      <w:r w:rsidRPr="006C11A5">
        <w:rPr>
          <w:rFonts w:ascii="Aptos" w:eastAsia="Aptos" w:hAnsi="Aptos" w:cs="Times New Roman"/>
          <w:lang w:val="it-IT"/>
        </w:rPr>
        <w:t>: il sistema sanitario ARMC fornirà servizi di assistenza linguistica a favore di persone con conoscenza limitata della lingua inglese (compre</w:t>
      </w:r>
      <w:r w:rsidRPr="006C11A5">
        <w:rPr>
          <w:rFonts w:ascii="Aptos" w:eastAsia="Aptos" w:hAnsi="Aptos" w:cs="Times New Roman"/>
          <w:lang w:val="it-IT"/>
        </w:rPr>
        <w:t>si i loro accompagnatori con limitata conoscenza della lingua inglese) al fine di garantire un accesso effettivo ai nostri programmi, attività, servizi e altri benefici. I servizi di assistenza linguistica possono includere:</w:t>
      </w:r>
    </w:p>
    <w:p w14:paraId="4BF437B6" w14:textId="77777777" w:rsidR="004806D3" w:rsidRPr="006C11A5" w:rsidRDefault="00673067" w:rsidP="004806D3">
      <w:pPr>
        <w:pStyle w:val="ListParagraph"/>
        <w:numPr>
          <w:ilvl w:val="0"/>
          <w:numId w:val="1"/>
        </w:numPr>
        <w:spacing w:after="0" w:line="240" w:lineRule="auto"/>
        <w:rPr>
          <w:lang w:val="it-IT"/>
        </w:rPr>
      </w:pPr>
      <w:r w:rsidRPr="006C11A5">
        <w:rPr>
          <w:rFonts w:ascii="Aptos" w:eastAsia="Aptos" w:hAnsi="Aptos" w:cs="Times New Roman"/>
          <w:lang w:val="it-IT"/>
        </w:rPr>
        <w:t>Documenti tradotti in formato elettronico e cartaceo</w:t>
      </w:r>
    </w:p>
    <w:p w14:paraId="730A24D8" w14:textId="77777777" w:rsidR="004806D3" w:rsidRPr="006C11A5" w:rsidRDefault="00673067" w:rsidP="004806D3">
      <w:pPr>
        <w:pStyle w:val="ListParagraph"/>
        <w:numPr>
          <w:ilvl w:val="0"/>
          <w:numId w:val="1"/>
        </w:numPr>
        <w:spacing w:after="0" w:line="240" w:lineRule="auto"/>
        <w:rPr>
          <w:lang w:val="it-IT"/>
        </w:rPr>
      </w:pPr>
      <w:r w:rsidRPr="006C11A5">
        <w:rPr>
          <w:rFonts w:ascii="Aptos" w:eastAsia="Aptos" w:hAnsi="Aptos" w:cs="Times New Roman"/>
          <w:lang w:val="it-IT"/>
        </w:rPr>
        <w:t>Interpreti qualificati</w:t>
      </w:r>
    </w:p>
    <w:p w14:paraId="6734699A" w14:textId="77777777" w:rsidR="004806D3" w:rsidRPr="006C11A5" w:rsidRDefault="004806D3" w:rsidP="004806D3">
      <w:pPr>
        <w:spacing w:after="0" w:line="240" w:lineRule="auto"/>
        <w:rPr>
          <w:lang w:val="it-IT"/>
        </w:rPr>
      </w:pPr>
    </w:p>
    <w:p w14:paraId="60C431F4" w14:textId="77777777" w:rsidR="004806D3" w:rsidRPr="006C11A5" w:rsidRDefault="00673067" w:rsidP="004806D3">
      <w:pPr>
        <w:spacing w:after="0" w:line="240" w:lineRule="auto"/>
        <w:rPr>
          <w:lang w:val="it-IT"/>
        </w:rPr>
      </w:pPr>
      <w:r w:rsidRPr="006C11A5">
        <w:rPr>
          <w:rFonts w:ascii="Aptos" w:eastAsia="Aptos" w:hAnsi="Aptos" w:cs="Times New Roman"/>
          <w:b/>
          <w:bCs/>
          <w:lang w:val="it-IT"/>
        </w:rPr>
        <w:t>Fornitura di servizi di assistenza linguistica e di ausili e servizi supplementari adeguati</w:t>
      </w:r>
      <w:r w:rsidRPr="006C11A5">
        <w:rPr>
          <w:rFonts w:ascii="Aptos" w:eastAsia="Aptos" w:hAnsi="Aptos" w:cs="Times New Roman"/>
          <w:lang w:val="it-IT"/>
        </w:rPr>
        <w:t>: il sistema sanitario ARMC fornirà servizi di assistenza linguisti</w:t>
      </w:r>
      <w:r w:rsidRPr="006C11A5">
        <w:rPr>
          <w:rFonts w:ascii="Aptos" w:eastAsia="Aptos" w:hAnsi="Aptos" w:cs="Times New Roman"/>
          <w:lang w:val="it-IT"/>
        </w:rPr>
        <w:t>ca e ausili e servizi supplementari adeguati per persone con disabilità (compresi i loro accompagnatori con disabilità), al fine di garantire una comunicazione efficace. Gli ausili e i servizi supplementari adeguati possono includere:</w:t>
      </w:r>
    </w:p>
    <w:p w14:paraId="61BD44E4" w14:textId="77777777" w:rsidR="004806D3" w:rsidRPr="006C11A5" w:rsidRDefault="00673067" w:rsidP="004806D3">
      <w:pPr>
        <w:pStyle w:val="ListParagraph"/>
        <w:numPr>
          <w:ilvl w:val="0"/>
          <w:numId w:val="2"/>
        </w:numPr>
        <w:spacing w:after="0" w:line="240" w:lineRule="auto"/>
        <w:rPr>
          <w:lang w:val="it-IT"/>
        </w:rPr>
      </w:pPr>
      <w:r w:rsidRPr="006C11A5">
        <w:rPr>
          <w:rFonts w:ascii="Aptos" w:eastAsia="Aptos" w:hAnsi="Aptos" w:cs="Times New Roman"/>
          <w:lang w:val="it-IT"/>
        </w:rPr>
        <w:t>Interpreti qualificati, inclusi interpreti della lingua dei segni americana</w:t>
      </w:r>
    </w:p>
    <w:p w14:paraId="3508C435" w14:textId="77777777" w:rsidR="004806D3" w:rsidRPr="006C11A5" w:rsidRDefault="00673067" w:rsidP="004806D3">
      <w:pPr>
        <w:pStyle w:val="ListParagraph"/>
        <w:numPr>
          <w:ilvl w:val="0"/>
          <w:numId w:val="2"/>
        </w:numPr>
        <w:spacing w:after="0" w:line="240" w:lineRule="auto"/>
        <w:rPr>
          <w:lang w:val="it-IT"/>
        </w:rPr>
      </w:pPr>
      <w:r w:rsidRPr="006C11A5">
        <w:rPr>
          <w:rFonts w:ascii="Aptos" w:eastAsia="Aptos" w:hAnsi="Aptos" w:cs="Times New Roman"/>
          <w:lang w:val="it-IT"/>
        </w:rPr>
        <w:t>Servizi di interpretariato da remoto tramite vi</w:t>
      </w:r>
      <w:r w:rsidRPr="006C11A5">
        <w:rPr>
          <w:rFonts w:ascii="Aptos" w:eastAsia="Aptos" w:hAnsi="Aptos" w:cs="Times New Roman"/>
          <w:lang w:val="it-IT"/>
        </w:rPr>
        <w:t>deo</w:t>
      </w:r>
    </w:p>
    <w:p w14:paraId="2C5BF5E1" w14:textId="77777777" w:rsidR="004806D3" w:rsidRPr="006C11A5" w:rsidRDefault="00673067" w:rsidP="004806D3">
      <w:pPr>
        <w:pStyle w:val="ListParagraph"/>
        <w:numPr>
          <w:ilvl w:val="0"/>
          <w:numId w:val="2"/>
        </w:numPr>
        <w:spacing w:after="0" w:line="240" w:lineRule="auto"/>
        <w:rPr>
          <w:lang w:val="it-IT"/>
        </w:rPr>
      </w:pPr>
      <w:r w:rsidRPr="006C11A5">
        <w:rPr>
          <w:rFonts w:ascii="Aptos" w:eastAsia="Aptos" w:hAnsi="Aptos" w:cs="Times New Roman"/>
          <w:lang w:val="it-IT"/>
        </w:rPr>
        <w:t>Informazioni fornite in formati alternativi (inclusi, a titolo esemplificativo ma non esaustivo, caratteri di stampa ingranditi, registrazioni audio e formati elettronici acce</w:t>
      </w:r>
      <w:r w:rsidRPr="006C11A5">
        <w:rPr>
          <w:rFonts w:ascii="Aptos" w:eastAsia="Aptos" w:hAnsi="Aptos" w:cs="Times New Roman"/>
          <w:lang w:val="it-IT"/>
        </w:rPr>
        <w:t>ssibili)</w:t>
      </w:r>
    </w:p>
    <w:p w14:paraId="5EF47D4C" w14:textId="77777777" w:rsidR="004806D3" w:rsidRPr="006C11A5" w:rsidRDefault="004806D3" w:rsidP="004806D3">
      <w:pPr>
        <w:spacing w:after="0" w:line="240" w:lineRule="auto"/>
        <w:rPr>
          <w:lang w:val="it-IT"/>
        </w:rPr>
      </w:pPr>
    </w:p>
    <w:p w14:paraId="6477AE2A" w14:textId="77777777" w:rsidR="004806D3" w:rsidRPr="006C11A5" w:rsidRDefault="00673067" w:rsidP="004806D3">
      <w:pPr>
        <w:spacing w:after="0" w:line="240" w:lineRule="auto"/>
        <w:rPr>
          <w:lang w:val="it-IT"/>
        </w:rPr>
      </w:pPr>
      <w:r w:rsidRPr="006C11A5">
        <w:rPr>
          <w:rFonts w:ascii="Aptos" w:eastAsia="Aptos" w:hAnsi="Aptos" w:cs="Times New Roman"/>
          <w:b/>
          <w:bCs/>
          <w:lang w:val="it-IT"/>
        </w:rPr>
        <w:t>Modifiche ragionevoli:</w:t>
      </w:r>
      <w:r w:rsidRPr="006C11A5">
        <w:rPr>
          <w:rFonts w:ascii="Aptos" w:eastAsia="Aptos" w:hAnsi="Aptos" w:cs="Times New Roman"/>
          <w:lang w:val="it-IT"/>
        </w:rPr>
        <w:t xml:space="preserve"> Il sistema sanitario ARMC adotterà modifiche ragionevoli per persone </w:t>
      </w:r>
      <w:r w:rsidRPr="006C11A5">
        <w:rPr>
          <w:rFonts w:ascii="Aptos" w:eastAsia="Aptos" w:hAnsi="Aptos" w:cs="Times New Roman"/>
          <w:lang w:val="it-IT"/>
        </w:rPr>
        <w:t>qualificate con disabilità, ove necessario per garantire l’accessibilità e pari opportunità di partecipazione ai nostri programmi, attività, servizi o altri benefici.</w:t>
      </w:r>
    </w:p>
    <w:p w14:paraId="5E616E21" w14:textId="77777777" w:rsidR="00C743E0" w:rsidRPr="006C11A5" w:rsidRDefault="00C743E0" w:rsidP="004806D3">
      <w:pPr>
        <w:spacing w:after="0" w:line="240" w:lineRule="auto"/>
        <w:rPr>
          <w:lang w:val="it-IT"/>
        </w:rPr>
      </w:pPr>
    </w:p>
    <w:p w14:paraId="5ACABEE7" w14:textId="77777777" w:rsidR="00C743E0" w:rsidRPr="006C11A5" w:rsidRDefault="00673067" w:rsidP="004806D3">
      <w:pPr>
        <w:spacing w:after="0" w:line="240" w:lineRule="auto"/>
        <w:rPr>
          <w:lang w:val="it-IT"/>
        </w:rPr>
      </w:pPr>
      <w:r w:rsidRPr="006C11A5">
        <w:rPr>
          <w:rFonts w:ascii="Aptos" w:eastAsia="Aptos" w:hAnsi="Aptos" w:cs="Times New Roman"/>
          <w:lang w:val="it-IT"/>
        </w:rPr>
        <w:t>Per acceder</w:t>
      </w:r>
      <w:r w:rsidRPr="006C11A5">
        <w:rPr>
          <w:rFonts w:ascii="Aptos" w:eastAsia="Aptos" w:hAnsi="Aptos" w:cs="Times New Roman"/>
          <w:lang w:val="it-IT"/>
        </w:rPr>
        <w:t>e ai nostri servizi di assistenza linguistica, ausili e servizi supplementari e per ricevere assistenza riguardo a modifiche ragionevoli, contatti un membro del team di operatori sanitari. Per ulteriore assistenza, può rivolgersi anche al supervisore infer</w:t>
      </w:r>
      <w:r w:rsidRPr="006C11A5">
        <w:rPr>
          <w:rFonts w:ascii="Aptos" w:eastAsia="Aptos" w:hAnsi="Aptos" w:cs="Times New Roman"/>
          <w:lang w:val="it-IT"/>
        </w:rPr>
        <w:t xml:space="preserve">mieristico tramite il Suo team di operatori sanitari. </w:t>
      </w:r>
    </w:p>
    <w:p w14:paraId="2F0A98BC" w14:textId="77777777" w:rsidR="00C743E0" w:rsidRPr="006C11A5" w:rsidRDefault="00C743E0" w:rsidP="004806D3">
      <w:pPr>
        <w:spacing w:after="0" w:line="240" w:lineRule="auto"/>
        <w:rPr>
          <w:lang w:val="it-IT"/>
        </w:rPr>
      </w:pPr>
    </w:p>
    <w:p w14:paraId="44921E97" w14:textId="77777777" w:rsidR="00C743E0" w:rsidRPr="006C11A5" w:rsidRDefault="00673067" w:rsidP="004806D3">
      <w:pPr>
        <w:spacing w:after="0" w:line="240" w:lineRule="auto"/>
        <w:rPr>
          <w:lang w:val="it-IT"/>
        </w:rPr>
      </w:pPr>
      <w:r w:rsidRPr="006C11A5">
        <w:rPr>
          <w:rFonts w:ascii="Aptos" w:eastAsia="Aptos" w:hAnsi="Aptos" w:cs="Times New Roman"/>
          <w:lang w:val="it-IT"/>
        </w:rPr>
        <w:t xml:space="preserve">Se ritiene che il sistema sanitario ARMC non abbia fornito questi servizi o abbia effettuato discriminazioni in altro modo </w:t>
      </w:r>
      <w:r w:rsidRPr="006C11A5">
        <w:rPr>
          <w:rFonts w:ascii="Aptos" w:eastAsia="Aptos" w:hAnsi="Aptos" w:cs="Times New Roman"/>
          <w:lang w:val="it-IT"/>
        </w:rPr>
        <w:t xml:space="preserve">basate su razza, colore, origine nazionale, sesso, età o disabilità, può presentare un reclamo all’ente di contatto indicato di seguito: </w:t>
      </w:r>
    </w:p>
    <w:p w14:paraId="34AC6CD5" w14:textId="77777777" w:rsidR="00C743E0" w:rsidRPr="006C11A5" w:rsidRDefault="00C743E0" w:rsidP="004806D3">
      <w:pPr>
        <w:spacing w:after="0" w:line="240" w:lineRule="auto"/>
        <w:rPr>
          <w:lang w:val="it-IT"/>
        </w:rPr>
      </w:pPr>
    </w:p>
    <w:p w14:paraId="55D80962" w14:textId="24E276D0" w:rsidR="00C743E0" w:rsidRPr="006C11A5" w:rsidRDefault="00673067" w:rsidP="006C11A5">
      <w:pPr>
        <w:tabs>
          <w:tab w:val="left" w:pos="4253"/>
        </w:tabs>
        <w:spacing w:after="0" w:line="240" w:lineRule="auto"/>
        <w:rPr>
          <w:lang w:val="it-IT"/>
        </w:rPr>
      </w:pPr>
      <w:r w:rsidRPr="006C11A5">
        <w:rPr>
          <w:rFonts w:ascii="Aptos" w:eastAsia="Aptos" w:hAnsi="Aptos" w:cs="Times New Roman"/>
          <w:lang w:val="it-IT"/>
        </w:rPr>
        <w:t>Ombudsman</w:t>
      </w:r>
      <w:r w:rsidRPr="006C11A5">
        <w:rPr>
          <w:rFonts w:ascii="Aptos" w:eastAsia="Aptos" w:hAnsi="Aptos" w:cs="Times New Roman"/>
          <w:lang w:val="it-IT"/>
        </w:rPr>
        <w:tab/>
      </w:r>
      <w:r w:rsidRPr="006C11A5">
        <w:rPr>
          <w:rFonts w:ascii="Aptos" w:eastAsia="Aptos" w:hAnsi="Aptos" w:cs="Times New Roman"/>
          <w:lang w:val="it-IT"/>
        </w:rPr>
        <w:t>Direttore Qualità</w:t>
      </w:r>
      <w:r w:rsidRPr="006C11A5">
        <w:rPr>
          <w:rFonts w:ascii="Aptos" w:eastAsia="Aptos" w:hAnsi="Aptos" w:cs="Times New Roman"/>
          <w:lang w:val="it-IT"/>
        </w:rPr>
        <w:tab/>
      </w:r>
      <w:r w:rsidRPr="006C11A5">
        <w:rPr>
          <w:rFonts w:ascii="Aptos" w:eastAsia="Aptos" w:hAnsi="Aptos" w:cs="Times New Roman"/>
          <w:lang w:val="it-IT"/>
        </w:rPr>
        <w:tab/>
        <w:t>Respons</w:t>
      </w:r>
      <w:r w:rsidRPr="006C11A5">
        <w:rPr>
          <w:rFonts w:ascii="Aptos" w:eastAsia="Aptos" w:hAnsi="Aptos" w:cs="Times New Roman"/>
          <w:lang w:val="it-IT"/>
        </w:rPr>
        <w:t>abile Qualità</w:t>
      </w:r>
    </w:p>
    <w:p w14:paraId="5BECE4EB" w14:textId="77777777" w:rsidR="00C743E0" w:rsidRPr="006C11A5" w:rsidRDefault="00673067" w:rsidP="006C11A5">
      <w:pPr>
        <w:tabs>
          <w:tab w:val="left" w:pos="4253"/>
        </w:tabs>
        <w:spacing w:after="0" w:line="240" w:lineRule="auto"/>
        <w:rPr>
          <w:lang w:val="it-IT"/>
        </w:rPr>
      </w:pPr>
      <w:r w:rsidRPr="006C11A5">
        <w:rPr>
          <w:rFonts w:ascii="Aptos" w:eastAsia="Aptos" w:hAnsi="Aptos" w:cs="Times New Roman"/>
          <w:lang w:val="it-IT"/>
        </w:rPr>
        <w:t xml:space="preserve">Ashtabula Regional Medical Center </w:t>
      </w:r>
      <w:r w:rsidRPr="006C11A5">
        <w:rPr>
          <w:rFonts w:ascii="Aptos" w:eastAsia="Aptos" w:hAnsi="Aptos" w:cs="Times New Roman"/>
          <w:lang w:val="it-IT"/>
        </w:rPr>
        <w:tab/>
        <w:t>ARMC Home Health</w:t>
      </w:r>
      <w:r w:rsidRPr="006C11A5">
        <w:rPr>
          <w:rFonts w:ascii="Aptos" w:eastAsia="Aptos" w:hAnsi="Aptos" w:cs="Times New Roman"/>
          <w:lang w:val="it-IT"/>
        </w:rPr>
        <w:tab/>
      </w:r>
      <w:r w:rsidRPr="006C11A5">
        <w:rPr>
          <w:rFonts w:ascii="Aptos" w:eastAsia="Aptos" w:hAnsi="Aptos" w:cs="Times New Roman"/>
          <w:lang w:val="it-IT"/>
        </w:rPr>
        <w:tab/>
        <w:t>Glenbeigh</w:t>
      </w:r>
    </w:p>
    <w:p w14:paraId="2A16EFED" w14:textId="57BE3BCE" w:rsidR="00C743E0" w:rsidRPr="006C11A5" w:rsidRDefault="00673067" w:rsidP="006C11A5">
      <w:pPr>
        <w:tabs>
          <w:tab w:val="left" w:pos="4253"/>
        </w:tabs>
        <w:spacing w:after="0" w:line="240" w:lineRule="auto"/>
        <w:rPr>
          <w:lang w:val="it-IT"/>
        </w:rPr>
      </w:pPr>
      <w:r w:rsidRPr="006C11A5">
        <w:rPr>
          <w:rFonts w:ascii="Aptos" w:eastAsia="Aptos" w:hAnsi="Aptos" w:cs="Times New Roman"/>
          <w:lang w:val="it-IT"/>
        </w:rPr>
        <w:t xml:space="preserve">2420 Lake Avenue </w:t>
      </w:r>
      <w:r w:rsidRPr="006C11A5">
        <w:rPr>
          <w:rFonts w:ascii="Aptos" w:eastAsia="Aptos" w:hAnsi="Aptos" w:cs="Times New Roman"/>
          <w:lang w:val="it-IT"/>
        </w:rPr>
        <w:tab/>
      </w:r>
      <w:r w:rsidRPr="006C11A5">
        <w:rPr>
          <w:rFonts w:ascii="Aptos" w:eastAsia="Aptos" w:hAnsi="Aptos" w:cs="Times New Roman"/>
          <w:lang w:val="it-IT"/>
        </w:rPr>
        <w:t>2131</w:t>
      </w:r>
      <w:r w:rsidRPr="006C11A5">
        <w:rPr>
          <w:rFonts w:ascii="Aptos" w:eastAsia="Aptos" w:hAnsi="Aptos" w:cs="Times New Roman"/>
          <w:lang w:val="it-IT"/>
        </w:rPr>
        <w:t xml:space="preserve"> Lake Ave, Ste 2</w:t>
      </w:r>
      <w:r w:rsidRPr="006C11A5">
        <w:rPr>
          <w:rFonts w:ascii="Aptos" w:eastAsia="Aptos" w:hAnsi="Aptos" w:cs="Times New Roman"/>
          <w:lang w:val="it-IT"/>
        </w:rPr>
        <w:tab/>
      </w:r>
      <w:r w:rsidRPr="006C11A5">
        <w:rPr>
          <w:rFonts w:ascii="Aptos" w:eastAsia="Aptos" w:hAnsi="Aptos" w:cs="Times New Roman"/>
          <w:lang w:val="it-IT"/>
        </w:rPr>
        <w:tab/>
        <w:t>2863 State Route 45N</w:t>
      </w:r>
    </w:p>
    <w:p w14:paraId="4CFF27CC" w14:textId="7BE1C4B7" w:rsidR="00C743E0" w:rsidRPr="006C11A5" w:rsidRDefault="00673067" w:rsidP="006C11A5">
      <w:pPr>
        <w:tabs>
          <w:tab w:val="left" w:pos="4253"/>
          <w:tab w:val="left" w:pos="7230"/>
        </w:tabs>
        <w:spacing w:after="0" w:line="240" w:lineRule="auto"/>
        <w:rPr>
          <w:lang w:val="it-IT"/>
        </w:rPr>
      </w:pPr>
      <w:r w:rsidRPr="006C11A5">
        <w:rPr>
          <w:rFonts w:ascii="Aptos" w:eastAsia="Aptos" w:hAnsi="Aptos" w:cs="Times New Roman"/>
          <w:lang w:val="it-IT"/>
        </w:rPr>
        <w:t xml:space="preserve">Ashtabula, OH 44004 </w:t>
      </w:r>
      <w:r w:rsidRPr="006C11A5">
        <w:rPr>
          <w:rFonts w:ascii="Aptos" w:eastAsia="Aptos" w:hAnsi="Aptos" w:cs="Times New Roman"/>
          <w:lang w:val="it-IT"/>
        </w:rPr>
        <w:tab/>
      </w:r>
      <w:r w:rsidRPr="006C11A5">
        <w:rPr>
          <w:rFonts w:ascii="Aptos" w:eastAsia="Aptos" w:hAnsi="Aptos" w:cs="Times New Roman"/>
          <w:lang w:val="it-IT"/>
        </w:rPr>
        <w:t>Ashtabula, OH 44004</w:t>
      </w:r>
      <w:r w:rsidRPr="006C11A5">
        <w:rPr>
          <w:rFonts w:ascii="Aptos" w:eastAsia="Aptos" w:hAnsi="Aptos" w:cs="Times New Roman"/>
          <w:lang w:val="it-IT"/>
        </w:rPr>
        <w:tab/>
        <w:t>Rock Creek, OH 44084</w:t>
      </w:r>
    </w:p>
    <w:p w14:paraId="73A688A2" w14:textId="584129B1" w:rsidR="000E1316" w:rsidRPr="006C11A5" w:rsidRDefault="00673067" w:rsidP="006C11A5">
      <w:pPr>
        <w:tabs>
          <w:tab w:val="left" w:pos="4253"/>
          <w:tab w:val="left" w:pos="7230"/>
        </w:tabs>
        <w:spacing w:after="0" w:line="240" w:lineRule="auto"/>
        <w:rPr>
          <w:lang w:val="it-IT"/>
        </w:rPr>
      </w:pPr>
      <w:r w:rsidRPr="006C11A5">
        <w:rPr>
          <w:rFonts w:ascii="Aptos" w:eastAsia="Aptos" w:hAnsi="Aptos" w:cs="Times New Roman"/>
          <w:lang w:val="it-IT"/>
        </w:rPr>
        <w:t>440-997-2262</w:t>
      </w:r>
      <w:r w:rsidRPr="006C11A5">
        <w:rPr>
          <w:rFonts w:ascii="Aptos" w:eastAsia="Aptos" w:hAnsi="Aptos" w:cs="Times New Roman"/>
          <w:lang w:val="it-IT"/>
        </w:rPr>
        <w:tab/>
      </w:r>
      <w:r w:rsidRPr="006C11A5">
        <w:rPr>
          <w:rFonts w:ascii="Aptos" w:eastAsia="Aptos" w:hAnsi="Aptos" w:cs="Times New Roman"/>
          <w:lang w:val="it-IT"/>
        </w:rPr>
        <w:t>440-992-4633</w:t>
      </w:r>
      <w:r w:rsidRPr="006C11A5">
        <w:rPr>
          <w:rFonts w:ascii="Aptos" w:eastAsia="Aptos" w:hAnsi="Aptos" w:cs="Times New Roman"/>
          <w:lang w:val="it-IT"/>
        </w:rPr>
        <w:tab/>
      </w:r>
      <w:r w:rsidRPr="006C11A5">
        <w:rPr>
          <w:rFonts w:ascii="Aptos" w:eastAsia="Aptos" w:hAnsi="Aptos" w:cs="Times New Roman"/>
          <w:lang w:val="it-IT"/>
        </w:rPr>
        <w:t>440-563-3400</w:t>
      </w:r>
    </w:p>
    <w:p w14:paraId="56D4B2A6" w14:textId="77777777" w:rsidR="00C743E0" w:rsidRPr="006C11A5" w:rsidRDefault="00C743E0" w:rsidP="004806D3">
      <w:pPr>
        <w:spacing w:after="0" w:line="240" w:lineRule="auto"/>
        <w:rPr>
          <w:lang w:val="it-IT"/>
        </w:rPr>
      </w:pPr>
    </w:p>
    <w:p w14:paraId="38D677A0" w14:textId="77777777" w:rsidR="00C743E0" w:rsidRPr="006C11A5" w:rsidRDefault="00673067" w:rsidP="004806D3">
      <w:pPr>
        <w:spacing w:after="0" w:line="240" w:lineRule="auto"/>
        <w:rPr>
          <w:lang w:val="it-IT"/>
        </w:rPr>
      </w:pPr>
      <w:r w:rsidRPr="006C11A5">
        <w:rPr>
          <w:rFonts w:ascii="Aptos" w:eastAsia="Aptos" w:hAnsi="Aptos" w:cs="Times New Roman"/>
          <w:lang w:val="it-IT"/>
        </w:rPr>
        <w:t xml:space="preserve">In alternativa, può anche presentare un reclamo al Dipartimento della salute e dei servizi umani degli Stati Uniti, Ufficio per i diritti civili all’indirizzo </w:t>
      </w:r>
      <w:hyperlink r:id="rId7" w:history="1">
        <w:r w:rsidRPr="006C11A5">
          <w:rPr>
            <w:rFonts w:ascii="Aptos" w:eastAsia="Aptos" w:hAnsi="Aptos" w:cs="Times New Roman"/>
            <w:color w:val="467886"/>
            <w:u w:val="single"/>
            <w:lang w:val="it-IT"/>
          </w:rPr>
          <w:t>https://ocrportal.hhs.gov/ocr/smartscreen/main.jsf</w:t>
        </w:r>
      </w:hyperlink>
      <w:r w:rsidRPr="006C11A5">
        <w:rPr>
          <w:rFonts w:ascii="Aptos" w:eastAsia="Aptos" w:hAnsi="Aptos" w:cs="Times New Roman"/>
          <w:lang w:val="it-IT"/>
        </w:rPr>
        <w:t xml:space="preserve"> o per posta al seguente indirizzo:</w:t>
      </w:r>
    </w:p>
    <w:p w14:paraId="16B80F7E" w14:textId="77777777" w:rsidR="00C743E0" w:rsidRPr="006C11A5" w:rsidRDefault="00C743E0" w:rsidP="004806D3">
      <w:pPr>
        <w:spacing w:after="0" w:line="240" w:lineRule="auto"/>
        <w:rPr>
          <w:lang w:val="it-IT"/>
        </w:rPr>
      </w:pPr>
    </w:p>
    <w:p w14:paraId="2E370A80" w14:textId="77777777" w:rsidR="00C743E0" w:rsidRPr="006C11A5" w:rsidRDefault="00673067" w:rsidP="004806D3">
      <w:pPr>
        <w:spacing w:after="0" w:line="240" w:lineRule="auto"/>
        <w:rPr>
          <w:lang w:val="it-IT"/>
        </w:rPr>
      </w:pPr>
      <w:r w:rsidRPr="006C11A5">
        <w:rPr>
          <w:rFonts w:ascii="Aptos" w:eastAsia="Aptos" w:hAnsi="Aptos" w:cs="Times New Roman"/>
          <w:lang w:val="it-IT"/>
        </w:rPr>
        <w:t>Dipartimento della salute e dei servizi umani degli Stati Uniti</w:t>
      </w:r>
    </w:p>
    <w:p w14:paraId="109A8D0C" w14:textId="77777777" w:rsidR="00C743E0" w:rsidRPr="006C11A5" w:rsidRDefault="00673067" w:rsidP="004806D3">
      <w:pPr>
        <w:spacing w:after="0" w:line="240" w:lineRule="auto"/>
        <w:rPr>
          <w:lang w:val="it-IT"/>
        </w:rPr>
      </w:pPr>
      <w:r w:rsidRPr="006C11A5">
        <w:rPr>
          <w:rFonts w:ascii="Aptos" w:eastAsia="Aptos" w:hAnsi="Aptos" w:cs="Times New Roman"/>
          <w:lang w:val="it-IT"/>
        </w:rPr>
        <w:t>200 Independence Avenue, SW – 509F</w:t>
      </w:r>
    </w:p>
    <w:p w14:paraId="1421AFD9" w14:textId="77777777" w:rsidR="00C743E0" w:rsidRPr="006C11A5" w:rsidRDefault="00673067" w:rsidP="004806D3">
      <w:pPr>
        <w:spacing w:after="0" w:line="240" w:lineRule="auto"/>
        <w:rPr>
          <w:lang w:val="it-IT"/>
        </w:rPr>
      </w:pPr>
      <w:r w:rsidRPr="006C11A5">
        <w:rPr>
          <w:rFonts w:ascii="Aptos" w:eastAsia="Aptos" w:hAnsi="Aptos" w:cs="Times New Roman"/>
          <w:lang w:val="it-IT"/>
        </w:rPr>
        <w:t>Washington, DC 20201</w:t>
      </w:r>
    </w:p>
    <w:p w14:paraId="6B63CAEE" w14:textId="77777777" w:rsidR="00E93BB0" w:rsidRPr="006C11A5" w:rsidRDefault="00E93BB0" w:rsidP="004806D3">
      <w:pPr>
        <w:spacing w:after="0" w:line="240" w:lineRule="auto"/>
        <w:rPr>
          <w:lang w:val="it-IT"/>
        </w:rPr>
      </w:pPr>
    </w:p>
    <w:p w14:paraId="6E6D0804" w14:textId="77777777" w:rsidR="00E93BB0" w:rsidRPr="006C11A5" w:rsidRDefault="00E93BB0" w:rsidP="004806D3">
      <w:pPr>
        <w:spacing w:after="0" w:line="240" w:lineRule="auto"/>
        <w:rPr>
          <w:lang w:val="it-IT"/>
        </w:rPr>
      </w:pPr>
    </w:p>
    <w:p w14:paraId="67D96F85" w14:textId="77777777" w:rsidR="00E93BB0" w:rsidRPr="006C11A5" w:rsidRDefault="00E93BB0" w:rsidP="004806D3">
      <w:pPr>
        <w:spacing w:after="0" w:line="240" w:lineRule="auto"/>
        <w:rPr>
          <w:lang w:val="it-IT"/>
        </w:rPr>
      </w:pPr>
    </w:p>
    <w:p w14:paraId="1B983B14" w14:textId="77777777" w:rsidR="00E93BB0" w:rsidRPr="006C11A5" w:rsidRDefault="00E93BB0" w:rsidP="004806D3">
      <w:pPr>
        <w:spacing w:after="0" w:line="240" w:lineRule="auto"/>
        <w:rPr>
          <w:lang w:val="it-IT"/>
        </w:rPr>
      </w:pPr>
    </w:p>
    <w:p w14:paraId="3A1F281C" w14:textId="77777777" w:rsidR="00E93BB0" w:rsidRPr="006C11A5" w:rsidRDefault="00673067" w:rsidP="004806D3">
      <w:pPr>
        <w:spacing w:after="0" w:line="240" w:lineRule="auto"/>
        <w:rPr>
          <w:lang w:val="it-IT"/>
        </w:rPr>
      </w:pPr>
      <w:r w:rsidRPr="006C11A5">
        <w:rPr>
          <w:noProof/>
          <w:lang w:val="it-IT"/>
        </w:rPr>
        <w:drawing>
          <wp:inline distT="0" distB="0" distL="0" distR="0" wp14:anchorId="4010D0D2" wp14:editId="6027EAD1">
            <wp:extent cx="1638300" cy="814112"/>
            <wp:effectExtent l="0" t="0" r="0" b="5080"/>
            <wp:docPr id="11711208" name="Picture 3" descr="A close-up of a sign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11208" name="Picture 3" descr="A close-up of a sign&#10;&#10;AI-generated content may be incorrect.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6932" cy="8184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529CB4" w14:textId="77777777" w:rsidR="00E93BB0" w:rsidRPr="006C11A5" w:rsidRDefault="00E93BB0">
      <w:pPr>
        <w:rPr>
          <w:sz w:val="28"/>
          <w:szCs w:val="28"/>
          <w:lang w:val="it-IT"/>
        </w:rPr>
      </w:pPr>
    </w:p>
    <w:p w14:paraId="745279C2" w14:textId="77777777" w:rsidR="00E93BB0" w:rsidRPr="006C11A5" w:rsidRDefault="00673067">
      <w:pPr>
        <w:rPr>
          <w:sz w:val="28"/>
          <w:szCs w:val="28"/>
          <w:lang w:val="it-IT"/>
        </w:rPr>
      </w:pPr>
      <w:r w:rsidRPr="006C11A5">
        <w:rPr>
          <w:noProof/>
          <w:sz w:val="28"/>
          <w:szCs w:val="28"/>
          <w:lang w:val="it-IT"/>
        </w:rPr>
        <w:drawing>
          <wp:inline distT="0" distB="0" distL="0" distR="0" wp14:anchorId="76684EA8" wp14:editId="1A9E711B">
            <wp:extent cx="1666875" cy="609038"/>
            <wp:effectExtent l="0" t="0" r="0" b="635"/>
            <wp:docPr id="619484483" name="Picture 2" descr="A black background with a black squar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9484483" name="Picture 2" descr="A black background with a black square&#10;&#10;AI-generated content may be incorrect.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3769" cy="6152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15F58C" w14:textId="77777777" w:rsidR="00E93BB0" w:rsidRPr="006C11A5" w:rsidRDefault="00E93BB0">
      <w:pPr>
        <w:rPr>
          <w:sz w:val="20"/>
          <w:szCs w:val="20"/>
          <w:lang w:val="it-IT"/>
        </w:rPr>
      </w:pPr>
    </w:p>
    <w:p w14:paraId="3479CF41" w14:textId="77777777" w:rsidR="00E93BB0" w:rsidRPr="004806D3" w:rsidRDefault="00673067">
      <w:pPr>
        <w:rPr>
          <w:sz w:val="28"/>
          <w:szCs w:val="28"/>
        </w:rPr>
      </w:pPr>
      <w:r w:rsidRPr="006C11A5">
        <w:rPr>
          <w:noProof/>
          <w:sz w:val="28"/>
          <w:szCs w:val="28"/>
          <w:lang w:val="it-IT"/>
        </w:rPr>
        <w:drawing>
          <wp:inline distT="0" distB="0" distL="0" distR="0" wp14:anchorId="4B65C5D7" wp14:editId="1A63A951">
            <wp:extent cx="1766967" cy="661035"/>
            <wp:effectExtent l="0" t="0" r="5080" b="5715"/>
            <wp:docPr id="1046497325" name="Picture 4" descr="A close-up of a sign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6497325" name="Picture 4" descr="A close-up of a sign&#10;&#10;AI-generated content may be incorrect.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4871" cy="6714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93BB0" w:rsidRPr="004806D3" w:rsidSect="00C743E0">
      <w:footerReference w:type="even" r:id="rId11"/>
      <w:footerReference w:type="default" r:id="rId12"/>
      <w:footerReference w:type="first" r:id="rId13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E8B3CD" w14:textId="77777777" w:rsidR="00673067" w:rsidRDefault="00673067">
      <w:pPr>
        <w:spacing w:after="0" w:line="240" w:lineRule="auto"/>
      </w:pPr>
      <w:r>
        <w:separator/>
      </w:r>
    </w:p>
  </w:endnote>
  <w:endnote w:type="continuationSeparator" w:id="0">
    <w:p w14:paraId="1CFACF9E" w14:textId="77777777" w:rsidR="00673067" w:rsidRDefault="006730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1CF880" w14:textId="77777777" w:rsidR="00771492" w:rsidRDefault="000D68F6">
    <w:pPr>
      <w:pStyle w:val="Footer"/>
    </w:pPr>
    <w:r>
      <w:fldChar w:fldCharType="begin"/>
    </w:r>
    <w:r w:rsidR="00673067">
      <w:instrText xml:space="preserve"> DOCPROPERTY DOCXDOCID DMS=InterwovenIManage Format=&lt;&lt;NUM&gt;&gt; _&lt;&lt;VER&gt;&gt; PRESERVELOCATION \* MERGEFORMAT </w:instrText>
    </w:r>
    <w:r>
      <w:fldChar w:fldCharType="separate"/>
    </w:r>
    <w:r w:rsidR="00673067">
      <w:rPr>
        <w:rFonts w:ascii="Aptos" w:eastAsia="Aptos" w:hAnsi="Aptos" w:cs="Times New Roman"/>
        <w:lang w:val="it-IT"/>
      </w:rPr>
      <w:t>23477426 _1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E9051A" w14:textId="77777777" w:rsidR="00771492" w:rsidRDefault="000D68F6">
    <w:pPr>
      <w:pStyle w:val="Footer"/>
    </w:pPr>
    <w:r>
      <w:fldChar w:fldCharType="begin"/>
    </w:r>
    <w:r w:rsidR="00673067">
      <w:instrText xml:space="preserve"> DOCPROPERTY DOCXDOCID DMS=InterwovenIManage Format=&lt;&lt;NUM&gt;&gt; _&lt;</w:instrText>
    </w:r>
    <w:r w:rsidR="00673067">
      <w:instrText xml:space="preserve">&lt;VER&gt;&gt; PRESERVELOCATION \* MERGEFORMAT </w:instrText>
    </w:r>
    <w:r>
      <w:fldChar w:fldCharType="separate"/>
    </w:r>
    <w:r w:rsidR="00673067">
      <w:rPr>
        <w:rFonts w:ascii="Aptos" w:eastAsia="Aptos" w:hAnsi="Aptos" w:cs="Times New Roman"/>
        <w:lang w:val="it-IT"/>
      </w:rPr>
      <w:t>23477426 _1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D05F6" w14:textId="77777777" w:rsidR="00771492" w:rsidRDefault="000D68F6">
    <w:pPr>
      <w:pStyle w:val="Footer"/>
    </w:pPr>
    <w:r>
      <w:fldChar w:fldCharType="begin"/>
    </w:r>
    <w:r w:rsidR="00673067">
      <w:instrText xml:space="preserve"> DOCPROPERTY DOCXDOCID DMS=InterwovenIManage Format=&lt;&lt;NUM&gt;&gt; _&lt;&lt;VER&gt;&gt; PRESERVELOCATION \* MERGEFORMAT </w:instrText>
    </w:r>
    <w:r>
      <w:fldChar w:fldCharType="separate"/>
    </w:r>
    <w:r w:rsidR="00673067">
      <w:rPr>
        <w:rFonts w:ascii="Aptos" w:eastAsia="Aptos" w:hAnsi="Aptos" w:cs="Times New Roman"/>
        <w:lang w:val="it-IT"/>
      </w:rPr>
      <w:t>23477426 _1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DC6339" w14:textId="77777777" w:rsidR="00673067" w:rsidRDefault="00673067">
      <w:pPr>
        <w:spacing w:after="0" w:line="240" w:lineRule="auto"/>
      </w:pPr>
      <w:r>
        <w:separator/>
      </w:r>
    </w:p>
  </w:footnote>
  <w:footnote w:type="continuationSeparator" w:id="0">
    <w:p w14:paraId="2F7939BD" w14:textId="77777777" w:rsidR="00673067" w:rsidRDefault="006730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BF43FC"/>
    <w:multiLevelType w:val="hybridMultilevel"/>
    <w:tmpl w:val="E02CA3F2"/>
    <w:lvl w:ilvl="0" w:tplc="80AE37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12ABC7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674DEA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328DE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39AEB0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072D64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A208A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490511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709C4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D562D8"/>
    <w:multiLevelType w:val="hybridMultilevel"/>
    <w:tmpl w:val="94C84740"/>
    <w:lvl w:ilvl="0" w:tplc="BAD617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7AE5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26AC17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A6650F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5322F9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E6A273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2CD0B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6F01F8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53EB01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A56"/>
    <w:rsid w:val="000D68F6"/>
    <w:rsid w:val="000E1316"/>
    <w:rsid w:val="00100D03"/>
    <w:rsid w:val="00105AD1"/>
    <w:rsid w:val="0016698B"/>
    <w:rsid w:val="001701E8"/>
    <w:rsid w:val="00184D5A"/>
    <w:rsid w:val="001D52F3"/>
    <w:rsid w:val="003066CA"/>
    <w:rsid w:val="003D328A"/>
    <w:rsid w:val="004806D3"/>
    <w:rsid w:val="00493863"/>
    <w:rsid w:val="00620E89"/>
    <w:rsid w:val="00673067"/>
    <w:rsid w:val="006C11A5"/>
    <w:rsid w:val="006E0466"/>
    <w:rsid w:val="006E32A6"/>
    <w:rsid w:val="007702EA"/>
    <w:rsid w:val="00771492"/>
    <w:rsid w:val="00775720"/>
    <w:rsid w:val="00881B25"/>
    <w:rsid w:val="008966B9"/>
    <w:rsid w:val="00932A56"/>
    <w:rsid w:val="00983A46"/>
    <w:rsid w:val="00A507F5"/>
    <w:rsid w:val="00A90142"/>
    <w:rsid w:val="00BF37E1"/>
    <w:rsid w:val="00C14643"/>
    <w:rsid w:val="00C44D9F"/>
    <w:rsid w:val="00C4562C"/>
    <w:rsid w:val="00C743E0"/>
    <w:rsid w:val="00DA4D77"/>
    <w:rsid w:val="00DB38E6"/>
    <w:rsid w:val="00E93BB0"/>
    <w:rsid w:val="00F14250"/>
    <w:rsid w:val="00F50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152EC1"/>
  <w15:chartTrackingRefBased/>
  <w15:docId w15:val="{DC252CD9-19CE-4154-B819-CA41278C9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32A5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32A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32A5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32A5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32A5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32A5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32A5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32A5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32A5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32A5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32A5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32A5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32A5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32A5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32A5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32A5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32A5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32A5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32A5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32A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32A5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32A5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32A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32A5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32A5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32A5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32A5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32A5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32A5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743E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743E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7714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1492"/>
  </w:style>
  <w:style w:type="paragraph" w:styleId="Footer">
    <w:name w:val="footer"/>
    <w:basedOn w:val="Normal"/>
    <w:link w:val="FooterChar"/>
    <w:uiPriority w:val="99"/>
    <w:unhideWhenUsed/>
    <w:rsid w:val="007714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1492"/>
  </w:style>
  <w:style w:type="paragraph" w:styleId="Revision">
    <w:name w:val="Revision"/>
    <w:hidden/>
    <w:uiPriority w:val="99"/>
    <w:semiHidden/>
    <w:rsid w:val="007702E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ocrportal.hhs.gov/ocr/smartscreen/main.jsf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527</Words>
  <Characters>3005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Ashtabula County Medical Center</Company>
  <LinksUpToDate>false</LinksUpToDate>
  <CharactersWithSpaces>3525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US2109504</dc:subject>
  <dc:creator>Tina Stasiewski</dc:creator>
  <cp:lastPrinted>2025-07-08T17:39:00Z</cp:lastPrinted>
  <dcterms:created xsi:type="dcterms:W3CDTF">2025-07-08T17:39:00Z</dcterms:created>
  <dcterms:modified xsi:type="dcterms:W3CDTF">2025-07-21T08:33:00Z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XDOCID">
    <vt:lpwstr>23477426 _1</vt:lpwstr>
  </property>
  <property fmtid="{D5CDD505-2E9C-101B-9397-08002B2CF9AE}" pid="3" name="DocXFormat">
    <vt:lpwstr>DefaultFormat</vt:lpwstr>
  </property>
  <property fmtid="{D5CDD505-2E9C-101B-9397-08002B2CF9AE}" pid="4" name="DocXLocation">
    <vt:lpwstr>Every Page</vt:lpwstr>
  </property>
</Properties>
</file>