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9D61" w14:textId="77777777" w:rsidR="004806D3" w:rsidRDefault="007D4DF3" w:rsidP="004806D3">
      <w:pPr>
        <w:spacing w:after="0" w:line="240" w:lineRule="auto"/>
        <w:rPr>
          <w:sz w:val="28"/>
          <w:szCs w:val="28"/>
        </w:rPr>
      </w:pPr>
      <w:r>
        <w:rPr>
          <w:rFonts w:ascii="Aptos" w:eastAsia="Aptos" w:hAnsi="Aptos" w:cs="Times New Roman"/>
          <w:sz w:val="28"/>
          <w:szCs w:val="28"/>
        </w:rPr>
        <w:t>Izjava o nediskriminaciji u okviru zdravstvenog sistema ARMC</w:t>
      </w:r>
    </w:p>
    <w:p w14:paraId="37D86423" w14:textId="77777777" w:rsidR="004806D3" w:rsidRDefault="004806D3" w:rsidP="004806D3">
      <w:pPr>
        <w:spacing w:after="0" w:line="240" w:lineRule="auto"/>
        <w:rPr>
          <w:sz w:val="28"/>
          <w:szCs w:val="28"/>
        </w:rPr>
      </w:pPr>
    </w:p>
    <w:p w14:paraId="03865AA6" w14:textId="77777777" w:rsidR="004806D3" w:rsidRDefault="007D4DF3" w:rsidP="004806D3">
      <w:pPr>
        <w:spacing w:after="0" w:line="240" w:lineRule="auto"/>
      </w:pPr>
      <w:r>
        <w:rPr>
          <w:rFonts w:ascii="Aptos" w:eastAsia="Aptos" w:hAnsi="Aptos" w:cs="Times New Roman"/>
        </w:rPr>
        <w:t xml:space="preserve">Zdravstveni sistem ARMC (koji se sastoji od Regionalnog medicinskog centra Ashtabula (ARMC), ARMC Home Health i </w:t>
      </w:r>
      <w:r>
        <w:rPr>
          <w:rFonts w:ascii="Aptos" w:eastAsia="Aptos" w:hAnsi="Aptos" w:cs="Times New Roman"/>
        </w:rPr>
        <w:t>bolnice i ambulantnih centara Glenbeigh) u skladu je sa svim važećim saveznim zakonima o građanskim pravima, uključujući Član 1557 Zakona o pristupačnoj njezi. Zdravstveni sistem ARMC ne diskriminira na osnovu rase, boje kože, nacionalnog porijekla (uključ</w:t>
      </w:r>
      <w:r>
        <w:rPr>
          <w:rFonts w:ascii="Aptos" w:eastAsia="Aptos" w:hAnsi="Aptos" w:cs="Times New Roman"/>
        </w:rPr>
        <w:t>ujući ograničeno znanje engleskog i primarnog jezika), spola (u skladu s obimom spolne diskriminacije opisanim u 45 CFR § 92.101(a)(2)), dobi ili invaliditeta.</w:t>
      </w:r>
    </w:p>
    <w:p w14:paraId="5450542A" w14:textId="77777777" w:rsidR="004806D3" w:rsidRDefault="004806D3" w:rsidP="004806D3">
      <w:pPr>
        <w:spacing w:after="0" w:line="240" w:lineRule="auto"/>
      </w:pPr>
    </w:p>
    <w:p w14:paraId="28B9C280" w14:textId="77777777" w:rsidR="004806D3" w:rsidRDefault="007D4DF3" w:rsidP="004806D3">
      <w:pPr>
        <w:spacing w:after="0" w:line="240" w:lineRule="auto"/>
      </w:pPr>
      <w:r>
        <w:rPr>
          <w:rFonts w:ascii="Aptos" w:eastAsia="Aptos" w:hAnsi="Aptos" w:cs="Times New Roman"/>
        </w:rPr>
        <w:t>U skladu sa članom</w:t>
      </w:r>
      <w:r>
        <w:rPr>
          <w:rFonts w:ascii="Aptos" w:eastAsia="Aptos" w:hAnsi="Aptos" w:cs="Times New Roman"/>
        </w:rPr>
        <w:t xml:space="preserve"> 1557 i drugim saveznim zakonima o građanskim pravima, pojedincima pružamo sljedeće pravovremeno i besplatno:</w:t>
      </w:r>
    </w:p>
    <w:p w14:paraId="796769E9" w14:textId="77777777" w:rsidR="004806D3" w:rsidRDefault="004806D3" w:rsidP="004806D3">
      <w:pPr>
        <w:spacing w:after="0" w:line="240" w:lineRule="auto"/>
      </w:pPr>
    </w:p>
    <w:p w14:paraId="0F56FF71" w14:textId="77777777" w:rsidR="004806D3" w:rsidRDefault="007D4DF3" w:rsidP="004806D3">
      <w:pPr>
        <w:spacing w:after="0" w:line="240" w:lineRule="auto"/>
      </w:pPr>
      <w:r>
        <w:rPr>
          <w:rFonts w:ascii="Aptos" w:eastAsia="Aptos" w:hAnsi="Aptos" w:cs="Times New Roman"/>
          <w:b/>
          <w:bCs/>
        </w:rPr>
        <w:t>Usluge jezičke pomoći</w:t>
      </w:r>
      <w:r>
        <w:rPr>
          <w:rFonts w:ascii="Aptos" w:eastAsia="Aptos" w:hAnsi="Aptos" w:cs="Times New Roman"/>
        </w:rPr>
        <w:t>: Zdravstveni sistem ARMC će pružati usluge jezičke pomoći osobama s ograničenim znanjem engleskog jezika (uključujući i pratioce osoba s ograničenim znanjem engleskog jezika) kako bi se osigurao smislen pristup našim programi</w:t>
      </w:r>
      <w:r>
        <w:rPr>
          <w:rFonts w:ascii="Aptos" w:eastAsia="Aptos" w:hAnsi="Aptos" w:cs="Times New Roman"/>
        </w:rPr>
        <w:t>ma, aktivnostima, uslugama i drugim pogodnostima. Usluge jezičke pomoći mogu uključivati:</w:t>
      </w:r>
    </w:p>
    <w:p w14:paraId="179245D4" w14:textId="77777777" w:rsidR="004806D3" w:rsidRDefault="007D4DF3" w:rsidP="004806D3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ptos" w:eastAsia="Aptos" w:hAnsi="Aptos" w:cs="Times New Roman"/>
        </w:rPr>
        <w:t>elektronske i pisane prevedene dokumente</w:t>
      </w:r>
    </w:p>
    <w:p w14:paraId="618D9D32" w14:textId="77777777" w:rsidR="004806D3" w:rsidRDefault="007D4DF3" w:rsidP="004806D3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ptos" w:eastAsia="Aptos" w:hAnsi="Aptos" w:cs="Times New Roman"/>
        </w:rPr>
        <w:t>kvalifikovane prevodioce</w:t>
      </w:r>
    </w:p>
    <w:p w14:paraId="10D47670" w14:textId="77777777" w:rsidR="004806D3" w:rsidRDefault="004806D3" w:rsidP="004806D3">
      <w:pPr>
        <w:spacing w:after="0" w:line="240" w:lineRule="auto"/>
      </w:pPr>
    </w:p>
    <w:p w14:paraId="41D0500C" w14:textId="77777777" w:rsidR="004806D3" w:rsidRDefault="007D4DF3" w:rsidP="004806D3">
      <w:pPr>
        <w:spacing w:after="0" w:line="240" w:lineRule="auto"/>
      </w:pPr>
      <w:r>
        <w:rPr>
          <w:rFonts w:ascii="Aptos" w:eastAsia="Aptos" w:hAnsi="Aptos" w:cs="Times New Roman"/>
          <w:b/>
          <w:bCs/>
        </w:rPr>
        <w:t>Pružanje usluga jezičke pomoći i odgovarajućih pomoćnih sredstava i usluga</w:t>
      </w:r>
      <w:r>
        <w:rPr>
          <w:rFonts w:ascii="Aptos" w:eastAsia="Aptos" w:hAnsi="Aptos" w:cs="Times New Roman"/>
        </w:rPr>
        <w:t xml:space="preserve">: Zdravstveni sistem ARMC će pružati usluge jezičke pomoći i odgovarajuća pomoćna sredstva i usluge za osobe s invaliditetom (uključujući i pratioce osoba s invaliditetom) kako bi se osigurala efikasna komunikacija. Odgovarajuća </w:t>
      </w:r>
      <w:r>
        <w:rPr>
          <w:rFonts w:ascii="Aptos" w:eastAsia="Aptos" w:hAnsi="Aptos" w:cs="Times New Roman"/>
        </w:rPr>
        <w:t>pomoćna sredstva i usluge mogu uključivati:</w:t>
      </w:r>
    </w:p>
    <w:p w14:paraId="6F9BC063" w14:textId="77777777" w:rsidR="004806D3" w:rsidRDefault="007D4DF3" w:rsidP="004806D3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Aptos" w:eastAsia="Aptos" w:hAnsi="Aptos" w:cs="Times New Roman"/>
        </w:rPr>
        <w:t>kvalifikovane prevodioce, uključujući prevodioce za američki znakovni jezik</w:t>
      </w:r>
    </w:p>
    <w:p w14:paraId="4530829C" w14:textId="77777777" w:rsidR="004806D3" w:rsidRDefault="007D4DF3" w:rsidP="004806D3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Aptos" w:eastAsia="Aptos" w:hAnsi="Aptos" w:cs="Times New Roman"/>
        </w:rPr>
        <w:t>video prevođenje na daljinu</w:t>
      </w:r>
    </w:p>
    <w:p w14:paraId="710F8332" w14:textId="77777777" w:rsidR="004806D3" w:rsidRDefault="007D4DF3" w:rsidP="004806D3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Aptos" w:eastAsia="Aptos" w:hAnsi="Aptos" w:cs="Times New Roman"/>
        </w:rPr>
        <w:t xml:space="preserve">informacije u alternativnim formatima (uključujući, ali ne ograničavajući se na materijal štampan velikim slovima, snimljeni audio i </w:t>
      </w:r>
      <w:r>
        <w:rPr>
          <w:rFonts w:ascii="Aptos" w:eastAsia="Aptos" w:hAnsi="Aptos" w:cs="Times New Roman"/>
        </w:rPr>
        <w:t>pristupačne elektronske formate)</w:t>
      </w:r>
    </w:p>
    <w:p w14:paraId="7B28FDE9" w14:textId="77777777" w:rsidR="004806D3" w:rsidRDefault="004806D3" w:rsidP="004806D3">
      <w:pPr>
        <w:spacing w:after="0" w:line="240" w:lineRule="auto"/>
      </w:pPr>
    </w:p>
    <w:p w14:paraId="6EA1D172" w14:textId="77777777" w:rsidR="004806D3" w:rsidRDefault="007D4DF3" w:rsidP="004806D3">
      <w:pPr>
        <w:spacing w:after="0" w:line="240" w:lineRule="auto"/>
      </w:pPr>
      <w:r>
        <w:rPr>
          <w:rFonts w:ascii="Aptos" w:eastAsia="Aptos" w:hAnsi="Aptos" w:cs="Times New Roman"/>
          <w:b/>
          <w:bCs/>
        </w:rPr>
        <w:t>Razumne modifikacije:</w:t>
      </w:r>
      <w:r>
        <w:rPr>
          <w:rFonts w:ascii="Aptos" w:eastAsia="Aptos" w:hAnsi="Aptos" w:cs="Times New Roman"/>
        </w:rPr>
        <w:t xml:space="preserve"> Zdravstveni sistem ARMC će obezbijediti razumn</w:t>
      </w:r>
      <w:r>
        <w:rPr>
          <w:rFonts w:ascii="Aptos" w:eastAsia="Aptos" w:hAnsi="Aptos" w:cs="Times New Roman"/>
        </w:rPr>
        <w:t>e modifikacije za kvalifikovane osobe sa invaliditetom, kada je to potrebno kako bi se osigurala pristupačnost i jednake mogućnosti učešća u našim programima, aktivnostima, uslugama ili drugim pogodnostima.</w:t>
      </w:r>
    </w:p>
    <w:p w14:paraId="50ED01B7" w14:textId="77777777" w:rsidR="00C743E0" w:rsidRDefault="00C743E0" w:rsidP="004806D3">
      <w:pPr>
        <w:spacing w:after="0" w:line="240" w:lineRule="auto"/>
      </w:pPr>
    </w:p>
    <w:p w14:paraId="2F67BAB3" w14:textId="77777777" w:rsidR="00C743E0" w:rsidRDefault="007D4DF3" w:rsidP="004806D3">
      <w:pPr>
        <w:spacing w:after="0" w:line="240" w:lineRule="auto"/>
      </w:pPr>
      <w:r>
        <w:rPr>
          <w:rFonts w:ascii="Aptos" w:eastAsia="Aptos" w:hAnsi="Aptos" w:cs="Times New Roman"/>
        </w:rPr>
        <w:t>Za pristup našim uslugama jezičke pomoći, pomoćnim sredstvima i uslugama te za pomoć pri dobivanju razumne modifikacije, obratite se članu svog tima za njegu. Za dodatnu pomoć, možete se obratiti i nadzorniku medicinskih sestar</w:t>
      </w:r>
      <w:r>
        <w:rPr>
          <w:rFonts w:ascii="Aptos" w:eastAsia="Aptos" w:hAnsi="Aptos" w:cs="Times New Roman"/>
        </w:rPr>
        <w:t xml:space="preserve">a putem svog tima za njegu. </w:t>
      </w:r>
    </w:p>
    <w:p w14:paraId="39722A1D" w14:textId="77777777" w:rsidR="00C743E0" w:rsidRDefault="00C743E0" w:rsidP="004806D3">
      <w:pPr>
        <w:spacing w:after="0" w:line="240" w:lineRule="auto"/>
      </w:pPr>
    </w:p>
    <w:p w14:paraId="6BC66024" w14:textId="77777777" w:rsidR="00C743E0" w:rsidRDefault="007D4DF3" w:rsidP="004806D3">
      <w:pPr>
        <w:spacing w:after="0" w:line="240" w:lineRule="auto"/>
      </w:pPr>
      <w:r>
        <w:rPr>
          <w:rFonts w:ascii="Aptos" w:eastAsia="Aptos" w:hAnsi="Aptos" w:cs="Times New Roman"/>
        </w:rPr>
        <w:t xml:space="preserve">Ako smatrate da zdravstveni sistem ARMC nije pružio ove usluge ili je na drugi način diskriminirao na osnovu rase, boje kože, nacionalnog porijekla, </w:t>
      </w:r>
      <w:r>
        <w:rPr>
          <w:rFonts w:ascii="Aptos" w:eastAsia="Aptos" w:hAnsi="Aptos" w:cs="Times New Roman"/>
        </w:rPr>
        <w:t xml:space="preserve">spola, dobi ili invaliditeta, možete podnijeti žalbu kontakt osobi navedenoj u nastavku: </w:t>
      </w:r>
    </w:p>
    <w:p w14:paraId="34633B77" w14:textId="77777777" w:rsidR="00C743E0" w:rsidRDefault="00C743E0" w:rsidP="004806D3">
      <w:pPr>
        <w:spacing w:after="0" w:line="240" w:lineRule="auto"/>
      </w:pPr>
    </w:p>
    <w:p w14:paraId="5DED1DC5" w14:textId="77777777" w:rsidR="00C743E0" w:rsidRDefault="007D4DF3" w:rsidP="004806D3">
      <w:pPr>
        <w:spacing w:after="0" w:line="240" w:lineRule="auto"/>
      </w:pPr>
      <w:r>
        <w:rPr>
          <w:rFonts w:ascii="Aptos" w:eastAsia="Aptos" w:hAnsi="Aptos" w:cs="Times New Roman"/>
        </w:rPr>
        <w:t>Ombudsman</w:t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  <w:t>Direktor kvaliteta</w:t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  <w:t>Menadžer kvaliteta</w:t>
      </w:r>
    </w:p>
    <w:p w14:paraId="6C9BEABA" w14:textId="77777777" w:rsidR="00C743E0" w:rsidRDefault="007D4DF3" w:rsidP="004806D3">
      <w:pPr>
        <w:spacing w:after="0" w:line="240" w:lineRule="auto"/>
      </w:pPr>
      <w:r>
        <w:rPr>
          <w:rFonts w:ascii="Aptos" w:eastAsia="Aptos" w:hAnsi="Aptos" w:cs="Times New Roman"/>
        </w:rPr>
        <w:t xml:space="preserve">Regionalni medicinski centar Ashtabula </w:t>
      </w:r>
      <w:r>
        <w:rPr>
          <w:rFonts w:ascii="Aptos" w:eastAsia="Aptos" w:hAnsi="Aptos" w:cs="Times New Roman"/>
        </w:rPr>
        <w:tab/>
        <w:t>ARMC Home Health</w:t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  <w:t>Glenbeigh</w:t>
      </w:r>
    </w:p>
    <w:p w14:paraId="3488CB72" w14:textId="77777777" w:rsidR="00C743E0" w:rsidRDefault="007D4DF3" w:rsidP="004806D3">
      <w:pPr>
        <w:spacing w:after="0" w:line="240" w:lineRule="auto"/>
      </w:pPr>
      <w:r>
        <w:rPr>
          <w:rFonts w:ascii="Aptos" w:eastAsia="Aptos" w:hAnsi="Aptos" w:cs="Times New Roman"/>
        </w:rPr>
        <w:t xml:space="preserve">2420 Lake Avenue </w:t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  <w:t>2131 Lake Ave, Ste 2</w:t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  <w:t>2863 State Route 45N</w:t>
      </w:r>
    </w:p>
    <w:p w14:paraId="7EF1A136" w14:textId="5CBBE7DA" w:rsidR="00C743E0" w:rsidRDefault="007D4DF3" w:rsidP="004806D3">
      <w:pPr>
        <w:spacing w:after="0" w:line="240" w:lineRule="auto"/>
      </w:pPr>
      <w:r>
        <w:rPr>
          <w:rFonts w:ascii="Aptos" w:eastAsia="Aptos" w:hAnsi="Aptos" w:cs="Times New Roman"/>
        </w:rPr>
        <w:t xml:space="preserve">Ashtabula, OH 44004 </w:t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>Ashtabula, OH 44004</w:t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>Rock Creek, OH 44084</w:t>
      </w:r>
    </w:p>
    <w:p w14:paraId="16C29BCA" w14:textId="2FBA7F9F" w:rsidR="000E1316" w:rsidRDefault="007D4DF3" w:rsidP="004806D3">
      <w:pPr>
        <w:spacing w:after="0" w:line="240" w:lineRule="auto"/>
      </w:pPr>
      <w:r>
        <w:rPr>
          <w:rFonts w:ascii="Aptos" w:eastAsia="Aptos" w:hAnsi="Aptos" w:cs="Times New Roman"/>
        </w:rPr>
        <w:t>440-997-2262</w:t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  <w:t>440-992-4633</w:t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>440-563-3400</w:t>
      </w:r>
    </w:p>
    <w:p w14:paraId="42DF61EF" w14:textId="77777777" w:rsidR="00C743E0" w:rsidRDefault="00C743E0" w:rsidP="004806D3">
      <w:pPr>
        <w:spacing w:after="0" w:line="240" w:lineRule="auto"/>
      </w:pPr>
    </w:p>
    <w:p w14:paraId="0EBCE797" w14:textId="77777777" w:rsidR="00C743E0" w:rsidRDefault="007D4DF3" w:rsidP="004806D3">
      <w:pPr>
        <w:spacing w:after="0" w:line="240" w:lineRule="auto"/>
      </w:pPr>
      <w:r>
        <w:rPr>
          <w:rFonts w:ascii="Aptos" w:eastAsia="Aptos" w:hAnsi="Aptos" w:cs="Times New Roman"/>
        </w:rPr>
        <w:lastRenderedPageBreak/>
        <w:t xml:space="preserve">Ili možete podnijeti žalbu Ministarstvu zdravstva i socijalnih usluga SAD-a, Uredu za građanska prava na </w:t>
      </w:r>
      <w:hyperlink r:id="rId7" w:history="1">
        <w:r>
          <w:rPr>
            <w:rFonts w:ascii="Aptos" w:eastAsia="Aptos" w:hAnsi="Aptos" w:cs="Times New Roman"/>
            <w:color w:val="467886"/>
            <w:u w:val="single"/>
          </w:rPr>
          <w:t>https://ocrportal.hhs.gov/ocr/smartscreen/main.jsf</w:t>
        </w:r>
      </w:hyperlink>
      <w:r>
        <w:rPr>
          <w:rFonts w:ascii="Aptos" w:eastAsia="Aptos" w:hAnsi="Aptos" w:cs="Times New Roman"/>
        </w:rPr>
        <w:t xml:space="preserve"> ili poštom na:</w:t>
      </w:r>
    </w:p>
    <w:p w14:paraId="000D5690" w14:textId="77777777" w:rsidR="00C743E0" w:rsidRDefault="00C743E0" w:rsidP="004806D3">
      <w:pPr>
        <w:spacing w:after="0" w:line="240" w:lineRule="auto"/>
      </w:pPr>
    </w:p>
    <w:p w14:paraId="1ABE8976" w14:textId="77777777" w:rsidR="00C743E0" w:rsidRDefault="007D4DF3" w:rsidP="004806D3">
      <w:pPr>
        <w:spacing w:after="0" w:line="240" w:lineRule="auto"/>
      </w:pPr>
      <w:r>
        <w:rPr>
          <w:rFonts w:ascii="Aptos" w:eastAsia="Aptos" w:hAnsi="Aptos" w:cs="Times New Roman"/>
        </w:rPr>
        <w:t>US Department of Health and Human Services</w:t>
      </w:r>
    </w:p>
    <w:p w14:paraId="1AAC41B9" w14:textId="77777777" w:rsidR="00C743E0" w:rsidRDefault="007D4DF3" w:rsidP="004806D3">
      <w:pPr>
        <w:spacing w:after="0" w:line="240" w:lineRule="auto"/>
      </w:pPr>
      <w:r>
        <w:rPr>
          <w:rFonts w:ascii="Aptos" w:eastAsia="Aptos" w:hAnsi="Aptos" w:cs="Times New Roman"/>
        </w:rPr>
        <w:t>200 Independence Avenue, SW – 509F</w:t>
      </w:r>
    </w:p>
    <w:p w14:paraId="5D620CC1" w14:textId="77777777" w:rsidR="00C743E0" w:rsidRDefault="007D4DF3" w:rsidP="004806D3">
      <w:pPr>
        <w:spacing w:after="0" w:line="240" w:lineRule="auto"/>
      </w:pPr>
      <w:r>
        <w:rPr>
          <w:rFonts w:ascii="Aptos" w:eastAsia="Aptos" w:hAnsi="Aptos" w:cs="Times New Roman"/>
        </w:rPr>
        <w:t>Washington, DC 20201</w:t>
      </w:r>
    </w:p>
    <w:p w14:paraId="15902AF2" w14:textId="77777777" w:rsidR="00E93BB0" w:rsidRDefault="00E93BB0" w:rsidP="004806D3">
      <w:pPr>
        <w:spacing w:after="0" w:line="240" w:lineRule="auto"/>
      </w:pPr>
    </w:p>
    <w:p w14:paraId="56CC4FCB" w14:textId="77777777" w:rsidR="00E93BB0" w:rsidRDefault="00E93BB0" w:rsidP="004806D3">
      <w:pPr>
        <w:spacing w:after="0" w:line="240" w:lineRule="auto"/>
      </w:pPr>
    </w:p>
    <w:p w14:paraId="771DFC54" w14:textId="77777777" w:rsidR="00E93BB0" w:rsidRDefault="00E93BB0" w:rsidP="004806D3">
      <w:pPr>
        <w:spacing w:after="0" w:line="240" w:lineRule="auto"/>
      </w:pPr>
    </w:p>
    <w:p w14:paraId="54661DB2" w14:textId="77777777" w:rsidR="00E93BB0" w:rsidRDefault="00E93BB0" w:rsidP="004806D3">
      <w:pPr>
        <w:spacing w:after="0" w:line="240" w:lineRule="auto"/>
      </w:pPr>
    </w:p>
    <w:p w14:paraId="6C8E272E" w14:textId="77777777" w:rsidR="00E93BB0" w:rsidRPr="004806D3" w:rsidRDefault="007D4DF3" w:rsidP="004806D3">
      <w:pPr>
        <w:spacing w:after="0" w:line="240" w:lineRule="auto"/>
      </w:pPr>
      <w:r>
        <w:rPr>
          <w:noProof/>
        </w:rPr>
        <w:drawing>
          <wp:inline distT="0" distB="0" distL="0" distR="0" wp14:anchorId="5FC44245" wp14:editId="072F3B65">
            <wp:extent cx="1638300" cy="814112"/>
            <wp:effectExtent l="0" t="0" r="0" b="5080"/>
            <wp:docPr id="11711208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208" name="Picture 3" descr="A close-up of a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32" cy="81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1F0AC" w14:textId="77777777" w:rsidR="00E93BB0" w:rsidRDefault="00E93BB0">
      <w:pPr>
        <w:rPr>
          <w:sz w:val="28"/>
          <w:szCs w:val="28"/>
        </w:rPr>
      </w:pPr>
    </w:p>
    <w:p w14:paraId="27FAABC3" w14:textId="77777777" w:rsidR="00E93BB0" w:rsidRDefault="007D4DF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063B81" wp14:editId="1C2584FA">
            <wp:extent cx="1666875" cy="609038"/>
            <wp:effectExtent l="0" t="0" r="0" b="635"/>
            <wp:docPr id="619484483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84483" name="Picture 2" descr="A black background with a black squar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769" cy="6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C10EF" w14:textId="77777777" w:rsidR="00E93BB0" w:rsidRPr="00E93BB0" w:rsidRDefault="00E93BB0">
      <w:pPr>
        <w:rPr>
          <w:sz w:val="20"/>
          <w:szCs w:val="20"/>
        </w:rPr>
      </w:pPr>
    </w:p>
    <w:p w14:paraId="3C428A66" w14:textId="77777777" w:rsidR="00E93BB0" w:rsidRPr="004806D3" w:rsidRDefault="007D4DF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6B3EBD" wp14:editId="3B52C349">
            <wp:extent cx="1766967" cy="661035"/>
            <wp:effectExtent l="0" t="0" r="5080" b="5715"/>
            <wp:docPr id="1046497325" name="Picture 4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97325" name="Picture 4" descr="A close-up of a sign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871" cy="6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BB0" w:rsidRPr="004806D3" w:rsidSect="00C743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2A71" w14:textId="77777777" w:rsidR="00000000" w:rsidRDefault="007D4DF3">
      <w:pPr>
        <w:spacing w:after="0" w:line="240" w:lineRule="auto"/>
      </w:pPr>
      <w:r>
        <w:separator/>
      </w:r>
    </w:p>
  </w:endnote>
  <w:endnote w:type="continuationSeparator" w:id="0">
    <w:p w14:paraId="3126780D" w14:textId="77777777" w:rsidR="00000000" w:rsidRDefault="007D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D756" w14:textId="77777777" w:rsidR="00771492" w:rsidRDefault="000D68F6">
    <w:pPr>
      <w:pStyle w:val="Footer"/>
    </w:pPr>
    <w:r>
      <w:fldChar w:fldCharType="begin"/>
    </w:r>
    <w:r w:rsidR="007D4DF3">
      <w:instrText xml:space="preserve"> DOCPROPERTY DOCXDOCID DMS=InterwovenIManage Format=&lt;&lt;NUM&gt;&gt; _&lt;&lt;VER&gt;&gt; PRESERVELOCATION \* MERGEFORMAT </w:instrText>
    </w:r>
    <w:r>
      <w:fldChar w:fldCharType="separate"/>
    </w:r>
    <w:r w:rsidR="007D4DF3">
      <w:rPr>
        <w:rFonts w:ascii="Aptos" w:eastAsia="Aptos" w:hAnsi="Aptos" w:cs="Times New Roman"/>
      </w:rPr>
      <w:t>23477426 _1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0EBF" w14:textId="77777777" w:rsidR="00771492" w:rsidRDefault="000D68F6">
    <w:pPr>
      <w:pStyle w:val="Footer"/>
    </w:pPr>
    <w:r>
      <w:fldChar w:fldCharType="begin"/>
    </w:r>
    <w:r w:rsidR="007D4DF3">
      <w:instrText xml:space="preserve"> DOCPROPERTY DOCXDOCID DMS=InterwovenIManage Format=&lt;&lt;NUM&gt;&gt; _&lt;</w:instrText>
    </w:r>
    <w:r w:rsidR="007D4DF3">
      <w:instrText xml:space="preserve">&lt;VER&gt;&gt; PRESERVELOCATION \* MERGEFORMAT </w:instrText>
    </w:r>
    <w:r>
      <w:fldChar w:fldCharType="separate"/>
    </w:r>
    <w:r w:rsidR="007D4DF3">
      <w:rPr>
        <w:rFonts w:ascii="Aptos" w:eastAsia="Aptos" w:hAnsi="Aptos" w:cs="Times New Roman"/>
      </w:rPr>
      <w:t>23477426 _1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8B7F" w14:textId="77777777" w:rsidR="00771492" w:rsidRDefault="000D68F6">
    <w:pPr>
      <w:pStyle w:val="Footer"/>
    </w:pPr>
    <w:r>
      <w:fldChar w:fldCharType="begin"/>
    </w:r>
    <w:r w:rsidR="007D4DF3">
      <w:instrText xml:space="preserve"> DOCPROPERTY DOCXDOCID DMS=InterwovenIManage Format=&lt;&lt;NUM&gt;&gt; _&lt;&lt;VER&gt;&gt; PRESERVELOCATION \* MERGEFORMAT </w:instrText>
    </w:r>
    <w:r>
      <w:fldChar w:fldCharType="separate"/>
    </w:r>
    <w:r w:rsidR="007D4DF3">
      <w:rPr>
        <w:rFonts w:ascii="Aptos" w:eastAsia="Aptos" w:hAnsi="Aptos" w:cs="Times New Roman"/>
      </w:rPr>
      <w:t>23477426 _1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8D33" w14:textId="77777777" w:rsidR="00000000" w:rsidRDefault="007D4DF3">
      <w:pPr>
        <w:spacing w:after="0" w:line="240" w:lineRule="auto"/>
      </w:pPr>
      <w:r>
        <w:separator/>
      </w:r>
    </w:p>
  </w:footnote>
  <w:footnote w:type="continuationSeparator" w:id="0">
    <w:p w14:paraId="1C84E599" w14:textId="77777777" w:rsidR="00000000" w:rsidRDefault="007D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27D3" w14:textId="77777777" w:rsidR="00771492" w:rsidRDefault="00771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2CB9" w14:textId="77777777" w:rsidR="00771492" w:rsidRDefault="00771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A65E" w14:textId="77777777" w:rsidR="00771492" w:rsidRDefault="00771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3FC"/>
    <w:multiLevelType w:val="hybridMultilevel"/>
    <w:tmpl w:val="E02CA3F2"/>
    <w:lvl w:ilvl="0" w:tplc="7E52A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83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89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A7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EE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62D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42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A7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286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62D8"/>
    <w:multiLevelType w:val="hybridMultilevel"/>
    <w:tmpl w:val="94C84740"/>
    <w:lvl w:ilvl="0" w:tplc="A6488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8B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CD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48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CD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A3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67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E5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61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56"/>
    <w:rsid w:val="000D68F6"/>
    <w:rsid w:val="000E1316"/>
    <w:rsid w:val="00100D03"/>
    <w:rsid w:val="00105AD1"/>
    <w:rsid w:val="0016698B"/>
    <w:rsid w:val="001701E8"/>
    <w:rsid w:val="00184D5A"/>
    <w:rsid w:val="001D52F3"/>
    <w:rsid w:val="003066CA"/>
    <w:rsid w:val="003D328A"/>
    <w:rsid w:val="004806D3"/>
    <w:rsid w:val="00493863"/>
    <w:rsid w:val="00620E89"/>
    <w:rsid w:val="006E0466"/>
    <w:rsid w:val="006E32A6"/>
    <w:rsid w:val="007702EA"/>
    <w:rsid w:val="00771492"/>
    <w:rsid w:val="00775720"/>
    <w:rsid w:val="007D4DF3"/>
    <w:rsid w:val="00881B25"/>
    <w:rsid w:val="008966B9"/>
    <w:rsid w:val="00932A56"/>
    <w:rsid w:val="00983A46"/>
    <w:rsid w:val="00A507F5"/>
    <w:rsid w:val="00A90142"/>
    <w:rsid w:val="00BF37E1"/>
    <w:rsid w:val="00C14643"/>
    <w:rsid w:val="00C44D9F"/>
    <w:rsid w:val="00C4562C"/>
    <w:rsid w:val="00C743E0"/>
    <w:rsid w:val="00DA4D77"/>
    <w:rsid w:val="00DB38E6"/>
    <w:rsid w:val="00E93BB0"/>
    <w:rsid w:val="00F14250"/>
    <w:rsid w:val="00F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D813"/>
  <w15:chartTrackingRefBased/>
  <w15:docId w15:val="{DC252CD9-19CE-4154-B819-CA41278C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A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43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3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92"/>
  </w:style>
  <w:style w:type="paragraph" w:styleId="Footer">
    <w:name w:val="footer"/>
    <w:basedOn w:val="Normal"/>
    <w:link w:val="Foot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92"/>
  </w:style>
  <w:style w:type="paragraph" w:styleId="Revision">
    <w:name w:val="Revision"/>
    <w:hidden/>
    <w:uiPriority w:val="99"/>
    <w:semiHidden/>
    <w:rsid w:val="00770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crportal.hhs.gov/ocr/smartscreen/main.js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Ashtabula County Medical Center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US2109504</dc:subject>
  <dc:creator>Tina Stasiewski</dc:creator>
  <cp:lastPrinted>2025-07-08T17:39:00Z</cp:lastPrinted>
  <dcterms:created xsi:type="dcterms:W3CDTF">2025-07-08T17:39:00Z</dcterms:created>
  <dcterms:modified xsi:type="dcterms:W3CDTF">2025-07-18T21:59:00Z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23477426 _1</vt:lpwstr>
  </property>
  <property fmtid="{D5CDD505-2E9C-101B-9397-08002B2CF9AE}" pid="3" name="DocXFormat">
    <vt:lpwstr>DefaultFormat</vt:lpwstr>
  </property>
  <property fmtid="{D5CDD505-2E9C-101B-9397-08002B2CF9AE}" pid="4" name="DocXLocation">
    <vt:lpwstr>Every Page</vt:lpwstr>
  </property>
</Properties>
</file>