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FE178" w14:textId="77777777" w:rsidR="004806D3" w:rsidRPr="00B43FB7" w:rsidRDefault="004509D4" w:rsidP="00B43FB7">
      <w:pPr>
        <w:spacing w:after="0" w:line="240" w:lineRule="auto"/>
        <w:jc w:val="both"/>
        <w:rPr>
          <w:sz w:val="32"/>
          <w:szCs w:val="32"/>
        </w:rPr>
      </w:pPr>
      <w:bookmarkStart w:id="0" w:name="_GoBack"/>
      <w:bookmarkEnd w:id="0"/>
      <w:r w:rsidRPr="00B43FB7">
        <w:rPr>
          <w:rFonts w:ascii="Aptos" w:eastAsia="Aptos" w:hAnsi="Aptos" w:cs="Times New Roman"/>
          <w:sz w:val="32"/>
          <w:szCs w:val="32"/>
          <w:lang w:val="pt-BR"/>
        </w:rPr>
        <w:t>Declaração de não discriminação do sistema de saúde do ARMC</w:t>
      </w:r>
    </w:p>
    <w:p w14:paraId="01F9974F" w14:textId="77777777" w:rsidR="004806D3" w:rsidRPr="00B43FB7" w:rsidRDefault="004806D3" w:rsidP="00B43FB7">
      <w:pPr>
        <w:spacing w:after="0" w:line="240" w:lineRule="auto"/>
        <w:jc w:val="both"/>
      </w:pPr>
    </w:p>
    <w:p w14:paraId="5F2E5597" w14:textId="2F3429AD" w:rsidR="004806D3" w:rsidRPr="00B43FB7" w:rsidRDefault="004509D4" w:rsidP="00B43FB7">
      <w:pPr>
        <w:spacing w:after="0" w:line="240" w:lineRule="auto"/>
        <w:jc w:val="both"/>
      </w:pPr>
      <w:r w:rsidRPr="00B43FB7">
        <w:rPr>
          <w:rFonts w:ascii="Aptos" w:eastAsia="Aptos" w:hAnsi="Aptos" w:cs="Times New Roman"/>
          <w:lang w:val="pt-BR"/>
        </w:rPr>
        <w:t xml:space="preserve">O sistema de saúde do ARMC (constituído pelo </w:t>
      </w:r>
      <w:r w:rsidR="00B43FB7" w:rsidRPr="00B43FB7">
        <w:rPr>
          <w:rFonts w:ascii="Aptos" w:eastAsia="Aptos" w:hAnsi="Aptos" w:cs="Times New Roman"/>
          <w:lang w:val="pt-BR"/>
        </w:rPr>
        <w:t>Centro Médico Regional de Ashtabula</w:t>
      </w:r>
      <w:r w:rsidR="00F407AE">
        <w:rPr>
          <w:rFonts w:ascii="Aptos" w:eastAsia="Aptos" w:hAnsi="Aptos" w:cs="Times New Roman"/>
          <w:lang w:val="pt-BR"/>
        </w:rPr>
        <w:t xml:space="preserve"> </w:t>
      </w:r>
      <w:r w:rsidR="00B43FB7" w:rsidRPr="00B43FB7">
        <w:rPr>
          <w:rFonts w:ascii="Aptos" w:eastAsia="Aptos" w:hAnsi="Aptos" w:cs="Times New Roman"/>
          <w:lang w:val="pt-BR"/>
        </w:rPr>
        <w:t>[</w:t>
      </w:r>
      <w:r w:rsidRPr="00B43FB7">
        <w:rPr>
          <w:rFonts w:ascii="Aptos" w:eastAsia="Aptos" w:hAnsi="Aptos" w:cs="Times New Roman"/>
          <w:lang w:val="pt-BR"/>
        </w:rPr>
        <w:t>Ashtabula Regional Medical Center</w:t>
      </w:r>
      <w:r w:rsidR="00B43FB7" w:rsidRPr="00B43FB7">
        <w:rPr>
          <w:rFonts w:ascii="Aptos" w:eastAsia="Aptos" w:hAnsi="Aptos" w:cs="Times New Roman"/>
          <w:lang w:val="pt-BR"/>
        </w:rPr>
        <w:t xml:space="preserve">, </w:t>
      </w:r>
      <w:r w:rsidRPr="00B43FB7">
        <w:rPr>
          <w:rFonts w:ascii="Aptos" w:eastAsia="Aptos" w:hAnsi="Aptos" w:cs="Times New Roman"/>
          <w:lang w:val="pt-BR"/>
        </w:rPr>
        <w:t>ARMC], o auxílio domiciliar de saúde do ARMC e o Glenbeigh Hospital and Outpatient Centers [Hospital e Centro</w:t>
      </w:r>
      <w:r w:rsidR="00B43FB7" w:rsidRPr="00B43FB7">
        <w:rPr>
          <w:rFonts w:ascii="Aptos" w:eastAsia="Aptos" w:hAnsi="Aptos" w:cs="Times New Roman"/>
          <w:lang w:val="pt-BR"/>
        </w:rPr>
        <w:t>s</w:t>
      </w:r>
      <w:r w:rsidRPr="00B43FB7">
        <w:rPr>
          <w:rFonts w:ascii="Aptos" w:eastAsia="Aptos" w:hAnsi="Aptos" w:cs="Times New Roman"/>
          <w:lang w:val="pt-BR"/>
        </w:rPr>
        <w:t xml:space="preserve"> </w:t>
      </w:r>
      <w:r w:rsidR="00B43FB7" w:rsidRPr="00B43FB7">
        <w:rPr>
          <w:rFonts w:ascii="Aptos" w:eastAsia="Aptos" w:hAnsi="Aptos" w:cs="Times New Roman"/>
          <w:lang w:val="pt-BR"/>
        </w:rPr>
        <w:t>Ambulatoriais</w:t>
      </w:r>
      <w:r w:rsidRPr="00B43FB7">
        <w:rPr>
          <w:rFonts w:ascii="Aptos" w:eastAsia="Aptos" w:hAnsi="Aptos" w:cs="Times New Roman"/>
          <w:lang w:val="pt-BR"/>
        </w:rPr>
        <w:t xml:space="preserve"> </w:t>
      </w:r>
      <w:r w:rsidR="00B43FB7" w:rsidRPr="00B43FB7">
        <w:rPr>
          <w:rFonts w:ascii="Aptos" w:eastAsia="Aptos" w:hAnsi="Aptos" w:cs="Times New Roman"/>
          <w:lang w:val="pt-BR"/>
        </w:rPr>
        <w:t xml:space="preserve">de </w:t>
      </w:r>
      <w:r w:rsidRPr="00B43FB7">
        <w:rPr>
          <w:rFonts w:ascii="Aptos" w:eastAsia="Aptos" w:hAnsi="Aptos" w:cs="Times New Roman"/>
          <w:lang w:val="pt-BR"/>
        </w:rPr>
        <w:t>Glenbeigh]) cumpre todas as normas federais aplicáveis de direitos civis, incluindo a Seção 1557 da “Affordable Care Act” (Lei de Saúde Acessível). O sistema de saúde do ARMC não discrimina com base em raça, cor, nacionalidade (incluindo proficiência limitada em inglês e idioma principal) e sexo (o que é compatível dentro do âmbito de discriminação sexual, descrito no item 45 do código de regulamentações federais dos EUA [Code of Federal Regulations, CFR]), § 92.101[a][2]), idade ou deficiência.</w:t>
      </w:r>
    </w:p>
    <w:p w14:paraId="0F965BED" w14:textId="77777777" w:rsidR="004806D3" w:rsidRPr="00B43FB7" w:rsidRDefault="004806D3" w:rsidP="00B43FB7">
      <w:pPr>
        <w:spacing w:after="0" w:line="240" w:lineRule="auto"/>
        <w:jc w:val="both"/>
      </w:pPr>
    </w:p>
    <w:p w14:paraId="165143F4" w14:textId="77777777" w:rsidR="004806D3" w:rsidRPr="00B43FB7" w:rsidRDefault="004509D4" w:rsidP="00B43FB7">
      <w:pPr>
        <w:spacing w:after="0" w:line="240" w:lineRule="auto"/>
        <w:jc w:val="both"/>
      </w:pPr>
      <w:r w:rsidRPr="00B43FB7">
        <w:rPr>
          <w:rFonts w:ascii="Aptos" w:eastAsia="Aptos" w:hAnsi="Aptos" w:cs="Times New Roman"/>
          <w:lang w:val="pt-BR"/>
        </w:rPr>
        <w:t>Em conformidade com a Seção 1557 e outras normas federais de direitos civis, fornecemos aos indivíduos o seguinte, de maneira oportuna e gratuita:</w:t>
      </w:r>
    </w:p>
    <w:p w14:paraId="46A8AB9A" w14:textId="77777777" w:rsidR="004806D3" w:rsidRPr="00B43FB7" w:rsidRDefault="004806D3" w:rsidP="00B43FB7">
      <w:pPr>
        <w:spacing w:after="0" w:line="240" w:lineRule="auto"/>
        <w:jc w:val="both"/>
      </w:pPr>
    </w:p>
    <w:p w14:paraId="4FCC031E" w14:textId="77777777" w:rsidR="004806D3" w:rsidRPr="00B43FB7" w:rsidRDefault="004509D4" w:rsidP="00B43FB7">
      <w:pPr>
        <w:spacing w:after="0" w:line="240" w:lineRule="auto"/>
        <w:jc w:val="both"/>
      </w:pPr>
      <w:r w:rsidRPr="00B43FB7">
        <w:rPr>
          <w:rFonts w:ascii="Aptos" w:eastAsia="Aptos" w:hAnsi="Aptos" w:cs="Times New Roman"/>
          <w:b/>
          <w:bCs/>
          <w:lang w:val="pt-BR"/>
        </w:rPr>
        <w:t>Serviços de assistência em outros idiomas:</w:t>
      </w:r>
      <w:r w:rsidRPr="00B43FB7">
        <w:rPr>
          <w:rFonts w:ascii="Aptos" w:eastAsia="Aptos" w:hAnsi="Aptos" w:cs="Times New Roman"/>
          <w:lang w:val="pt-BR"/>
        </w:rPr>
        <w:t xml:space="preserve"> </w:t>
      </w:r>
      <w:r w:rsidR="00B43FB7" w:rsidRPr="00B43FB7">
        <w:rPr>
          <w:rFonts w:ascii="Aptos" w:eastAsia="Aptos" w:hAnsi="Aptos" w:cs="Times New Roman"/>
          <w:lang w:val="pt-BR"/>
        </w:rPr>
        <w:t>o</w:t>
      </w:r>
      <w:r w:rsidRPr="00B43FB7">
        <w:rPr>
          <w:rFonts w:ascii="Aptos" w:eastAsia="Aptos" w:hAnsi="Aptos" w:cs="Times New Roman"/>
          <w:lang w:val="pt-BR"/>
        </w:rPr>
        <w:t xml:space="preserve"> sistema de saúde do ARMC oferecerá serviços de assistência em outros idiomas para indivíduos com proficiência limitada em inglês (incluindo acompanhantes de indivíduos com proficiência limitada em inglês) para garantir amplo acesso a nossos programas, atividades, serviços e outros benefícios. Os serviços de assistência em outros idiomas podem incluir:</w:t>
      </w:r>
    </w:p>
    <w:p w14:paraId="60A07D5F" w14:textId="77777777" w:rsidR="004806D3" w:rsidRPr="00B43FB7" w:rsidRDefault="004509D4" w:rsidP="00B43FB7">
      <w:pPr>
        <w:pStyle w:val="ListParagraph"/>
        <w:numPr>
          <w:ilvl w:val="0"/>
          <w:numId w:val="1"/>
        </w:numPr>
        <w:spacing w:after="0" w:line="240" w:lineRule="auto"/>
        <w:jc w:val="both"/>
      </w:pPr>
      <w:r w:rsidRPr="00B43FB7">
        <w:rPr>
          <w:rFonts w:ascii="Aptos" w:eastAsia="Aptos" w:hAnsi="Aptos" w:cs="Times New Roman"/>
          <w:lang w:val="pt-BR"/>
        </w:rPr>
        <w:t>Documentos traduzidos por escrito e eletrônicos</w:t>
      </w:r>
    </w:p>
    <w:p w14:paraId="07F69FCC" w14:textId="77777777" w:rsidR="004806D3" w:rsidRPr="00B43FB7" w:rsidRDefault="004509D4" w:rsidP="00B43FB7">
      <w:pPr>
        <w:pStyle w:val="ListParagraph"/>
        <w:numPr>
          <w:ilvl w:val="0"/>
          <w:numId w:val="1"/>
        </w:numPr>
        <w:spacing w:after="0" w:line="240" w:lineRule="auto"/>
        <w:jc w:val="both"/>
      </w:pPr>
      <w:r w:rsidRPr="00B43FB7">
        <w:rPr>
          <w:rFonts w:ascii="Aptos" w:eastAsia="Aptos" w:hAnsi="Aptos" w:cs="Times New Roman"/>
          <w:lang w:val="pt-BR"/>
        </w:rPr>
        <w:t>Intérpretes qualificados</w:t>
      </w:r>
    </w:p>
    <w:p w14:paraId="1B5D195F" w14:textId="77777777" w:rsidR="004806D3" w:rsidRPr="00B43FB7" w:rsidRDefault="004806D3" w:rsidP="00B43FB7">
      <w:pPr>
        <w:spacing w:after="0" w:line="240" w:lineRule="auto"/>
        <w:jc w:val="both"/>
      </w:pPr>
    </w:p>
    <w:p w14:paraId="5DA31732" w14:textId="77777777" w:rsidR="004806D3" w:rsidRPr="00B43FB7" w:rsidRDefault="004509D4" w:rsidP="00B43FB7">
      <w:pPr>
        <w:spacing w:after="0" w:line="240" w:lineRule="auto"/>
        <w:jc w:val="both"/>
      </w:pPr>
      <w:r w:rsidRPr="00B43FB7">
        <w:rPr>
          <w:rFonts w:ascii="Aptos" w:eastAsia="Aptos" w:hAnsi="Aptos" w:cs="Times New Roman"/>
          <w:b/>
          <w:bCs/>
          <w:lang w:val="pt-BR"/>
        </w:rPr>
        <w:t>Prestação de serviços de assistência em outros idiomas e suporte e serviços auxiliares adequados:</w:t>
      </w:r>
      <w:r w:rsidRPr="00B43FB7">
        <w:rPr>
          <w:rFonts w:ascii="Aptos" w:eastAsia="Aptos" w:hAnsi="Aptos" w:cs="Times New Roman"/>
          <w:lang w:val="pt-BR"/>
        </w:rPr>
        <w:t xml:space="preserve"> </w:t>
      </w:r>
      <w:r w:rsidR="00B43FB7" w:rsidRPr="00B43FB7">
        <w:rPr>
          <w:rFonts w:ascii="Aptos" w:eastAsia="Aptos" w:hAnsi="Aptos" w:cs="Times New Roman"/>
          <w:lang w:val="pt-BR"/>
        </w:rPr>
        <w:t>o</w:t>
      </w:r>
      <w:r w:rsidRPr="00B43FB7">
        <w:rPr>
          <w:rFonts w:ascii="Aptos" w:eastAsia="Aptos" w:hAnsi="Aptos" w:cs="Times New Roman"/>
          <w:lang w:val="pt-BR"/>
        </w:rPr>
        <w:t xml:space="preserve"> sistema de saúde do ARMC oferecerá serviços de assistência em outros idiomas e suporte e serviços auxiliares adequados para indivíduos com deficiência (incluindo acompanhantes de indivíduos com deficiência) para garantir uma comunicação eficaz. Suporte e serviços auxiliares apropriados podem incluir:</w:t>
      </w:r>
    </w:p>
    <w:p w14:paraId="54BDB028" w14:textId="77777777" w:rsidR="004806D3" w:rsidRPr="00B43FB7" w:rsidRDefault="004509D4" w:rsidP="00B43FB7">
      <w:pPr>
        <w:pStyle w:val="ListParagraph"/>
        <w:numPr>
          <w:ilvl w:val="0"/>
          <w:numId w:val="2"/>
        </w:numPr>
        <w:spacing w:after="0" w:line="240" w:lineRule="auto"/>
        <w:jc w:val="both"/>
      </w:pPr>
      <w:r w:rsidRPr="00B43FB7">
        <w:rPr>
          <w:rFonts w:ascii="Aptos" w:eastAsia="Aptos" w:hAnsi="Aptos" w:cs="Times New Roman"/>
          <w:lang w:val="pt-BR"/>
        </w:rPr>
        <w:t>Intérpretes qualificados, incluindo intérpretes da linguagem de sinais dos EUA</w:t>
      </w:r>
    </w:p>
    <w:p w14:paraId="0C1BC3F4" w14:textId="77777777" w:rsidR="004806D3" w:rsidRPr="00B43FB7" w:rsidRDefault="004509D4" w:rsidP="00B43FB7">
      <w:pPr>
        <w:pStyle w:val="ListParagraph"/>
        <w:numPr>
          <w:ilvl w:val="0"/>
          <w:numId w:val="2"/>
        </w:numPr>
        <w:spacing w:after="0" w:line="240" w:lineRule="auto"/>
        <w:jc w:val="both"/>
      </w:pPr>
      <w:r w:rsidRPr="00B43FB7">
        <w:rPr>
          <w:rFonts w:ascii="Aptos" w:eastAsia="Aptos" w:hAnsi="Aptos" w:cs="Times New Roman"/>
          <w:lang w:val="pt-BR"/>
        </w:rPr>
        <w:t>Interpretação remota por vídeo</w:t>
      </w:r>
    </w:p>
    <w:p w14:paraId="20391DD1" w14:textId="77777777" w:rsidR="004806D3" w:rsidRPr="00B43FB7" w:rsidRDefault="004509D4" w:rsidP="00B43FB7">
      <w:pPr>
        <w:pStyle w:val="ListParagraph"/>
        <w:numPr>
          <w:ilvl w:val="0"/>
          <w:numId w:val="2"/>
        </w:numPr>
        <w:spacing w:after="0" w:line="240" w:lineRule="auto"/>
        <w:jc w:val="both"/>
      </w:pPr>
      <w:r w:rsidRPr="00B43FB7">
        <w:rPr>
          <w:rFonts w:ascii="Aptos" w:eastAsia="Aptos" w:hAnsi="Aptos" w:cs="Times New Roman"/>
          <w:lang w:val="pt-BR"/>
        </w:rPr>
        <w:t>Informações em formatos alternativos (como, entre outros, impressão em maior escala, áudio gravado e formatos eletrônicos acessíveis)</w:t>
      </w:r>
    </w:p>
    <w:p w14:paraId="4A399AEA" w14:textId="77777777" w:rsidR="004806D3" w:rsidRPr="00B43FB7" w:rsidRDefault="004806D3" w:rsidP="00B43FB7">
      <w:pPr>
        <w:spacing w:after="0" w:line="240" w:lineRule="auto"/>
        <w:jc w:val="both"/>
      </w:pPr>
    </w:p>
    <w:p w14:paraId="1EF8E17F" w14:textId="77777777" w:rsidR="004806D3" w:rsidRPr="00B43FB7" w:rsidRDefault="004509D4" w:rsidP="00B43FB7">
      <w:pPr>
        <w:spacing w:after="0" w:line="240" w:lineRule="auto"/>
        <w:jc w:val="both"/>
      </w:pPr>
      <w:r w:rsidRPr="00B43FB7">
        <w:rPr>
          <w:rFonts w:ascii="Aptos" w:eastAsia="Aptos" w:hAnsi="Aptos" w:cs="Times New Roman"/>
          <w:b/>
          <w:bCs/>
          <w:lang w:val="pt-BR"/>
        </w:rPr>
        <w:t>Modificações razoáveis:</w:t>
      </w:r>
      <w:r w:rsidRPr="00B43FB7">
        <w:rPr>
          <w:rFonts w:ascii="Aptos" w:eastAsia="Aptos" w:hAnsi="Aptos" w:cs="Times New Roman"/>
          <w:lang w:val="pt-BR"/>
        </w:rPr>
        <w:t xml:space="preserve"> </w:t>
      </w:r>
      <w:r w:rsidR="00B43FB7" w:rsidRPr="00B43FB7">
        <w:rPr>
          <w:rFonts w:ascii="Aptos" w:eastAsia="Aptos" w:hAnsi="Aptos" w:cs="Times New Roman"/>
          <w:lang w:val="pt-BR"/>
        </w:rPr>
        <w:t>o</w:t>
      </w:r>
      <w:r w:rsidRPr="00B43FB7">
        <w:rPr>
          <w:rFonts w:ascii="Aptos" w:eastAsia="Aptos" w:hAnsi="Aptos" w:cs="Times New Roman"/>
          <w:lang w:val="pt-BR"/>
        </w:rPr>
        <w:t xml:space="preserve"> sistema de saúde do ARMC fornecerá modificações razoáveis para indivíduos qualificados com deficiências, quando necessário, de modo a garantir a acessibilidade e a igualdade de oportunidades na participação de nossos programas, atividades, serviços ou outros benefícios.</w:t>
      </w:r>
    </w:p>
    <w:p w14:paraId="4CEF7A7C" w14:textId="77777777" w:rsidR="00C743E0" w:rsidRPr="00B43FB7" w:rsidRDefault="00C743E0" w:rsidP="00B43FB7">
      <w:pPr>
        <w:spacing w:after="0" w:line="240" w:lineRule="auto"/>
        <w:jc w:val="both"/>
      </w:pPr>
    </w:p>
    <w:p w14:paraId="1A3ACD7A" w14:textId="77777777" w:rsidR="00C743E0" w:rsidRPr="00B43FB7" w:rsidRDefault="004509D4" w:rsidP="00B43FB7">
      <w:pPr>
        <w:spacing w:after="0" w:line="240" w:lineRule="auto"/>
        <w:jc w:val="both"/>
      </w:pPr>
      <w:r w:rsidRPr="00B43FB7">
        <w:rPr>
          <w:rFonts w:ascii="Aptos" w:eastAsia="Aptos" w:hAnsi="Aptos" w:cs="Times New Roman"/>
          <w:lang w:val="pt-BR"/>
        </w:rPr>
        <w:t xml:space="preserve">Para acessar nossos serviços de assistência em outros idiomas e suporte e serviços auxiliares e para ter ajuda na obtenção de uma modificação razoável, entre em contato com um membro da sua equipe de cuidados. Para obter mais assistência, você também pode entrar em contato com o supervisor de enfermagem por meio da sua equipe de cuidados. </w:t>
      </w:r>
    </w:p>
    <w:p w14:paraId="5CE98069" w14:textId="77777777" w:rsidR="00C743E0" w:rsidRPr="00B43FB7" w:rsidRDefault="00C743E0" w:rsidP="00B43FB7">
      <w:pPr>
        <w:spacing w:after="0" w:line="240" w:lineRule="auto"/>
        <w:jc w:val="both"/>
      </w:pPr>
    </w:p>
    <w:p w14:paraId="04F013BD" w14:textId="77777777" w:rsidR="00C743E0" w:rsidRPr="00B43FB7" w:rsidRDefault="004509D4" w:rsidP="00B43FB7">
      <w:pPr>
        <w:spacing w:after="0" w:line="240" w:lineRule="auto"/>
        <w:jc w:val="both"/>
      </w:pPr>
      <w:r w:rsidRPr="00B43FB7">
        <w:rPr>
          <w:rFonts w:ascii="Aptos" w:eastAsia="Aptos" w:hAnsi="Aptos" w:cs="Times New Roman"/>
          <w:lang w:val="pt-BR"/>
        </w:rPr>
        <w:t xml:space="preserve">Se você acredita que o sistema de saúde do ARMC não forneceu esses serviços ou praticou discriminação de outra forma com base em raça, cor, nacionalidade, sexo, idade ou deficiência, você pode apresentar uma queixa ao contato da entidade abaixo: </w:t>
      </w:r>
    </w:p>
    <w:p w14:paraId="0931FA1A" w14:textId="43C8F6E0" w:rsidR="00C743E0" w:rsidRDefault="00C743E0" w:rsidP="00B43FB7">
      <w:pPr>
        <w:spacing w:after="0" w:line="240" w:lineRule="auto"/>
        <w:jc w:val="both"/>
      </w:pPr>
    </w:p>
    <w:p w14:paraId="0FB3C732" w14:textId="77777777" w:rsidR="00F407AE" w:rsidRPr="00B43FB7" w:rsidRDefault="00F407AE" w:rsidP="00B43FB7">
      <w:pPr>
        <w:spacing w:after="0" w:line="240" w:lineRule="auto"/>
        <w:jc w:val="both"/>
      </w:pPr>
    </w:p>
    <w:p w14:paraId="5D547303" w14:textId="77777777" w:rsidR="00C743E0" w:rsidRPr="00B43FB7" w:rsidRDefault="004509D4" w:rsidP="00B43FB7">
      <w:pPr>
        <w:spacing w:after="0" w:line="240" w:lineRule="auto"/>
      </w:pPr>
      <w:r w:rsidRPr="00B43FB7">
        <w:rPr>
          <w:rFonts w:ascii="Aptos" w:eastAsia="Aptos" w:hAnsi="Aptos" w:cs="Times New Roman"/>
          <w:lang w:val="pt-BR"/>
        </w:rPr>
        <w:lastRenderedPageBreak/>
        <w:t>Ouvidoria</w:t>
      </w:r>
      <w:r w:rsidRPr="00B43FB7">
        <w:rPr>
          <w:rFonts w:ascii="Aptos" w:eastAsia="Aptos" w:hAnsi="Aptos" w:cs="Times New Roman"/>
          <w:lang w:val="pt-BR"/>
        </w:rPr>
        <w:tab/>
      </w:r>
      <w:r w:rsidRPr="00B43FB7">
        <w:rPr>
          <w:rFonts w:ascii="Aptos" w:eastAsia="Aptos" w:hAnsi="Aptos" w:cs="Times New Roman"/>
          <w:lang w:val="pt-BR"/>
        </w:rPr>
        <w:tab/>
      </w:r>
      <w:r w:rsidRPr="00B43FB7">
        <w:rPr>
          <w:rFonts w:ascii="Aptos" w:eastAsia="Aptos" w:hAnsi="Aptos" w:cs="Times New Roman"/>
          <w:lang w:val="pt-BR"/>
        </w:rPr>
        <w:tab/>
      </w:r>
      <w:r w:rsidRPr="00B43FB7">
        <w:rPr>
          <w:rFonts w:ascii="Aptos" w:eastAsia="Aptos" w:hAnsi="Aptos" w:cs="Times New Roman"/>
          <w:lang w:val="pt-BR"/>
        </w:rPr>
        <w:tab/>
      </w:r>
      <w:r w:rsidRPr="00B43FB7">
        <w:rPr>
          <w:rFonts w:ascii="Aptos" w:eastAsia="Aptos" w:hAnsi="Aptos" w:cs="Times New Roman"/>
          <w:lang w:val="pt-BR"/>
        </w:rPr>
        <w:tab/>
        <w:t>Diretor de Qualidade</w:t>
      </w:r>
      <w:r w:rsidRPr="00B43FB7">
        <w:rPr>
          <w:rFonts w:ascii="Aptos" w:eastAsia="Aptos" w:hAnsi="Aptos" w:cs="Times New Roman"/>
          <w:lang w:val="pt-BR"/>
        </w:rPr>
        <w:tab/>
      </w:r>
      <w:r w:rsidRPr="00B43FB7">
        <w:rPr>
          <w:rFonts w:ascii="Aptos" w:eastAsia="Aptos" w:hAnsi="Aptos" w:cs="Times New Roman"/>
          <w:lang w:val="pt-BR"/>
        </w:rPr>
        <w:tab/>
        <w:t>Gerente de Qualidade</w:t>
      </w:r>
    </w:p>
    <w:p w14:paraId="0BCD2371" w14:textId="7EED7824" w:rsidR="00C743E0" w:rsidRPr="00B43FB7" w:rsidRDefault="004509D4" w:rsidP="00B43FB7">
      <w:pPr>
        <w:spacing w:after="0" w:line="240" w:lineRule="auto"/>
      </w:pPr>
      <w:r w:rsidRPr="00B43FB7">
        <w:rPr>
          <w:rFonts w:ascii="Aptos" w:eastAsia="Aptos" w:hAnsi="Aptos" w:cs="Times New Roman"/>
          <w:lang w:val="pt-BR"/>
        </w:rPr>
        <w:t xml:space="preserve">Ashtabula Regional Medical Center </w:t>
      </w:r>
      <w:r w:rsidR="00F407AE">
        <w:rPr>
          <w:rFonts w:ascii="Aptos" w:eastAsia="Aptos" w:hAnsi="Aptos" w:cs="Times New Roman"/>
          <w:lang w:val="pt-BR"/>
        </w:rPr>
        <w:tab/>
      </w:r>
      <w:r w:rsidRPr="00B43FB7">
        <w:rPr>
          <w:rFonts w:ascii="Aptos" w:eastAsia="Aptos" w:hAnsi="Aptos" w:cs="Times New Roman"/>
          <w:lang w:val="pt-BR"/>
        </w:rPr>
        <w:tab/>
        <w:t>ARMC Home Health</w:t>
      </w:r>
      <w:r w:rsidRPr="00B43FB7">
        <w:rPr>
          <w:rFonts w:ascii="Aptos" w:eastAsia="Aptos" w:hAnsi="Aptos" w:cs="Times New Roman"/>
          <w:lang w:val="pt-BR"/>
        </w:rPr>
        <w:tab/>
      </w:r>
      <w:r w:rsidRPr="00B43FB7">
        <w:rPr>
          <w:rFonts w:ascii="Aptos" w:eastAsia="Aptos" w:hAnsi="Aptos" w:cs="Times New Roman"/>
          <w:lang w:val="pt-BR"/>
        </w:rPr>
        <w:tab/>
        <w:t>Glenbeigh</w:t>
      </w:r>
    </w:p>
    <w:p w14:paraId="57D5685C" w14:textId="77777777" w:rsidR="00C743E0" w:rsidRPr="00B43FB7" w:rsidRDefault="004509D4" w:rsidP="00B43FB7">
      <w:pPr>
        <w:spacing w:after="0" w:line="240" w:lineRule="auto"/>
      </w:pPr>
      <w:r w:rsidRPr="00B43FB7">
        <w:rPr>
          <w:rFonts w:ascii="Aptos" w:eastAsia="Aptos" w:hAnsi="Aptos" w:cs="Times New Roman"/>
          <w:lang w:val="pt-BR"/>
        </w:rPr>
        <w:t xml:space="preserve">2420 Lake Avenue </w:t>
      </w:r>
      <w:r w:rsidRPr="00B43FB7">
        <w:rPr>
          <w:rFonts w:ascii="Aptos" w:eastAsia="Aptos" w:hAnsi="Aptos" w:cs="Times New Roman"/>
          <w:lang w:val="pt-BR"/>
        </w:rPr>
        <w:tab/>
      </w:r>
      <w:r w:rsidRPr="00B43FB7">
        <w:rPr>
          <w:rFonts w:ascii="Aptos" w:eastAsia="Aptos" w:hAnsi="Aptos" w:cs="Times New Roman"/>
          <w:lang w:val="pt-BR"/>
        </w:rPr>
        <w:tab/>
      </w:r>
      <w:r w:rsidRPr="00B43FB7">
        <w:rPr>
          <w:rFonts w:ascii="Aptos" w:eastAsia="Aptos" w:hAnsi="Aptos" w:cs="Times New Roman"/>
          <w:lang w:val="pt-BR"/>
        </w:rPr>
        <w:tab/>
      </w:r>
      <w:r w:rsidRPr="00B43FB7">
        <w:rPr>
          <w:rFonts w:ascii="Aptos" w:eastAsia="Aptos" w:hAnsi="Aptos" w:cs="Times New Roman"/>
          <w:lang w:val="pt-BR"/>
        </w:rPr>
        <w:tab/>
        <w:t>2131 Lake Ave, Ste 2</w:t>
      </w:r>
      <w:r w:rsidRPr="00B43FB7">
        <w:rPr>
          <w:rFonts w:ascii="Aptos" w:eastAsia="Aptos" w:hAnsi="Aptos" w:cs="Times New Roman"/>
          <w:lang w:val="pt-BR"/>
        </w:rPr>
        <w:tab/>
      </w:r>
      <w:r w:rsidRPr="00B43FB7">
        <w:rPr>
          <w:rFonts w:ascii="Aptos" w:eastAsia="Aptos" w:hAnsi="Aptos" w:cs="Times New Roman"/>
          <w:lang w:val="pt-BR"/>
        </w:rPr>
        <w:tab/>
        <w:t>2863 State Route 45N EUA</w:t>
      </w:r>
    </w:p>
    <w:p w14:paraId="3111881C" w14:textId="7F7FBE73" w:rsidR="00C743E0" w:rsidRPr="00B43FB7" w:rsidRDefault="004509D4" w:rsidP="00B43FB7">
      <w:pPr>
        <w:spacing w:after="0" w:line="240" w:lineRule="auto"/>
      </w:pPr>
      <w:r w:rsidRPr="00B43FB7">
        <w:rPr>
          <w:rFonts w:ascii="Aptos" w:eastAsia="Aptos" w:hAnsi="Aptos" w:cs="Times New Roman"/>
          <w:lang w:val="pt-BR"/>
        </w:rPr>
        <w:t xml:space="preserve">Ashtabula, OH 44004 </w:t>
      </w:r>
      <w:r w:rsidRPr="00B43FB7">
        <w:rPr>
          <w:rFonts w:ascii="Aptos" w:eastAsia="Aptos" w:hAnsi="Aptos" w:cs="Times New Roman"/>
          <w:lang w:val="pt-BR"/>
        </w:rPr>
        <w:tab/>
      </w:r>
      <w:r w:rsidRPr="00B43FB7">
        <w:rPr>
          <w:rFonts w:ascii="Aptos" w:eastAsia="Aptos" w:hAnsi="Aptos" w:cs="Times New Roman"/>
          <w:lang w:val="pt-BR"/>
        </w:rPr>
        <w:tab/>
      </w:r>
      <w:r w:rsidRPr="00B43FB7">
        <w:rPr>
          <w:rFonts w:ascii="Aptos" w:eastAsia="Aptos" w:hAnsi="Aptos" w:cs="Times New Roman"/>
          <w:lang w:val="pt-BR"/>
        </w:rPr>
        <w:tab/>
      </w:r>
      <w:r w:rsidR="00F407AE">
        <w:rPr>
          <w:rFonts w:ascii="Aptos" w:eastAsia="Aptos" w:hAnsi="Aptos" w:cs="Times New Roman"/>
          <w:lang w:val="pt-BR"/>
        </w:rPr>
        <w:tab/>
      </w:r>
      <w:r w:rsidRPr="00B43FB7">
        <w:rPr>
          <w:rFonts w:ascii="Aptos" w:eastAsia="Aptos" w:hAnsi="Aptos" w:cs="Times New Roman"/>
          <w:lang w:val="pt-BR"/>
        </w:rPr>
        <w:t>Ashtabula, OH 44004</w:t>
      </w:r>
      <w:r w:rsidRPr="00B43FB7">
        <w:rPr>
          <w:rFonts w:ascii="Aptos" w:eastAsia="Aptos" w:hAnsi="Aptos" w:cs="Times New Roman"/>
          <w:lang w:val="pt-BR"/>
        </w:rPr>
        <w:tab/>
      </w:r>
      <w:r w:rsidR="00F407AE">
        <w:rPr>
          <w:rFonts w:ascii="Aptos" w:eastAsia="Aptos" w:hAnsi="Aptos" w:cs="Times New Roman"/>
          <w:lang w:val="pt-BR"/>
        </w:rPr>
        <w:tab/>
      </w:r>
      <w:r w:rsidRPr="00B43FB7">
        <w:rPr>
          <w:rFonts w:ascii="Aptos" w:eastAsia="Aptos" w:hAnsi="Aptos" w:cs="Times New Roman"/>
          <w:lang w:val="pt-BR"/>
        </w:rPr>
        <w:t>Rock Creek, OH 44084 EUA</w:t>
      </w:r>
    </w:p>
    <w:p w14:paraId="089F693A" w14:textId="62BA4619" w:rsidR="000E1316" w:rsidRPr="00B43FB7" w:rsidRDefault="004509D4" w:rsidP="00B43FB7">
      <w:pPr>
        <w:spacing w:after="0" w:line="240" w:lineRule="auto"/>
      </w:pPr>
      <w:r w:rsidRPr="00B43FB7">
        <w:rPr>
          <w:rFonts w:ascii="Aptos" w:eastAsia="Aptos" w:hAnsi="Aptos" w:cs="Times New Roman"/>
          <w:lang w:val="pt-BR"/>
        </w:rPr>
        <w:t>440-997-2262</w:t>
      </w:r>
      <w:r w:rsidRPr="00B43FB7">
        <w:rPr>
          <w:rFonts w:ascii="Aptos" w:eastAsia="Aptos" w:hAnsi="Aptos" w:cs="Times New Roman"/>
          <w:lang w:val="pt-BR"/>
        </w:rPr>
        <w:tab/>
      </w:r>
      <w:r w:rsidRPr="00B43FB7">
        <w:rPr>
          <w:rFonts w:ascii="Aptos" w:eastAsia="Aptos" w:hAnsi="Aptos" w:cs="Times New Roman"/>
          <w:lang w:val="pt-BR"/>
        </w:rPr>
        <w:tab/>
      </w:r>
      <w:r w:rsidRPr="00B43FB7">
        <w:rPr>
          <w:rFonts w:ascii="Aptos" w:eastAsia="Aptos" w:hAnsi="Aptos" w:cs="Times New Roman"/>
          <w:lang w:val="pt-BR"/>
        </w:rPr>
        <w:tab/>
      </w:r>
      <w:r w:rsidRPr="00B43FB7">
        <w:rPr>
          <w:rFonts w:ascii="Aptos" w:eastAsia="Aptos" w:hAnsi="Aptos" w:cs="Times New Roman"/>
          <w:lang w:val="pt-BR"/>
        </w:rPr>
        <w:tab/>
      </w:r>
      <w:r w:rsidR="00F407AE">
        <w:rPr>
          <w:rFonts w:ascii="Aptos" w:eastAsia="Aptos" w:hAnsi="Aptos" w:cs="Times New Roman"/>
          <w:lang w:val="pt-BR"/>
        </w:rPr>
        <w:tab/>
      </w:r>
      <w:r w:rsidRPr="00B43FB7">
        <w:rPr>
          <w:rFonts w:ascii="Aptos" w:eastAsia="Aptos" w:hAnsi="Aptos" w:cs="Times New Roman"/>
          <w:lang w:val="pt-BR"/>
        </w:rPr>
        <w:t>440-992-4633</w:t>
      </w:r>
      <w:r w:rsidRPr="00B43FB7">
        <w:rPr>
          <w:rFonts w:ascii="Aptos" w:eastAsia="Aptos" w:hAnsi="Aptos" w:cs="Times New Roman"/>
          <w:lang w:val="pt-BR"/>
        </w:rPr>
        <w:tab/>
      </w:r>
      <w:r w:rsidRPr="00B43FB7">
        <w:rPr>
          <w:rFonts w:ascii="Aptos" w:eastAsia="Aptos" w:hAnsi="Aptos" w:cs="Times New Roman"/>
          <w:lang w:val="pt-BR"/>
        </w:rPr>
        <w:tab/>
      </w:r>
      <w:r w:rsidR="00F407AE">
        <w:rPr>
          <w:rFonts w:ascii="Aptos" w:eastAsia="Aptos" w:hAnsi="Aptos" w:cs="Times New Roman"/>
          <w:lang w:val="pt-BR"/>
        </w:rPr>
        <w:tab/>
      </w:r>
      <w:r w:rsidRPr="00B43FB7">
        <w:rPr>
          <w:rFonts w:ascii="Aptos" w:eastAsia="Aptos" w:hAnsi="Aptos" w:cs="Times New Roman"/>
          <w:lang w:val="pt-BR"/>
        </w:rPr>
        <w:t>440-563-3400</w:t>
      </w:r>
    </w:p>
    <w:p w14:paraId="66947B62" w14:textId="77777777" w:rsidR="00C743E0" w:rsidRPr="00B43FB7" w:rsidRDefault="00C743E0" w:rsidP="00B43FB7">
      <w:pPr>
        <w:spacing w:after="0" w:line="240" w:lineRule="auto"/>
        <w:jc w:val="both"/>
      </w:pPr>
    </w:p>
    <w:p w14:paraId="694E49F9" w14:textId="77777777" w:rsidR="00C743E0" w:rsidRPr="00B43FB7" w:rsidRDefault="004509D4" w:rsidP="00B43FB7">
      <w:pPr>
        <w:spacing w:after="0" w:line="240" w:lineRule="auto"/>
        <w:jc w:val="both"/>
      </w:pPr>
      <w:r w:rsidRPr="00B43FB7">
        <w:rPr>
          <w:rFonts w:ascii="Aptos" w:eastAsia="Aptos" w:hAnsi="Aptos" w:cs="Times New Roman"/>
          <w:lang w:val="pt-BR"/>
        </w:rPr>
        <w:t xml:space="preserve">Você também pode fazer uma reclamação junto ao Departamento de Saúde e Serviços Humanos dos EUA, Gabinete de Direitos Civis, acessando </w:t>
      </w:r>
      <w:r w:rsidR="00B43FB7" w:rsidRPr="00B43FB7">
        <w:rPr>
          <w:rFonts w:ascii="Aptos" w:eastAsia="Aptos" w:hAnsi="Aptos" w:cs="Times New Roman"/>
          <w:lang w:val="pt-BR"/>
        </w:rPr>
        <w:t xml:space="preserve">o </w:t>
      </w:r>
      <w:hyperlink r:id="rId7" w:history="1">
        <w:r w:rsidRPr="00B43FB7">
          <w:rPr>
            <w:rFonts w:ascii="Aptos" w:eastAsia="Aptos" w:hAnsi="Aptos" w:cs="Times New Roman"/>
            <w:color w:val="467886"/>
            <w:u w:val="single"/>
            <w:lang w:val="pt-BR"/>
          </w:rPr>
          <w:t>https://ocrportal.hhs.gov/ocr/smartscreen/main.jsf</w:t>
        </w:r>
      </w:hyperlink>
      <w:r w:rsidRPr="00B43FB7">
        <w:rPr>
          <w:rFonts w:ascii="Aptos" w:eastAsia="Aptos" w:hAnsi="Aptos" w:cs="Times New Roman"/>
          <w:lang w:val="pt-BR"/>
        </w:rPr>
        <w:t xml:space="preserve"> ou pelo correio, endereçado a:</w:t>
      </w:r>
    </w:p>
    <w:p w14:paraId="7B78BA75" w14:textId="77777777" w:rsidR="00C743E0" w:rsidRPr="00B43FB7" w:rsidRDefault="00C743E0" w:rsidP="00B43FB7">
      <w:pPr>
        <w:spacing w:after="0" w:line="240" w:lineRule="auto"/>
        <w:jc w:val="both"/>
      </w:pPr>
    </w:p>
    <w:p w14:paraId="61961503" w14:textId="77777777" w:rsidR="00C743E0" w:rsidRPr="00B43FB7" w:rsidRDefault="004509D4" w:rsidP="00B43FB7">
      <w:pPr>
        <w:spacing w:after="0" w:line="240" w:lineRule="auto"/>
        <w:jc w:val="both"/>
      </w:pPr>
      <w:r w:rsidRPr="00B43FB7">
        <w:rPr>
          <w:rFonts w:ascii="Aptos" w:eastAsia="Aptos" w:hAnsi="Aptos" w:cs="Times New Roman"/>
          <w:lang w:val="pt-BR"/>
        </w:rPr>
        <w:t>US Department of Health and Human Services</w:t>
      </w:r>
    </w:p>
    <w:p w14:paraId="55B0ED54" w14:textId="77777777" w:rsidR="00C743E0" w:rsidRPr="00B43FB7" w:rsidRDefault="004509D4" w:rsidP="00B43FB7">
      <w:pPr>
        <w:spacing w:after="0" w:line="240" w:lineRule="auto"/>
        <w:jc w:val="both"/>
      </w:pPr>
      <w:r w:rsidRPr="00B43FB7">
        <w:rPr>
          <w:rFonts w:ascii="Aptos" w:eastAsia="Aptos" w:hAnsi="Aptos" w:cs="Times New Roman"/>
          <w:lang w:val="pt-BR"/>
        </w:rPr>
        <w:t>200 Independence Avenue, SW – 509F</w:t>
      </w:r>
    </w:p>
    <w:p w14:paraId="7F8D962A" w14:textId="77777777" w:rsidR="00C743E0" w:rsidRPr="00B43FB7" w:rsidRDefault="004509D4" w:rsidP="00B43FB7">
      <w:pPr>
        <w:spacing w:after="0" w:line="240" w:lineRule="auto"/>
        <w:jc w:val="both"/>
      </w:pPr>
      <w:r w:rsidRPr="00B43FB7">
        <w:rPr>
          <w:rFonts w:ascii="Aptos" w:eastAsia="Aptos" w:hAnsi="Aptos" w:cs="Times New Roman"/>
          <w:lang w:val="pt-BR"/>
        </w:rPr>
        <w:t>Washington, DC 20201</w:t>
      </w:r>
    </w:p>
    <w:p w14:paraId="75C6C39D" w14:textId="77777777" w:rsidR="00E93BB0" w:rsidRPr="00B43FB7" w:rsidRDefault="00E93BB0" w:rsidP="00B43FB7">
      <w:pPr>
        <w:spacing w:after="0" w:line="240" w:lineRule="auto"/>
        <w:jc w:val="both"/>
      </w:pPr>
    </w:p>
    <w:p w14:paraId="654B4FB3" w14:textId="77777777" w:rsidR="00E93BB0" w:rsidRPr="00B43FB7" w:rsidRDefault="00E93BB0" w:rsidP="00B43FB7">
      <w:pPr>
        <w:spacing w:after="0" w:line="240" w:lineRule="auto"/>
        <w:jc w:val="both"/>
      </w:pPr>
    </w:p>
    <w:p w14:paraId="153D7500" w14:textId="77777777" w:rsidR="00E93BB0" w:rsidRPr="00B43FB7" w:rsidRDefault="00E93BB0" w:rsidP="00B43FB7">
      <w:pPr>
        <w:spacing w:after="0" w:line="240" w:lineRule="auto"/>
        <w:jc w:val="both"/>
      </w:pPr>
    </w:p>
    <w:p w14:paraId="71BE34D9" w14:textId="77777777" w:rsidR="00E93BB0" w:rsidRPr="00B43FB7" w:rsidRDefault="004509D4" w:rsidP="00B43FB7">
      <w:pPr>
        <w:spacing w:after="0" w:line="240" w:lineRule="auto"/>
        <w:jc w:val="both"/>
      </w:pPr>
      <w:r w:rsidRPr="00B43FB7">
        <w:rPr>
          <w:noProof/>
          <w:lang w:eastAsia="zh-TW"/>
        </w:rPr>
        <w:drawing>
          <wp:inline distT="0" distB="0" distL="0" distR="0" wp14:anchorId="6B33C0AF" wp14:editId="3B73E04D">
            <wp:extent cx="1638300" cy="814112"/>
            <wp:effectExtent l="0" t="0" r="0" b="5080"/>
            <wp:docPr id="11711208"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208" name="Picture 3" descr="A close-up of a 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932" cy="818401"/>
                    </a:xfrm>
                    <a:prstGeom prst="rect">
                      <a:avLst/>
                    </a:prstGeom>
                  </pic:spPr>
                </pic:pic>
              </a:graphicData>
            </a:graphic>
          </wp:inline>
        </w:drawing>
      </w:r>
    </w:p>
    <w:p w14:paraId="28FE5D59" w14:textId="77777777" w:rsidR="00E93BB0" w:rsidRPr="00B43FB7" w:rsidRDefault="00E93BB0" w:rsidP="00B43FB7">
      <w:pPr>
        <w:jc w:val="both"/>
      </w:pPr>
    </w:p>
    <w:p w14:paraId="414FE431" w14:textId="77777777" w:rsidR="00E93BB0" w:rsidRPr="00B43FB7" w:rsidRDefault="004509D4" w:rsidP="00B43FB7">
      <w:pPr>
        <w:jc w:val="both"/>
      </w:pPr>
      <w:r w:rsidRPr="00B43FB7">
        <w:rPr>
          <w:noProof/>
          <w:lang w:eastAsia="zh-TW"/>
        </w:rPr>
        <w:drawing>
          <wp:inline distT="0" distB="0" distL="0" distR="0" wp14:anchorId="6770C502" wp14:editId="6C42D22A">
            <wp:extent cx="1666875" cy="609038"/>
            <wp:effectExtent l="0" t="0" r="0" b="635"/>
            <wp:docPr id="619484483"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84483" name="Picture 2"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3769" cy="615211"/>
                    </a:xfrm>
                    <a:prstGeom prst="rect">
                      <a:avLst/>
                    </a:prstGeom>
                  </pic:spPr>
                </pic:pic>
              </a:graphicData>
            </a:graphic>
          </wp:inline>
        </w:drawing>
      </w:r>
    </w:p>
    <w:p w14:paraId="30F202DE" w14:textId="77777777" w:rsidR="00E93BB0" w:rsidRPr="00B43FB7" w:rsidRDefault="00E93BB0" w:rsidP="00B43FB7">
      <w:pPr>
        <w:jc w:val="both"/>
      </w:pPr>
    </w:p>
    <w:p w14:paraId="4F64DB09" w14:textId="77777777" w:rsidR="00E93BB0" w:rsidRPr="00B43FB7" w:rsidRDefault="004509D4" w:rsidP="00B43FB7">
      <w:pPr>
        <w:jc w:val="both"/>
      </w:pPr>
      <w:r w:rsidRPr="00B43FB7">
        <w:rPr>
          <w:noProof/>
          <w:lang w:eastAsia="zh-TW"/>
        </w:rPr>
        <w:drawing>
          <wp:inline distT="0" distB="0" distL="0" distR="0" wp14:anchorId="5A857970" wp14:editId="4D9091FB">
            <wp:extent cx="1766967" cy="661035"/>
            <wp:effectExtent l="0" t="0" r="5080" b="5715"/>
            <wp:docPr id="1046497325" name="Picture 4"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97325" name="Picture 4" descr="A close-up of a sig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4871" cy="671474"/>
                    </a:xfrm>
                    <a:prstGeom prst="rect">
                      <a:avLst/>
                    </a:prstGeom>
                  </pic:spPr>
                </pic:pic>
              </a:graphicData>
            </a:graphic>
          </wp:inline>
        </w:drawing>
      </w:r>
    </w:p>
    <w:sectPr w:rsidR="00E93BB0" w:rsidRPr="00B43FB7" w:rsidSect="00C743E0">
      <w:footerReference w:type="even" r:id="rId11"/>
      <w:footerReference w:type="defaul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209E9" w14:textId="77777777" w:rsidR="004509D4" w:rsidRDefault="004509D4">
      <w:pPr>
        <w:spacing w:after="0" w:line="240" w:lineRule="auto"/>
      </w:pPr>
      <w:r>
        <w:separator/>
      </w:r>
    </w:p>
  </w:endnote>
  <w:endnote w:type="continuationSeparator" w:id="0">
    <w:p w14:paraId="0587482D" w14:textId="77777777" w:rsidR="004509D4" w:rsidRDefault="0045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00000001"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A1E28" w14:textId="77777777" w:rsidR="00771492" w:rsidRDefault="000D68F6">
    <w:pPr>
      <w:pStyle w:val="Footer"/>
    </w:pPr>
    <w:r>
      <w:fldChar w:fldCharType="begin"/>
    </w:r>
    <w:r w:rsidR="004509D4">
      <w:instrText xml:space="preserve"> DOCPROPERTY DOCXDOCID DMS=InterwovenIManage Format=&lt;&lt;NUM&gt;&gt; _&lt;&lt;VER&gt;&gt; PRESERVELOCATION \* MERGEFORMAT </w:instrText>
    </w:r>
    <w:r>
      <w:fldChar w:fldCharType="separate"/>
    </w:r>
    <w:r w:rsidR="004509D4">
      <w:rPr>
        <w:rFonts w:ascii="Aptos" w:eastAsia="Aptos" w:hAnsi="Aptos" w:cs="Times New Roman"/>
        <w:lang w:val="pt-BR"/>
      </w:rPr>
      <w:t>23477426 _1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1EDCA" w14:textId="77777777" w:rsidR="00771492" w:rsidRDefault="000D68F6">
    <w:pPr>
      <w:pStyle w:val="Footer"/>
    </w:pPr>
    <w:r>
      <w:fldChar w:fldCharType="begin"/>
    </w:r>
    <w:r w:rsidR="004509D4">
      <w:instrText xml:space="preserve"> DOCPROPERTY DOCXDOCID DMS=InterwovenIManage Format=&lt;&lt;NUM&gt;&gt; _&lt;&lt;VER&gt;&gt; PRESERVELOCATION \* MERGEFORMAT </w:instrText>
    </w:r>
    <w:r>
      <w:fldChar w:fldCharType="separate"/>
    </w:r>
    <w:r w:rsidR="004509D4">
      <w:rPr>
        <w:rFonts w:ascii="Aptos" w:eastAsia="Aptos" w:hAnsi="Aptos" w:cs="Times New Roman"/>
        <w:lang w:val="pt-BR"/>
      </w:rPr>
      <w:t>23477426 _1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234F" w14:textId="77777777" w:rsidR="00771492" w:rsidRDefault="000D68F6">
    <w:pPr>
      <w:pStyle w:val="Footer"/>
    </w:pPr>
    <w:r>
      <w:fldChar w:fldCharType="begin"/>
    </w:r>
    <w:r w:rsidR="004509D4">
      <w:instrText xml:space="preserve"> DOCPROPERTY DOCXDOCID DMS=InterwovenIManage Format=&lt;&lt;NUM&gt;&gt; _&lt;&lt;VER&gt;&gt; PRESERVELOCATION \* MERGEFORMAT </w:instrText>
    </w:r>
    <w:r>
      <w:fldChar w:fldCharType="separate"/>
    </w:r>
    <w:r w:rsidR="004509D4">
      <w:rPr>
        <w:rFonts w:ascii="Aptos" w:eastAsia="Aptos" w:hAnsi="Aptos" w:cs="Times New Roman"/>
        <w:lang w:val="pt-BR"/>
      </w:rPr>
      <w:t>23477426 _1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D3149" w14:textId="77777777" w:rsidR="004509D4" w:rsidRDefault="004509D4">
      <w:pPr>
        <w:spacing w:after="0" w:line="240" w:lineRule="auto"/>
      </w:pPr>
      <w:r>
        <w:separator/>
      </w:r>
    </w:p>
  </w:footnote>
  <w:footnote w:type="continuationSeparator" w:id="0">
    <w:p w14:paraId="14977A3C" w14:textId="77777777" w:rsidR="004509D4" w:rsidRDefault="00450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3FC"/>
    <w:multiLevelType w:val="hybridMultilevel"/>
    <w:tmpl w:val="E02CA3F2"/>
    <w:lvl w:ilvl="0" w:tplc="A1CA640A">
      <w:start w:val="1"/>
      <w:numFmt w:val="bullet"/>
      <w:lvlText w:val=""/>
      <w:lvlJc w:val="left"/>
      <w:pPr>
        <w:ind w:left="720" w:hanging="360"/>
      </w:pPr>
      <w:rPr>
        <w:rFonts w:ascii="Symbol" w:hAnsi="Symbol" w:hint="default"/>
      </w:rPr>
    </w:lvl>
    <w:lvl w:ilvl="1" w:tplc="3BF0BF44" w:tentative="1">
      <w:start w:val="1"/>
      <w:numFmt w:val="bullet"/>
      <w:lvlText w:val="o"/>
      <w:lvlJc w:val="left"/>
      <w:pPr>
        <w:ind w:left="1440" w:hanging="360"/>
      </w:pPr>
      <w:rPr>
        <w:rFonts w:ascii="Courier New" w:hAnsi="Courier New" w:cs="Courier New" w:hint="default"/>
      </w:rPr>
    </w:lvl>
    <w:lvl w:ilvl="2" w:tplc="13142A72" w:tentative="1">
      <w:start w:val="1"/>
      <w:numFmt w:val="bullet"/>
      <w:lvlText w:val=""/>
      <w:lvlJc w:val="left"/>
      <w:pPr>
        <w:ind w:left="2160" w:hanging="360"/>
      </w:pPr>
      <w:rPr>
        <w:rFonts w:ascii="Wingdings" w:hAnsi="Wingdings" w:hint="default"/>
      </w:rPr>
    </w:lvl>
    <w:lvl w:ilvl="3" w:tplc="A560DD04" w:tentative="1">
      <w:start w:val="1"/>
      <w:numFmt w:val="bullet"/>
      <w:lvlText w:val=""/>
      <w:lvlJc w:val="left"/>
      <w:pPr>
        <w:ind w:left="2880" w:hanging="360"/>
      </w:pPr>
      <w:rPr>
        <w:rFonts w:ascii="Symbol" w:hAnsi="Symbol" w:hint="default"/>
      </w:rPr>
    </w:lvl>
    <w:lvl w:ilvl="4" w:tplc="86443E46" w:tentative="1">
      <w:start w:val="1"/>
      <w:numFmt w:val="bullet"/>
      <w:lvlText w:val="o"/>
      <w:lvlJc w:val="left"/>
      <w:pPr>
        <w:ind w:left="3600" w:hanging="360"/>
      </w:pPr>
      <w:rPr>
        <w:rFonts w:ascii="Courier New" w:hAnsi="Courier New" w:cs="Courier New" w:hint="default"/>
      </w:rPr>
    </w:lvl>
    <w:lvl w:ilvl="5" w:tplc="9200B634" w:tentative="1">
      <w:start w:val="1"/>
      <w:numFmt w:val="bullet"/>
      <w:lvlText w:val=""/>
      <w:lvlJc w:val="left"/>
      <w:pPr>
        <w:ind w:left="4320" w:hanging="360"/>
      </w:pPr>
      <w:rPr>
        <w:rFonts w:ascii="Wingdings" w:hAnsi="Wingdings" w:hint="default"/>
      </w:rPr>
    </w:lvl>
    <w:lvl w:ilvl="6" w:tplc="64D0D5F4" w:tentative="1">
      <w:start w:val="1"/>
      <w:numFmt w:val="bullet"/>
      <w:lvlText w:val=""/>
      <w:lvlJc w:val="left"/>
      <w:pPr>
        <w:ind w:left="5040" w:hanging="360"/>
      </w:pPr>
      <w:rPr>
        <w:rFonts w:ascii="Symbol" w:hAnsi="Symbol" w:hint="default"/>
      </w:rPr>
    </w:lvl>
    <w:lvl w:ilvl="7" w:tplc="9DFA226E" w:tentative="1">
      <w:start w:val="1"/>
      <w:numFmt w:val="bullet"/>
      <w:lvlText w:val="o"/>
      <w:lvlJc w:val="left"/>
      <w:pPr>
        <w:ind w:left="5760" w:hanging="360"/>
      </w:pPr>
      <w:rPr>
        <w:rFonts w:ascii="Courier New" w:hAnsi="Courier New" w:cs="Courier New" w:hint="default"/>
      </w:rPr>
    </w:lvl>
    <w:lvl w:ilvl="8" w:tplc="38E4F2E0" w:tentative="1">
      <w:start w:val="1"/>
      <w:numFmt w:val="bullet"/>
      <w:lvlText w:val=""/>
      <w:lvlJc w:val="left"/>
      <w:pPr>
        <w:ind w:left="6480" w:hanging="360"/>
      </w:pPr>
      <w:rPr>
        <w:rFonts w:ascii="Wingdings" w:hAnsi="Wingdings" w:hint="default"/>
      </w:rPr>
    </w:lvl>
  </w:abstractNum>
  <w:abstractNum w:abstractNumId="1" w15:restartNumberingAfterBreak="0">
    <w:nsid w:val="39D562D8"/>
    <w:multiLevelType w:val="hybridMultilevel"/>
    <w:tmpl w:val="94C84740"/>
    <w:lvl w:ilvl="0" w:tplc="F7A0476A">
      <w:start w:val="1"/>
      <w:numFmt w:val="bullet"/>
      <w:lvlText w:val=""/>
      <w:lvlJc w:val="left"/>
      <w:pPr>
        <w:ind w:left="720" w:hanging="360"/>
      </w:pPr>
      <w:rPr>
        <w:rFonts w:ascii="Symbol" w:hAnsi="Symbol" w:hint="default"/>
      </w:rPr>
    </w:lvl>
    <w:lvl w:ilvl="1" w:tplc="4588C862" w:tentative="1">
      <w:start w:val="1"/>
      <w:numFmt w:val="bullet"/>
      <w:lvlText w:val="o"/>
      <w:lvlJc w:val="left"/>
      <w:pPr>
        <w:ind w:left="1440" w:hanging="360"/>
      </w:pPr>
      <w:rPr>
        <w:rFonts w:ascii="Courier New" w:hAnsi="Courier New" w:cs="Courier New" w:hint="default"/>
      </w:rPr>
    </w:lvl>
    <w:lvl w:ilvl="2" w:tplc="02585DAC" w:tentative="1">
      <w:start w:val="1"/>
      <w:numFmt w:val="bullet"/>
      <w:lvlText w:val=""/>
      <w:lvlJc w:val="left"/>
      <w:pPr>
        <w:ind w:left="2160" w:hanging="360"/>
      </w:pPr>
      <w:rPr>
        <w:rFonts w:ascii="Wingdings" w:hAnsi="Wingdings" w:hint="default"/>
      </w:rPr>
    </w:lvl>
    <w:lvl w:ilvl="3" w:tplc="1B46C2C0" w:tentative="1">
      <w:start w:val="1"/>
      <w:numFmt w:val="bullet"/>
      <w:lvlText w:val=""/>
      <w:lvlJc w:val="left"/>
      <w:pPr>
        <w:ind w:left="2880" w:hanging="360"/>
      </w:pPr>
      <w:rPr>
        <w:rFonts w:ascii="Symbol" w:hAnsi="Symbol" w:hint="default"/>
      </w:rPr>
    </w:lvl>
    <w:lvl w:ilvl="4" w:tplc="D578034E" w:tentative="1">
      <w:start w:val="1"/>
      <w:numFmt w:val="bullet"/>
      <w:lvlText w:val="o"/>
      <w:lvlJc w:val="left"/>
      <w:pPr>
        <w:ind w:left="3600" w:hanging="360"/>
      </w:pPr>
      <w:rPr>
        <w:rFonts w:ascii="Courier New" w:hAnsi="Courier New" w:cs="Courier New" w:hint="default"/>
      </w:rPr>
    </w:lvl>
    <w:lvl w:ilvl="5" w:tplc="0BAE556C" w:tentative="1">
      <w:start w:val="1"/>
      <w:numFmt w:val="bullet"/>
      <w:lvlText w:val=""/>
      <w:lvlJc w:val="left"/>
      <w:pPr>
        <w:ind w:left="4320" w:hanging="360"/>
      </w:pPr>
      <w:rPr>
        <w:rFonts w:ascii="Wingdings" w:hAnsi="Wingdings" w:hint="default"/>
      </w:rPr>
    </w:lvl>
    <w:lvl w:ilvl="6" w:tplc="AC3E5E10" w:tentative="1">
      <w:start w:val="1"/>
      <w:numFmt w:val="bullet"/>
      <w:lvlText w:val=""/>
      <w:lvlJc w:val="left"/>
      <w:pPr>
        <w:ind w:left="5040" w:hanging="360"/>
      </w:pPr>
      <w:rPr>
        <w:rFonts w:ascii="Symbol" w:hAnsi="Symbol" w:hint="default"/>
      </w:rPr>
    </w:lvl>
    <w:lvl w:ilvl="7" w:tplc="088E6D2A" w:tentative="1">
      <w:start w:val="1"/>
      <w:numFmt w:val="bullet"/>
      <w:lvlText w:val="o"/>
      <w:lvlJc w:val="left"/>
      <w:pPr>
        <w:ind w:left="5760" w:hanging="360"/>
      </w:pPr>
      <w:rPr>
        <w:rFonts w:ascii="Courier New" w:hAnsi="Courier New" w:cs="Courier New" w:hint="default"/>
      </w:rPr>
    </w:lvl>
    <w:lvl w:ilvl="8" w:tplc="7046BBF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A56"/>
    <w:rsid w:val="000D68F6"/>
    <w:rsid w:val="000E1316"/>
    <w:rsid w:val="00100D03"/>
    <w:rsid w:val="00105AD1"/>
    <w:rsid w:val="0016698B"/>
    <w:rsid w:val="001701E8"/>
    <w:rsid w:val="00184D5A"/>
    <w:rsid w:val="001D52F3"/>
    <w:rsid w:val="003066CA"/>
    <w:rsid w:val="003D328A"/>
    <w:rsid w:val="004509D4"/>
    <w:rsid w:val="004806D3"/>
    <w:rsid w:val="00493863"/>
    <w:rsid w:val="00620E89"/>
    <w:rsid w:val="006E0466"/>
    <w:rsid w:val="006E32A6"/>
    <w:rsid w:val="007702EA"/>
    <w:rsid w:val="00771492"/>
    <w:rsid w:val="00775720"/>
    <w:rsid w:val="00864BD8"/>
    <w:rsid w:val="00881B25"/>
    <w:rsid w:val="008966B9"/>
    <w:rsid w:val="00932A56"/>
    <w:rsid w:val="00983A46"/>
    <w:rsid w:val="009B27D1"/>
    <w:rsid w:val="00A507F5"/>
    <w:rsid w:val="00A90142"/>
    <w:rsid w:val="00B43FB7"/>
    <w:rsid w:val="00BF37E1"/>
    <w:rsid w:val="00C14643"/>
    <w:rsid w:val="00C44D9F"/>
    <w:rsid w:val="00C4562C"/>
    <w:rsid w:val="00C743E0"/>
    <w:rsid w:val="00DA4D77"/>
    <w:rsid w:val="00DB38E6"/>
    <w:rsid w:val="00E93BB0"/>
    <w:rsid w:val="00F14250"/>
    <w:rsid w:val="00F407AE"/>
    <w:rsid w:val="00F5057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E5D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A56"/>
    <w:rPr>
      <w:rFonts w:eastAsiaTheme="majorEastAsia" w:cstheme="majorBidi"/>
      <w:color w:val="272727" w:themeColor="text1" w:themeTint="D8"/>
    </w:rPr>
  </w:style>
  <w:style w:type="paragraph" w:styleId="Title">
    <w:name w:val="Title"/>
    <w:basedOn w:val="Normal"/>
    <w:next w:val="Normal"/>
    <w:link w:val="TitleChar"/>
    <w:uiPriority w:val="10"/>
    <w:qFormat/>
    <w:rsid w:val="00932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A56"/>
    <w:pPr>
      <w:spacing w:before="160"/>
      <w:jc w:val="center"/>
    </w:pPr>
    <w:rPr>
      <w:i/>
      <w:iCs/>
      <w:color w:val="404040" w:themeColor="text1" w:themeTint="BF"/>
    </w:rPr>
  </w:style>
  <w:style w:type="character" w:customStyle="1" w:styleId="QuoteChar">
    <w:name w:val="Quote Char"/>
    <w:basedOn w:val="DefaultParagraphFont"/>
    <w:link w:val="Quote"/>
    <w:uiPriority w:val="29"/>
    <w:rsid w:val="00932A56"/>
    <w:rPr>
      <w:i/>
      <w:iCs/>
      <w:color w:val="404040" w:themeColor="text1" w:themeTint="BF"/>
    </w:rPr>
  </w:style>
  <w:style w:type="paragraph" w:styleId="ListParagraph">
    <w:name w:val="List Paragraph"/>
    <w:basedOn w:val="Normal"/>
    <w:uiPriority w:val="34"/>
    <w:qFormat/>
    <w:rsid w:val="00932A56"/>
    <w:pPr>
      <w:ind w:left="720"/>
      <w:contextualSpacing/>
    </w:pPr>
  </w:style>
  <w:style w:type="character" w:styleId="IntenseEmphasis">
    <w:name w:val="Intense Emphasis"/>
    <w:basedOn w:val="DefaultParagraphFont"/>
    <w:uiPriority w:val="21"/>
    <w:qFormat/>
    <w:rsid w:val="00932A56"/>
    <w:rPr>
      <w:i/>
      <w:iCs/>
      <w:color w:val="0F4761" w:themeColor="accent1" w:themeShade="BF"/>
    </w:rPr>
  </w:style>
  <w:style w:type="paragraph" w:styleId="IntenseQuote">
    <w:name w:val="Intense Quote"/>
    <w:basedOn w:val="Normal"/>
    <w:next w:val="Normal"/>
    <w:link w:val="IntenseQuoteChar"/>
    <w:uiPriority w:val="30"/>
    <w:qFormat/>
    <w:rsid w:val="00932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A56"/>
    <w:rPr>
      <w:i/>
      <w:iCs/>
      <w:color w:val="0F4761" w:themeColor="accent1" w:themeShade="BF"/>
    </w:rPr>
  </w:style>
  <w:style w:type="character" w:styleId="IntenseReference">
    <w:name w:val="Intense Reference"/>
    <w:basedOn w:val="DefaultParagraphFont"/>
    <w:uiPriority w:val="32"/>
    <w:qFormat/>
    <w:rsid w:val="00932A56"/>
    <w:rPr>
      <w:b/>
      <w:bCs/>
      <w:smallCaps/>
      <w:color w:val="0F4761" w:themeColor="accent1" w:themeShade="BF"/>
      <w:spacing w:val="5"/>
    </w:rPr>
  </w:style>
  <w:style w:type="character" w:styleId="Hyperlink">
    <w:name w:val="Hyperlink"/>
    <w:basedOn w:val="DefaultParagraphFont"/>
    <w:uiPriority w:val="99"/>
    <w:unhideWhenUsed/>
    <w:rsid w:val="00C743E0"/>
    <w:rPr>
      <w:color w:val="467886" w:themeColor="hyperlink"/>
      <w:u w:val="single"/>
    </w:rPr>
  </w:style>
  <w:style w:type="character" w:customStyle="1" w:styleId="UnresolvedMention1">
    <w:name w:val="Unresolved Mention1"/>
    <w:basedOn w:val="DefaultParagraphFont"/>
    <w:uiPriority w:val="99"/>
    <w:semiHidden/>
    <w:unhideWhenUsed/>
    <w:rsid w:val="00C743E0"/>
    <w:rPr>
      <w:color w:val="605E5C"/>
      <w:shd w:val="clear" w:color="auto" w:fill="E1DFDD"/>
    </w:rPr>
  </w:style>
  <w:style w:type="paragraph" w:styleId="Header">
    <w:name w:val="header"/>
    <w:basedOn w:val="Normal"/>
    <w:link w:val="HeaderChar"/>
    <w:uiPriority w:val="99"/>
    <w:unhideWhenUsed/>
    <w:rsid w:val="0077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492"/>
  </w:style>
  <w:style w:type="paragraph" w:styleId="Footer">
    <w:name w:val="footer"/>
    <w:basedOn w:val="Normal"/>
    <w:link w:val="FooterChar"/>
    <w:uiPriority w:val="99"/>
    <w:unhideWhenUsed/>
    <w:rsid w:val="0077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492"/>
  </w:style>
  <w:style w:type="paragraph" w:styleId="Revision">
    <w:name w:val="Revision"/>
    <w:hidden/>
    <w:uiPriority w:val="99"/>
    <w:semiHidden/>
    <w:rsid w:val="00770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crportal.hhs.gov/ocr/smartscreen/main.js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US2109504</dc:title>
  <dc:subject>US2109504</dc:subject>
  <dc:creator/>
  <cp:lastModifiedBy/>
  <dcterms:created xsi:type="dcterms:W3CDTF">2025-07-21T22:11:00Z</dcterms:created>
  <dcterms:modified xsi:type="dcterms:W3CDTF">2025-07-21T22:11:00Z</dcterms:modified>
</cp:coreProperties>
</file>