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A53A" w14:textId="77777777" w:rsidR="004806D3" w:rsidRDefault="007C1B89" w:rsidP="004806D3">
      <w:pPr>
        <w:spacing w:after="0" w:line="240" w:lineRule="auto"/>
        <w:rPr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  <w:lang w:eastAsia="ko-KR"/>
        </w:rPr>
        <w:t xml:space="preserve">ARMC Healthcare System </w:t>
      </w:r>
      <w:r>
        <w:rPr>
          <w:rFonts w:ascii="Aptos" w:eastAsia="Aptos" w:hAnsi="Aptos" w:cs="Times New Roman"/>
          <w:sz w:val="28"/>
          <w:szCs w:val="28"/>
          <w:lang w:eastAsia="ko-KR"/>
        </w:rPr>
        <w:t>차별</w:t>
      </w:r>
      <w:r>
        <w:rPr>
          <w:rFonts w:ascii="Aptos" w:eastAsia="Aptos" w:hAnsi="Aptos" w:cs="Times New Roman"/>
          <w:sz w:val="28"/>
          <w:szCs w:val="28"/>
          <w:lang w:eastAsia="ko-KR"/>
        </w:rPr>
        <w:t xml:space="preserve"> </w:t>
      </w:r>
      <w:r>
        <w:rPr>
          <w:rFonts w:ascii="Aptos" w:eastAsia="Aptos" w:hAnsi="Aptos" w:cs="Times New Roman"/>
          <w:sz w:val="28"/>
          <w:szCs w:val="28"/>
          <w:lang w:eastAsia="ko-KR"/>
        </w:rPr>
        <w:t>금지</w:t>
      </w:r>
      <w:r>
        <w:rPr>
          <w:rFonts w:ascii="Aptos" w:eastAsia="Aptos" w:hAnsi="Aptos" w:cs="Times New Roman"/>
          <w:sz w:val="28"/>
          <w:szCs w:val="28"/>
          <w:lang w:eastAsia="ko-KR"/>
        </w:rPr>
        <w:t xml:space="preserve"> </w:t>
      </w:r>
      <w:r>
        <w:rPr>
          <w:rFonts w:ascii="Aptos" w:eastAsia="Aptos" w:hAnsi="Aptos" w:cs="Times New Roman"/>
          <w:sz w:val="28"/>
          <w:szCs w:val="28"/>
          <w:lang w:eastAsia="ko-KR"/>
        </w:rPr>
        <w:t>성명서</w:t>
      </w:r>
    </w:p>
    <w:p w14:paraId="5E5B51A6" w14:textId="77777777" w:rsidR="004806D3" w:rsidRDefault="004806D3" w:rsidP="004806D3">
      <w:pPr>
        <w:spacing w:after="0" w:line="240" w:lineRule="auto"/>
        <w:rPr>
          <w:sz w:val="28"/>
          <w:szCs w:val="28"/>
        </w:rPr>
      </w:pPr>
    </w:p>
    <w:p w14:paraId="70583441" w14:textId="77777777" w:rsidR="004806D3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ARMC Healthcare System(Ashtabula Regional Medical Center(ARMC), ARMC Home Health, Glenbeigh Hospital, Outpatient Centers</w:t>
      </w:r>
      <w:r>
        <w:rPr>
          <w:rFonts w:ascii="Aptos" w:eastAsia="Aptos" w:hAnsi="Aptos" w:cs="Times New Roman"/>
          <w:lang w:eastAsia="ko-KR"/>
        </w:rPr>
        <w:t>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구성됨</w:t>
      </w:r>
      <w:r>
        <w:rPr>
          <w:rFonts w:ascii="Aptos" w:eastAsia="Aptos" w:hAnsi="Aptos" w:cs="Times New Roman"/>
          <w:lang w:eastAsia="ko-KR"/>
        </w:rPr>
        <w:t>)</w:t>
      </w:r>
      <w:r>
        <w:rPr>
          <w:rFonts w:ascii="Aptos" w:eastAsia="Aptos" w:hAnsi="Aptos" w:cs="Times New Roman"/>
          <w:lang w:eastAsia="ko-KR"/>
        </w:rPr>
        <w:t>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부담적정보험법</w:t>
      </w:r>
      <w:r>
        <w:rPr>
          <w:rFonts w:ascii="Aptos" w:eastAsia="Aptos" w:hAnsi="Aptos" w:cs="Times New Roman"/>
          <w:lang w:eastAsia="ko-KR"/>
        </w:rPr>
        <w:t xml:space="preserve">(Affordable Care Act) </w:t>
      </w:r>
      <w:r>
        <w:rPr>
          <w:rFonts w:ascii="Aptos" w:eastAsia="Aptos" w:hAnsi="Aptos" w:cs="Times New Roman"/>
          <w:lang w:eastAsia="ko-KR"/>
        </w:rPr>
        <w:t>제</w:t>
      </w:r>
      <w:r>
        <w:rPr>
          <w:rFonts w:ascii="Aptos" w:eastAsia="Aptos" w:hAnsi="Aptos" w:cs="Times New Roman"/>
          <w:lang w:eastAsia="ko-KR"/>
        </w:rPr>
        <w:t>1557</w:t>
      </w:r>
      <w:r>
        <w:rPr>
          <w:rFonts w:ascii="Aptos" w:eastAsia="Aptos" w:hAnsi="Aptos" w:cs="Times New Roman"/>
          <w:lang w:eastAsia="ko-KR"/>
        </w:rPr>
        <w:t>조를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포함하여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적용되는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모든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연방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시민권법을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준수합니다</w:t>
      </w:r>
      <w:r>
        <w:rPr>
          <w:rFonts w:ascii="Aptos" w:eastAsia="Aptos" w:hAnsi="Aptos" w:cs="Times New Roman"/>
          <w:lang w:eastAsia="ko-KR"/>
        </w:rPr>
        <w:t>. ARMC Healthcare System</w:t>
      </w:r>
      <w:r>
        <w:rPr>
          <w:rFonts w:ascii="Aptos" w:eastAsia="Aptos" w:hAnsi="Aptos" w:cs="Times New Roman"/>
          <w:lang w:eastAsia="ko-KR"/>
        </w:rPr>
        <w:t>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인종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피부색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출신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국가</w:t>
      </w:r>
      <w:r>
        <w:rPr>
          <w:rFonts w:ascii="Aptos" w:eastAsia="Aptos" w:hAnsi="Aptos" w:cs="Times New Roman"/>
          <w:lang w:eastAsia="ko-KR"/>
        </w:rPr>
        <w:t>(</w:t>
      </w:r>
      <w:r>
        <w:rPr>
          <w:rFonts w:ascii="Aptos" w:eastAsia="Aptos" w:hAnsi="Aptos" w:cs="Times New Roman"/>
          <w:lang w:eastAsia="ko-KR"/>
        </w:rPr>
        <w:t>제한적인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영어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구사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능력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모국어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</w:t>
      </w:r>
      <w:r>
        <w:rPr>
          <w:rFonts w:ascii="Aptos" w:eastAsia="Aptos" w:hAnsi="Aptos" w:cs="Times New Roman"/>
          <w:lang w:eastAsia="ko-KR"/>
        </w:rPr>
        <w:t>)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성별</w:t>
      </w:r>
      <w:r>
        <w:rPr>
          <w:rFonts w:ascii="Aptos" w:eastAsia="Aptos" w:hAnsi="Aptos" w:cs="Times New Roman"/>
          <w:lang w:eastAsia="ko-KR"/>
        </w:rPr>
        <w:t>(45 CFR § 92.101(a)(2)</w:t>
      </w:r>
      <w:r>
        <w:rPr>
          <w:rFonts w:ascii="Aptos" w:eastAsia="Aptos" w:hAnsi="Aptos" w:cs="Times New Roman"/>
          <w:lang w:eastAsia="ko-KR"/>
        </w:rPr>
        <w:t>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명시된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성차별의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범위에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따름</w:t>
      </w:r>
      <w:r>
        <w:rPr>
          <w:rFonts w:ascii="Aptos" w:eastAsia="Aptos" w:hAnsi="Aptos" w:cs="Times New Roman"/>
          <w:lang w:eastAsia="ko-KR"/>
        </w:rPr>
        <w:t xml:space="preserve">), </w:t>
      </w:r>
      <w:r>
        <w:rPr>
          <w:rFonts w:ascii="Aptos" w:eastAsia="Aptos" w:hAnsi="Aptos" w:cs="Times New Roman"/>
          <w:lang w:eastAsia="ko-KR"/>
        </w:rPr>
        <w:t>연령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또는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장애를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근거로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차별하지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않습니다</w:t>
      </w:r>
      <w:r>
        <w:rPr>
          <w:rFonts w:ascii="Aptos" w:eastAsia="Aptos" w:hAnsi="Aptos" w:cs="Times New Roman"/>
          <w:lang w:eastAsia="ko-KR"/>
        </w:rPr>
        <w:t>.</w:t>
      </w:r>
    </w:p>
    <w:p w14:paraId="02D9917C" w14:textId="77777777" w:rsidR="004806D3" w:rsidRDefault="004806D3" w:rsidP="004806D3">
      <w:pPr>
        <w:spacing w:after="0" w:line="240" w:lineRule="auto"/>
      </w:pPr>
    </w:p>
    <w:p w14:paraId="6FAEFCDD" w14:textId="77777777" w:rsidR="004806D3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당사는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</w:t>
      </w:r>
      <w:r>
        <w:rPr>
          <w:rFonts w:ascii="Aptos" w:eastAsia="Aptos" w:hAnsi="Aptos" w:cs="Times New Roman"/>
          <w:lang w:eastAsia="ko-KR"/>
        </w:rPr>
        <w:t>1557</w:t>
      </w:r>
      <w:r>
        <w:rPr>
          <w:rFonts w:ascii="Aptos" w:eastAsia="Aptos" w:hAnsi="Aptos" w:cs="Times New Roman"/>
          <w:lang w:eastAsia="ko-KR"/>
        </w:rPr>
        <w:t>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기타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연방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시민권법을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준수하여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개인에게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다음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사항을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적시에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무료로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제공합니다</w:t>
      </w:r>
      <w:r>
        <w:rPr>
          <w:rFonts w:ascii="Aptos" w:eastAsia="Aptos" w:hAnsi="Aptos" w:cs="Times New Roman"/>
          <w:lang w:eastAsia="ko-KR"/>
        </w:rPr>
        <w:t>.</w:t>
      </w:r>
    </w:p>
    <w:p w14:paraId="27279AAF" w14:textId="77777777" w:rsidR="004806D3" w:rsidRDefault="004806D3" w:rsidP="004806D3">
      <w:pPr>
        <w:spacing w:after="0" w:line="240" w:lineRule="auto"/>
      </w:pPr>
    </w:p>
    <w:p w14:paraId="3565E173" w14:textId="77777777" w:rsidR="004806D3" w:rsidRDefault="007C1B89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  <w:lang w:eastAsia="ko-KR"/>
        </w:rPr>
        <w:t>언어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지원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서비스</w:t>
      </w:r>
      <w:r>
        <w:rPr>
          <w:rFonts w:ascii="Aptos" w:eastAsia="Aptos" w:hAnsi="Aptos" w:cs="Times New Roman"/>
          <w:lang w:eastAsia="ko-KR"/>
        </w:rPr>
        <w:t>: ARMC Healthcare System</w:t>
      </w:r>
      <w:r>
        <w:rPr>
          <w:rFonts w:ascii="Aptos" w:eastAsia="Aptos" w:hAnsi="Aptos" w:cs="Times New Roman"/>
          <w:lang w:eastAsia="ko-KR"/>
        </w:rPr>
        <w:t>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영어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능력이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제한적인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개인</w:t>
      </w:r>
      <w:r>
        <w:rPr>
          <w:rFonts w:ascii="Aptos" w:eastAsia="Aptos" w:hAnsi="Aptos" w:cs="Times New Roman"/>
          <w:lang w:eastAsia="ko-KR"/>
        </w:rPr>
        <w:t>(</w:t>
      </w:r>
      <w:r>
        <w:rPr>
          <w:rFonts w:ascii="Aptos" w:eastAsia="Aptos" w:hAnsi="Aptos" w:cs="Times New Roman"/>
          <w:lang w:eastAsia="ko-KR"/>
        </w:rPr>
        <w:t>영어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구사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능력이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제한적인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개인의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동반자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</w:t>
      </w:r>
      <w:r>
        <w:rPr>
          <w:rFonts w:ascii="Aptos" w:eastAsia="Aptos" w:hAnsi="Aptos" w:cs="Times New Roman"/>
          <w:lang w:eastAsia="ko-KR"/>
        </w:rPr>
        <w:t>)</w:t>
      </w:r>
      <w:r>
        <w:rPr>
          <w:rFonts w:ascii="Aptos" w:eastAsia="Aptos" w:hAnsi="Aptos" w:cs="Times New Roman"/>
          <w:lang w:eastAsia="ko-KR"/>
        </w:rPr>
        <w:t>에게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당사의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프로그램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활동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서비스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기타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혜택에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대한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의미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있는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접근성을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보장하기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위해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언어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제공할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것입니다</w:t>
      </w:r>
      <w:r>
        <w:rPr>
          <w:rFonts w:ascii="Aptos" w:eastAsia="Aptos" w:hAnsi="Aptos" w:cs="Times New Roman"/>
          <w:lang w:eastAsia="ko-KR"/>
        </w:rPr>
        <w:t xml:space="preserve">. </w:t>
      </w:r>
      <w:r>
        <w:rPr>
          <w:rFonts w:ascii="Aptos" w:eastAsia="Aptos" w:hAnsi="Aptos" w:cs="Times New Roman"/>
          <w:lang w:eastAsia="ko-KR"/>
        </w:rPr>
        <w:t>언어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서비스에는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다음이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있습니다</w:t>
      </w:r>
      <w:r>
        <w:rPr>
          <w:rFonts w:ascii="Aptos" w:eastAsia="Aptos" w:hAnsi="Aptos" w:cs="Times New Roman"/>
          <w:lang w:eastAsia="ko-KR"/>
        </w:rPr>
        <w:t>.</w:t>
      </w:r>
    </w:p>
    <w:p w14:paraId="2086C342" w14:textId="77777777" w:rsidR="004806D3" w:rsidRDefault="007C1B89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tos" w:eastAsia="Aptos" w:hAnsi="Aptos" w:cs="Times New Roman"/>
          <w:lang w:eastAsia="ko-KR"/>
        </w:rPr>
        <w:t>전자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번역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문서</w:t>
      </w:r>
    </w:p>
    <w:p w14:paraId="6CFD8394" w14:textId="77777777" w:rsidR="004806D3" w:rsidRDefault="007C1B89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tos" w:eastAsia="Aptos" w:hAnsi="Aptos" w:cs="Times New Roman"/>
          <w:lang w:eastAsia="ko-KR"/>
        </w:rPr>
        <w:t>자격을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갖춘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통역사</w:t>
      </w:r>
    </w:p>
    <w:p w14:paraId="54ADC557" w14:textId="77777777" w:rsidR="004806D3" w:rsidRDefault="004806D3" w:rsidP="004806D3">
      <w:pPr>
        <w:spacing w:after="0" w:line="240" w:lineRule="auto"/>
      </w:pPr>
    </w:p>
    <w:p w14:paraId="29788F1F" w14:textId="77777777" w:rsidR="004806D3" w:rsidRDefault="007C1B89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  <w:lang w:eastAsia="ko-KR"/>
        </w:rPr>
        <w:t>언어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지원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서비스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및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적절한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보조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지원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및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서비스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제공</w:t>
      </w:r>
      <w:r>
        <w:rPr>
          <w:rFonts w:ascii="Aptos" w:eastAsia="Aptos" w:hAnsi="Aptos" w:cs="Times New Roman"/>
          <w:lang w:eastAsia="ko-KR"/>
        </w:rPr>
        <w:t>: ARMC Healthcare System</w:t>
      </w:r>
      <w:r>
        <w:rPr>
          <w:rFonts w:ascii="Aptos" w:eastAsia="Aptos" w:hAnsi="Aptos" w:cs="Times New Roman"/>
          <w:lang w:eastAsia="ko-KR"/>
        </w:rPr>
        <w:t>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효과적인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의사소통을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보장하기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위해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장애인</w:t>
      </w:r>
      <w:r>
        <w:rPr>
          <w:rFonts w:ascii="Aptos" w:eastAsia="Aptos" w:hAnsi="Aptos" w:cs="Times New Roman"/>
          <w:lang w:eastAsia="ko-KR"/>
        </w:rPr>
        <w:t>(</w:t>
      </w:r>
      <w:r>
        <w:rPr>
          <w:rFonts w:ascii="Aptos" w:eastAsia="Aptos" w:hAnsi="Aptos" w:cs="Times New Roman"/>
          <w:lang w:eastAsia="ko-KR"/>
        </w:rPr>
        <w:t>장애인의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동반자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</w:t>
      </w:r>
      <w:r>
        <w:rPr>
          <w:rFonts w:ascii="Aptos" w:eastAsia="Aptos" w:hAnsi="Aptos" w:cs="Times New Roman"/>
          <w:lang w:eastAsia="ko-KR"/>
        </w:rPr>
        <w:t>)</w:t>
      </w:r>
      <w:r>
        <w:rPr>
          <w:rFonts w:ascii="Aptos" w:eastAsia="Aptos" w:hAnsi="Aptos" w:cs="Times New Roman"/>
          <w:lang w:eastAsia="ko-KR"/>
        </w:rPr>
        <w:t>에게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언어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적절한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제공할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것입니다</w:t>
      </w:r>
      <w:r>
        <w:rPr>
          <w:rFonts w:ascii="Aptos" w:eastAsia="Aptos" w:hAnsi="Aptos" w:cs="Times New Roman"/>
          <w:lang w:eastAsia="ko-KR"/>
        </w:rPr>
        <w:t xml:space="preserve">. </w:t>
      </w:r>
      <w:r>
        <w:rPr>
          <w:rFonts w:ascii="Aptos" w:eastAsia="Aptos" w:hAnsi="Aptos" w:cs="Times New Roman"/>
          <w:lang w:eastAsia="ko-KR"/>
        </w:rPr>
        <w:t>적절한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서비스에는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다음</w:t>
      </w:r>
      <w:r>
        <w:rPr>
          <w:rFonts w:ascii="Aptos" w:eastAsia="Aptos" w:hAnsi="Aptos" w:cs="Times New Roman"/>
          <w:lang w:eastAsia="ko-KR"/>
        </w:rPr>
        <w:t>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있습니다</w:t>
      </w:r>
      <w:r>
        <w:rPr>
          <w:rFonts w:ascii="Aptos" w:eastAsia="Aptos" w:hAnsi="Aptos" w:cs="Times New Roman"/>
          <w:lang w:eastAsia="ko-KR"/>
        </w:rPr>
        <w:t>.</w:t>
      </w:r>
    </w:p>
    <w:p w14:paraId="11175D0D" w14:textId="77777777" w:rsidR="004806D3" w:rsidRDefault="007C1B89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  <w:lang w:eastAsia="ko-KR"/>
        </w:rPr>
        <w:t>미국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수화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통역사를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자격을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갖춘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통역사</w:t>
      </w:r>
    </w:p>
    <w:p w14:paraId="48596575" w14:textId="77777777" w:rsidR="004806D3" w:rsidRDefault="007C1B89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  <w:lang w:eastAsia="ko-KR"/>
        </w:rPr>
        <w:t>원격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화상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통역</w:t>
      </w:r>
    </w:p>
    <w:p w14:paraId="28961A03" w14:textId="77777777" w:rsidR="004806D3" w:rsidRDefault="007C1B89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  <w:lang w:eastAsia="ko-KR"/>
        </w:rPr>
        <w:t>대체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형식의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정보</w:t>
      </w:r>
      <w:r>
        <w:rPr>
          <w:rFonts w:ascii="Aptos" w:eastAsia="Aptos" w:hAnsi="Aptos" w:cs="Times New Roman"/>
          <w:lang w:eastAsia="ko-KR"/>
        </w:rPr>
        <w:t>(</w:t>
      </w:r>
      <w:r>
        <w:rPr>
          <w:rFonts w:ascii="Aptos" w:eastAsia="Aptos" w:hAnsi="Aptos" w:cs="Times New Roman"/>
          <w:lang w:eastAsia="ko-KR"/>
        </w:rPr>
        <w:t>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활자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녹음된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오디오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접근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가능한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전자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형식을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포함하나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이에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국한되지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않음</w:t>
      </w:r>
      <w:r>
        <w:rPr>
          <w:rFonts w:ascii="Aptos" w:eastAsia="Aptos" w:hAnsi="Aptos" w:cs="Times New Roman"/>
          <w:lang w:eastAsia="ko-KR"/>
        </w:rPr>
        <w:t>)</w:t>
      </w:r>
    </w:p>
    <w:p w14:paraId="2170BD22" w14:textId="77777777" w:rsidR="004806D3" w:rsidRDefault="004806D3" w:rsidP="004806D3">
      <w:pPr>
        <w:spacing w:after="0" w:line="240" w:lineRule="auto"/>
      </w:pPr>
    </w:p>
    <w:p w14:paraId="7D14853C" w14:textId="77777777" w:rsidR="004806D3" w:rsidRDefault="007C1B89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  <w:lang w:eastAsia="ko-KR"/>
        </w:rPr>
        <w:t>적절한</w:t>
      </w:r>
      <w:r>
        <w:rPr>
          <w:rFonts w:ascii="Aptos" w:eastAsia="Aptos" w:hAnsi="Aptos" w:cs="Times New Roman"/>
          <w:b/>
          <w:bCs/>
          <w:lang w:eastAsia="ko-KR"/>
        </w:rPr>
        <w:t xml:space="preserve"> </w:t>
      </w:r>
      <w:r>
        <w:rPr>
          <w:rFonts w:ascii="Aptos" w:eastAsia="Aptos" w:hAnsi="Aptos" w:cs="Times New Roman"/>
          <w:b/>
          <w:bCs/>
          <w:lang w:eastAsia="ko-KR"/>
        </w:rPr>
        <w:t>편의</w:t>
      </w:r>
      <w:r>
        <w:rPr>
          <w:rFonts w:ascii="Aptos" w:eastAsia="Aptos" w:hAnsi="Aptos" w:cs="Times New Roman"/>
          <w:b/>
          <w:bCs/>
          <w:lang w:eastAsia="ko-KR"/>
        </w:rPr>
        <w:t>:</w:t>
      </w:r>
      <w:r>
        <w:rPr>
          <w:rFonts w:ascii="Aptos" w:eastAsia="Aptos" w:hAnsi="Aptos" w:cs="Times New Roman"/>
          <w:lang w:eastAsia="ko-KR"/>
        </w:rPr>
        <w:t xml:space="preserve"> ARMC Healthc</w:t>
      </w:r>
      <w:r>
        <w:rPr>
          <w:rFonts w:ascii="Aptos" w:eastAsia="Aptos" w:hAnsi="Aptos" w:cs="Times New Roman"/>
          <w:lang w:eastAsia="ko-KR"/>
        </w:rPr>
        <w:t>are System</w:t>
      </w:r>
      <w:r>
        <w:rPr>
          <w:rFonts w:ascii="Aptos" w:eastAsia="Aptos" w:hAnsi="Aptos" w:cs="Times New Roman"/>
          <w:lang w:eastAsia="ko-KR"/>
        </w:rPr>
        <w:t>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당사의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프로그램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활동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서비스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또는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기타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혜택에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대한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접근성과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동등한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참여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기회를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보장하기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위해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필요한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경우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자격을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갖춘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장애인에게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적절한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편의를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제공합니다</w:t>
      </w:r>
      <w:r>
        <w:rPr>
          <w:rFonts w:ascii="Aptos" w:eastAsia="Aptos" w:hAnsi="Aptos" w:cs="Times New Roman"/>
          <w:lang w:eastAsia="ko-KR"/>
        </w:rPr>
        <w:t>.</w:t>
      </w:r>
    </w:p>
    <w:p w14:paraId="17483E5E" w14:textId="77777777" w:rsidR="00C743E0" w:rsidRDefault="00C743E0" w:rsidP="004806D3">
      <w:pPr>
        <w:spacing w:after="0" w:line="240" w:lineRule="auto"/>
      </w:pPr>
    </w:p>
    <w:p w14:paraId="498D6175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당사의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언어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보조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및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이용하고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적절한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편의를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제공받는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도움이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필요하신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경우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귀하를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담당하는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의료진에게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연락하시기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바랍니다</w:t>
      </w:r>
      <w:r>
        <w:rPr>
          <w:rFonts w:ascii="Aptos" w:eastAsia="Aptos" w:hAnsi="Aptos" w:cs="Times New Roman"/>
          <w:lang w:eastAsia="ko-KR"/>
        </w:rPr>
        <w:t xml:space="preserve">. </w:t>
      </w:r>
      <w:r>
        <w:rPr>
          <w:rFonts w:ascii="Aptos" w:eastAsia="Aptos" w:hAnsi="Aptos" w:cs="Times New Roman"/>
          <w:lang w:eastAsia="ko-KR"/>
        </w:rPr>
        <w:t>추가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지원이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필요한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경우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담당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의료진을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통해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간호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감독관에게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연락하실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수도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있습니다</w:t>
      </w:r>
      <w:r>
        <w:rPr>
          <w:rFonts w:ascii="Aptos" w:eastAsia="Aptos" w:hAnsi="Aptos" w:cs="Times New Roman"/>
          <w:lang w:eastAsia="ko-KR"/>
        </w:rPr>
        <w:t>.</w:t>
      </w:r>
    </w:p>
    <w:p w14:paraId="4FE0A004" w14:textId="77777777" w:rsidR="00C743E0" w:rsidRDefault="00C743E0" w:rsidP="004806D3">
      <w:pPr>
        <w:spacing w:after="0" w:line="240" w:lineRule="auto"/>
      </w:pPr>
    </w:p>
    <w:p w14:paraId="7767A379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lastRenderedPageBreak/>
        <w:t>ARMC Healthcare System</w:t>
      </w:r>
      <w:r>
        <w:rPr>
          <w:rFonts w:ascii="Aptos" w:eastAsia="Aptos" w:hAnsi="Aptos" w:cs="Times New Roman"/>
          <w:lang w:eastAsia="ko-KR"/>
        </w:rPr>
        <w:t>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이러한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서비스를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제공하지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않았거나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인종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피부색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출신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국가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성별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연령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또는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장애를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근거로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다른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방식으로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차별했다고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판단하시는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경우</w:t>
      </w:r>
      <w:r>
        <w:rPr>
          <w:rFonts w:ascii="Aptos" w:eastAsia="Aptos" w:hAnsi="Aptos" w:cs="Times New Roman"/>
          <w:lang w:eastAsia="ko-KR"/>
        </w:rPr>
        <w:t xml:space="preserve">, </w:t>
      </w:r>
      <w:r>
        <w:rPr>
          <w:rFonts w:ascii="Aptos" w:eastAsia="Aptos" w:hAnsi="Aptos" w:cs="Times New Roman"/>
          <w:lang w:eastAsia="ko-KR"/>
        </w:rPr>
        <w:t>아래에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명시된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해당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법인의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연락처로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고충을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제기하실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있습니다</w:t>
      </w:r>
      <w:r>
        <w:rPr>
          <w:rFonts w:ascii="Aptos" w:eastAsia="Aptos" w:hAnsi="Aptos" w:cs="Times New Roman"/>
          <w:lang w:eastAsia="ko-KR"/>
        </w:rPr>
        <w:t>.</w:t>
      </w:r>
    </w:p>
    <w:p w14:paraId="5DF759FB" w14:textId="77777777" w:rsidR="00C743E0" w:rsidRDefault="00C743E0" w:rsidP="004806D3">
      <w:pPr>
        <w:spacing w:after="0" w:line="240" w:lineRule="auto"/>
      </w:pPr>
    </w:p>
    <w:p w14:paraId="7543EA4A" w14:textId="7EDF5138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고충처리관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품질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책임자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품질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관리자</w:t>
      </w:r>
    </w:p>
    <w:p w14:paraId="49801F9B" w14:textId="03400395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 xml:space="preserve">Ashtabula Regional Medical Center 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ARMC Home Health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proofErr w:type="spellStart"/>
      <w:r>
        <w:rPr>
          <w:rFonts w:ascii="Aptos" w:eastAsia="Aptos" w:hAnsi="Aptos" w:cs="Times New Roman"/>
          <w:lang w:eastAsia="ko-KR"/>
        </w:rPr>
        <w:t>G</w:t>
      </w:r>
      <w:r>
        <w:rPr>
          <w:rFonts w:ascii="Aptos" w:eastAsia="Aptos" w:hAnsi="Aptos" w:cs="Times New Roman"/>
          <w:lang w:eastAsia="ko-KR"/>
        </w:rPr>
        <w:t>lenbeigh</w:t>
      </w:r>
      <w:proofErr w:type="spellEnd"/>
    </w:p>
    <w:p w14:paraId="53494790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 xml:space="preserve">2420 Lake Avenue 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  <w:t>2131 Lake Ave, Ste 2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  <w:t>2863 State Route 45N</w:t>
      </w:r>
    </w:p>
    <w:p w14:paraId="3D4B3960" w14:textId="583BD8D0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 xml:space="preserve">Ashtabula, OH 44004 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Ashtab</w:t>
      </w:r>
      <w:r>
        <w:rPr>
          <w:rFonts w:ascii="Aptos" w:eastAsia="Aptos" w:hAnsi="Aptos" w:cs="Times New Roman"/>
          <w:lang w:eastAsia="ko-KR"/>
        </w:rPr>
        <w:t>ula, OH 44004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Rock Creek, OH 44084</w:t>
      </w:r>
    </w:p>
    <w:p w14:paraId="09E4FE75" w14:textId="0AF98CFD" w:rsidR="000E1316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440-997-2262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440-992-4633</w:t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ab/>
      </w:r>
      <w:r>
        <w:rPr>
          <w:rFonts w:ascii="Aptos" w:eastAsia="Aptos" w:hAnsi="Aptos" w:cs="Times New Roman"/>
          <w:lang w:eastAsia="ko-KR"/>
        </w:rPr>
        <w:t>440-563-3400</w:t>
      </w:r>
    </w:p>
    <w:p w14:paraId="3102752B" w14:textId="77777777" w:rsidR="00C743E0" w:rsidRDefault="00C743E0" w:rsidP="004806D3">
      <w:pPr>
        <w:spacing w:after="0" w:line="240" w:lineRule="auto"/>
      </w:pPr>
    </w:p>
    <w:p w14:paraId="4655C1F8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또는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미국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보건복지부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시민권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사무국</w:t>
      </w:r>
      <w:r>
        <w:rPr>
          <w:rFonts w:ascii="Aptos" w:eastAsia="Aptos" w:hAnsi="Aptos" w:cs="Times New Roman"/>
          <w:lang w:eastAsia="ko-KR"/>
        </w:rPr>
        <w:t>(</w:t>
      </w:r>
      <w:hyperlink r:id="rId7" w:history="1">
        <w:r>
          <w:rPr>
            <w:rFonts w:ascii="Aptos" w:eastAsia="Aptos" w:hAnsi="Aptos" w:cs="Times New Roman"/>
            <w:color w:val="467886"/>
            <w:u w:val="single"/>
            <w:lang w:eastAsia="ko-KR"/>
          </w:rPr>
          <w:t>https://ocrportal.hhs.gov/ocr/smartscreen/main.jsf</w:t>
        </w:r>
      </w:hyperlink>
      <w:r>
        <w:rPr>
          <w:rFonts w:ascii="Aptos" w:eastAsia="Aptos" w:hAnsi="Aptos" w:cs="Times New Roman"/>
          <w:lang w:eastAsia="ko-KR"/>
        </w:rPr>
        <w:t>)</w:t>
      </w:r>
      <w:r>
        <w:rPr>
          <w:rFonts w:ascii="Aptos" w:eastAsia="Aptos" w:hAnsi="Aptos" w:cs="Times New Roman"/>
          <w:lang w:eastAsia="ko-KR"/>
        </w:rPr>
        <w:t>에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민원을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제기하거나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다음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주소로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우편을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보내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민원을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제기할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수도</w:t>
      </w:r>
      <w:r>
        <w:rPr>
          <w:rFonts w:ascii="Aptos" w:eastAsia="Aptos" w:hAnsi="Aptos" w:cs="Times New Roman"/>
          <w:lang w:eastAsia="ko-KR"/>
        </w:rPr>
        <w:t xml:space="preserve"> </w:t>
      </w:r>
      <w:r>
        <w:rPr>
          <w:rFonts w:ascii="Aptos" w:eastAsia="Aptos" w:hAnsi="Aptos" w:cs="Times New Roman"/>
          <w:lang w:eastAsia="ko-KR"/>
        </w:rPr>
        <w:t>있습니다</w:t>
      </w:r>
      <w:r>
        <w:rPr>
          <w:rFonts w:ascii="Aptos" w:eastAsia="Aptos" w:hAnsi="Aptos" w:cs="Times New Roman"/>
          <w:lang w:eastAsia="ko-KR"/>
        </w:rPr>
        <w:t>.</w:t>
      </w:r>
    </w:p>
    <w:p w14:paraId="62FF2EA5" w14:textId="77777777" w:rsidR="00C743E0" w:rsidRDefault="00C743E0" w:rsidP="004806D3">
      <w:pPr>
        <w:spacing w:after="0" w:line="240" w:lineRule="auto"/>
      </w:pPr>
    </w:p>
    <w:p w14:paraId="72AD4AD4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US Department of Health and Human Services</w:t>
      </w:r>
    </w:p>
    <w:p w14:paraId="7D1C8D84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200 Independence Avenue, SW – 509F</w:t>
      </w:r>
    </w:p>
    <w:p w14:paraId="4B6DED60" w14:textId="77777777" w:rsidR="00C743E0" w:rsidRDefault="007C1B89" w:rsidP="004806D3">
      <w:pPr>
        <w:spacing w:after="0" w:line="240" w:lineRule="auto"/>
      </w:pPr>
      <w:r>
        <w:rPr>
          <w:rFonts w:ascii="Aptos" w:eastAsia="Aptos" w:hAnsi="Aptos" w:cs="Times New Roman"/>
          <w:lang w:eastAsia="ko-KR"/>
        </w:rPr>
        <w:t>Washington, DC 20201</w:t>
      </w:r>
    </w:p>
    <w:p w14:paraId="53384F6B" w14:textId="77777777" w:rsidR="00E93BB0" w:rsidRDefault="00E93BB0" w:rsidP="004806D3">
      <w:pPr>
        <w:spacing w:after="0" w:line="240" w:lineRule="auto"/>
      </w:pPr>
    </w:p>
    <w:p w14:paraId="324BAA04" w14:textId="77777777" w:rsidR="00E93BB0" w:rsidRDefault="00E93BB0" w:rsidP="004806D3">
      <w:pPr>
        <w:spacing w:after="0" w:line="240" w:lineRule="auto"/>
      </w:pPr>
    </w:p>
    <w:p w14:paraId="1BC635BF" w14:textId="77777777" w:rsidR="00E93BB0" w:rsidRDefault="00E93BB0" w:rsidP="004806D3">
      <w:pPr>
        <w:spacing w:after="0" w:line="240" w:lineRule="auto"/>
      </w:pPr>
    </w:p>
    <w:p w14:paraId="1E088F25" w14:textId="77777777" w:rsidR="00E93BB0" w:rsidRDefault="00E93BB0" w:rsidP="004806D3">
      <w:pPr>
        <w:spacing w:after="0" w:line="240" w:lineRule="auto"/>
      </w:pPr>
    </w:p>
    <w:p w14:paraId="49683F1B" w14:textId="77777777" w:rsidR="00E93BB0" w:rsidRPr="004806D3" w:rsidRDefault="007C1B89" w:rsidP="004806D3">
      <w:pPr>
        <w:spacing w:after="0" w:line="240" w:lineRule="auto"/>
      </w:pPr>
      <w:r>
        <w:rPr>
          <w:noProof/>
        </w:rPr>
        <w:drawing>
          <wp:inline distT="0" distB="0" distL="0" distR="0" wp14:anchorId="3682BF19" wp14:editId="50E9F361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BF48" w14:textId="77777777" w:rsidR="00E93BB0" w:rsidRDefault="00E93BB0">
      <w:pPr>
        <w:rPr>
          <w:sz w:val="28"/>
          <w:szCs w:val="28"/>
        </w:rPr>
      </w:pPr>
    </w:p>
    <w:p w14:paraId="0B3C0A25" w14:textId="77777777" w:rsidR="00E93BB0" w:rsidRDefault="007C1B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2AAD26" wp14:editId="12416DA3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F0E1" w14:textId="77777777" w:rsidR="00E93BB0" w:rsidRPr="00E93BB0" w:rsidRDefault="00E93BB0">
      <w:pPr>
        <w:rPr>
          <w:sz w:val="20"/>
          <w:szCs w:val="20"/>
        </w:rPr>
      </w:pPr>
    </w:p>
    <w:p w14:paraId="43EEAD7F" w14:textId="77777777" w:rsidR="00E93BB0" w:rsidRPr="004806D3" w:rsidRDefault="007C1B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17D017" wp14:editId="7397064D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905D" w14:textId="77777777" w:rsidR="00000000" w:rsidRDefault="007C1B89">
      <w:pPr>
        <w:spacing w:after="0" w:line="240" w:lineRule="auto"/>
      </w:pPr>
      <w:r>
        <w:separator/>
      </w:r>
    </w:p>
  </w:endnote>
  <w:endnote w:type="continuationSeparator" w:id="0">
    <w:p w14:paraId="7871971D" w14:textId="77777777" w:rsidR="00000000" w:rsidRDefault="007C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F93C" w14:textId="77777777" w:rsidR="00771492" w:rsidRDefault="000D68F6">
    <w:pPr>
      <w:pStyle w:val="Footer"/>
    </w:pPr>
    <w:r>
      <w:fldChar w:fldCharType="begin"/>
    </w:r>
    <w:r w:rsidR="007C1B89">
      <w:instrText xml:space="preserve"> DOCPROPERTY DOCXDOCID DMS=InterwovenIManage Format=&lt;&lt;NUM&gt;&gt; _&lt;&lt;VER&gt;&gt; PRESERVELOCATION \* MERGEFORMAT </w:instrText>
    </w:r>
    <w:r>
      <w:fldChar w:fldCharType="separate"/>
    </w:r>
    <w:r w:rsidR="007C1B89">
      <w:rPr>
        <w:rFonts w:ascii="Aptos" w:eastAsia="Aptos" w:hAnsi="Aptos" w:cs="Times New Roman"/>
        <w:lang w:eastAsia="ko-KR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185" w14:textId="77777777" w:rsidR="00771492" w:rsidRDefault="000D68F6">
    <w:pPr>
      <w:pStyle w:val="Footer"/>
    </w:pPr>
    <w:r>
      <w:fldChar w:fldCharType="begin"/>
    </w:r>
    <w:r w:rsidR="007C1B89">
      <w:instrText xml:space="preserve"> DOCPROPERTY DOCXDOCID DMS=InterwovenIManage Format=&lt;&lt;NUM&gt;&gt; _&lt;</w:instrText>
    </w:r>
    <w:r w:rsidR="007C1B89">
      <w:instrText xml:space="preserve">&lt;VER&gt;&gt; PRESERVELOCATION \* MERGEFORMAT </w:instrText>
    </w:r>
    <w:r>
      <w:fldChar w:fldCharType="separate"/>
    </w:r>
    <w:r w:rsidR="007C1B89">
      <w:rPr>
        <w:rFonts w:ascii="Aptos" w:eastAsia="Aptos" w:hAnsi="Aptos" w:cs="Times New Roman"/>
        <w:lang w:eastAsia="ko-KR"/>
      </w:rPr>
      <w:t>23477426 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2F7B" w14:textId="77777777" w:rsidR="00771492" w:rsidRDefault="000D68F6">
    <w:pPr>
      <w:pStyle w:val="Footer"/>
    </w:pPr>
    <w:r>
      <w:fldChar w:fldCharType="begin"/>
    </w:r>
    <w:r w:rsidR="007C1B89">
      <w:instrText xml:space="preserve"> DOCPROPERTY DOCXDOCID DMS=InterwovenIManage Format=&lt;&lt;NUM&gt;&gt; _&lt;&lt;VER&gt;&gt; PRESERVELOCATION \* MERGEFORMAT </w:instrText>
    </w:r>
    <w:r>
      <w:fldChar w:fldCharType="separate"/>
    </w:r>
    <w:r w:rsidR="007C1B89">
      <w:rPr>
        <w:rFonts w:ascii="Aptos" w:eastAsia="Aptos" w:hAnsi="Aptos" w:cs="Times New Roman"/>
        <w:lang w:eastAsia="ko-KR"/>
      </w:rPr>
      <w:t>23477426 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B33C" w14:textId="77777777" w:rsidR="00000000" w:rsidRDefault="007C1B89">
      <w:pPr>
        <w:spacing w:after="0" w:line="240" w:lineRule="auto"/>
      </w:pPr>
      <w:r>
        <w:separator/>
      </w:r>
    </w:p>
  </w:footnote>
  <w:footnote w:type="continuationSeparator" w:id="0">
    <w:p w14:paraId="752DF44A" w14:textId="77777777" w:rsidR="00000000" w:rsidRDefault="007C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0DCF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FA3F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F2B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2F8E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69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A0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8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A0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C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49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28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8B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3210E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E3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21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CA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D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C3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C9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E9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7C1B89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6DFE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Printed>2025-07-08T17:39:00Z</cp:lastPrinted>
  <dcterms:created xsi:type="dcterms:W3CDTF">2025-07-08T17:39:00Z</dcterms:created>
  <dcterms:modified xsi:type="dcterms:W3CDTF">2025-07-22T14:58:00Z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