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816D" w14:textId="77777777" w:rsidR="004806D3" w:rsidRPr="00B86564" w:rsidRDefault="00E42030" w:rsidP="004806D3">
      <w:pPr>
        <w:spacing w:after="0" w:line="240" w:lineRule="auto"/>
        <w:rPr>
          <w:sz w:val="28"/>
          <w:szCs w:val="28"/>
          <w:lang w:val="fr-FR"/>
        </w:rPr>
      </w:pPr>
      <w:r>
        <w:rPr>
          <w:rFonts w:ascii="Aptos" w:eastAsia="Aptos" w:hAnsi="Aptos" w:cs="Times New Roman"/>
          <w:sz w:val="28"/>
          <w:szCs w:val="28"/>
          <w:lang w:val="fr-CA"/>
        </w:rPr>
        <w:t>Déclaration de non-discrimination du système de soins de santé ARMC</w:t>
      </w:r>
    </w:p>
    <w:p w14:paraId="15401342" w14:textId="77777777" w:rsidR="004806D3" w:rsidRPr="00B86564" w:rsidRDefault="004806D3" w:rsidP="004806D3">
      <w:pPr>
        <w:spacing w:after="0" w:line="240" w:lineRule="auto"/>
        <w:rPr>
          <w:sz w:val="28"/>
          <w:szCs w:val="28"/>
          <w:lang w:val="fr-FR"/>
        </w:rPr>
      </w:pPr>
    </w:p>
    <w:p w14:paraId="562F8A97" w14:textId="77777777" w:rsidR="004806D3" w:rsidRPr="00B86564" w:rsidRDefault="00E42030" w:rsidP="004806D3">
      <w:pPr>
        <w:spacing w:after="0" w:line="240" w:lineRule="auto"/>
        <w:rPr>
          <w:lang w:val="fr-FR"/>
        </w:rPr>
      </w:pPr>
      <w:r>
        <w:rPr>
          <w:rFonts w:ascii="Aptos" w:eastAsia="Aptos" w:hAnsi="Aptos" w:cs="Times New Roman"/>
          <w:lang w:val="fr-CA"/>
        </w:rPr>
        <w:t>Le système de soins de santé ARMC (composé de l’Ashtabula Regional Medical Center [ARMC], de ARMC Home Health, ainsi que de l’hôpital Glenbeigh et de ses centres de soins ambulatoires) respecte toutes les lois fédérales applicables en matière de droits civils, y compris l’article 1557 de la Loi sur les soins abordables. Le système de soins de santé ARMC ne fait aucune discrimination fondée sur l’origine ethnique, la couleur, l’origine nationale (y compris une maîtrise limitée de l’anglais et la langue première), le sexe (conformément à la portée de la discrimination fondée sur le sexe définie à l’article 45 CFR § 92.101(a)(2)), l’âge ou l’invalidité.</w:t>
      </w:r>
    </w:p>
    <w:p w14:paraId="78E4A4DC" w14:textId="77777777" w:rsidR="004806D3" w:rsidRPr="00B86564" w:rsidRDefault="004806D3" w:rsidP="004806D3">
      <w:pPr>
        <w:spacing w:after="0" w:line="240" w:lineRule="auto"/>
        <w:rPr>
          <w:lang w:val="fr-FR"/>
        </w:rPr>
      </w:pPr>
    </w:p>
    <w:p w14:paraId="76957C3D" w14:textId="77777777" w:rsidR="004806D3" w:rsidRPr="00B86564" w:rsidRDefault="00E42030" w:rsidP="004806D3">
      <w:pPr>
        <w:spacing w:after="0" w:line="240" w:lineRule="auto"/>
        <w:rPr>
          <w:lang w:val="fr-FR"/>
        </w:rPr>
      </w:pPr>
      <w:r>
        <w:rPr>
          <w:rFonts w:ascii="Aptos" w:eastAsia="Aptos" w:hAnsi="Aptos" w:cs="Times New Roman"/>
          <w:lang w:val="fr-CA"/>
        </w:rPr>
        <w:t>Conformément à l’article 1557 et à d’autres lois fédérales sur les droits civils, nous fournissons aux personnes les éléments suivants dans un délai raisonnable et sans frais :</w:t>
      </w:r>
    </w:p>
    <w:p w14:paraId="5FCC14CA" w14:textId="77777777" w:rsidR="004806D3" w:rsidRPr="00B86564" w:rsidRDefault="004806D3" w:rsidP="004806D3">
      <w:pPr>
        <w:spacing w:after="0" w:line="240" w:lineRule="auto"/>
        <w:rPr>
          <w:lang w:val="fr-FR"/>
        </w:rPr>
      </w:pPr>
    </w:p>
    <w:p w14:paraId="33466120" w14:textId="37FEF6C1" w:rsidR="004806D3" w:rsidRPr="00B86564" w:rsidRDefault="00E42030" w:rsidP="004806D3">
      <w:pPr>
        <w:spacing w:after="0" w:line="240" w:lineRule="auto"/>
        <w:rPr>
          <w:rFonts w:ascii="Aptos" w:eastAsia="Aptos" w:hAnsi="Aptos" w:cs="Times New Roman"/>
          <w:lang w:val="fr-CA"/>
        </w:rPr>
      </w:pPr>
      <w:r>
        <w:rPr>
          <w:rFonts w:ascii="Aptos" w:eastAsia="Aptos" w:hAnsi="Aptos" w:cs="Times New Roman"/>
          <w:b/>
          <w:bCs/>
          <w:lang w:val="fr-CA"/>
        </w:rPr>
        <w:t>Services de soutien linguistique :</w:t>
      </w:r>
      <w:r>
        <w:rPr>
          <w:rFonts w:ascii="Aptos" w:eastAsia="Aptos" w:hAnsi="Aptos" w:cs="Times New Roman"/>
          <w:lang w:val="fr-CA"/>
        </w:rPr>
        <w:t xml:space="preserve"> </w:t>
      </w:r>
      <w:r w:rsidR="00B86564">
        <w:rPr>
          <w:rFonts w:ascii="Aptos" w:eastAsia="Aptos" w:hAnsi="Aptos" w:cs="Times New Roman"/>
          <w:lang w:val="fr-CA"/>
        </w:rPr>
        <w:t>l</w:t>
      </w:r>
      <w:r>
        <w:rPr>
          <w:rFonts w:ascii="Aptos" w:eastAsia="Aptos" w:hAnsi="Aptos" w:cs="Times New Roman"/>
          <w:lang w:val="fr-CA"/>
        </w:rPr>
        <w:t>e système de soins de santé ARMC offrira des services de soutien linguistique aux personnes ayant une maîtrise limitée de l’anglais (y compris leurs accompagnateurs) afin de garantir un accès réel à nos programmes, activités, services et autres avantages. Les services de soutien linguistique peuvent comprendre :</w:t>
      </w:r>
    </w:p>
    <w:p w14:paraId="2E08D700" w14:textId="77777777" w:rsidR="004806D3" w:rsidRDefault="00E42030" w:rsidP="004806D3">
      <w:pPr>
        <w:pStyle w:val="ListParagraph"/>
        <w:numPr>
          <w:ilvl w:val="0"/>
          <w:numId w:val="1"/>
        </w:numPr>
        <w:spacing w:after="0" w:line="240" w:lineRule="auto"/>
      </w:pPr>
      <w:r>
        <w:rPr>
          <w:rFonts w:ascii="Aptos" w:eastAsia="Aptos" w:hAnsi="Aptos" w:cs="Times New Roman"/>
          <w:lang w:val="fr-CA"/>
        </w:rPr>
        <w:t>Documents traduits, électroniques ou écrits</w:t>
      </w:r>
    </w:p>
    <w:p w14:paraId="242CF4B1" w14:textId="77777777" w:rsidR="004806D3" w:rsidRDefault="00E42030" w:rsidP="004806D3">
      <w:pPr>
        <w:pStyle w:val="ListParagraph"/>
        <w:numPr>
          <w:ilvl w:val="0"/>
          <w:numId w:val="1"/>
        </w:numPr>
        <w:spacing w:after="0" w:line="240" w:lineRule="auto"/>
      </w:pPr>
      <w:r>
        <w:rPr>
          <w:rFonts w:ascii="Aptos" w:eastAsia="Aptos" w:hAnsi="Aptos" w:cs="Times New Roman"/>
          <w:lang w:val="fr-CA"/>
        </w:rPr>
        <w:t>Interprètes qualifiés</w:t>
      </w:r>
    </w:p>
    <w:p w14:paraId="6BB3EE09" w14:textId="77777777" w:rsidR="004806D3" w:rsidRDefault="004806D3" w:rsidP="004806D3">
      <w:pPr>
        <w:spacing w:after="0" w:line="240" w:lineRule="auto"/>
      </w:pPr>
    </w:p>
    <w:p w14:paraId="70BFB0E6" w14:textId="68DC3FA6" w:rsidR="004806D3" w:rsidRPr="00B86564" w:rsidRDefault="00E42030" w:rsidP="004806D3">
      <w:pPr>
        <w:spacing w:after="0" w:line="240" w:lineRule="auto"/>
        <w:rPr>
          <w:lang w:val="fr-FR"/>
        </w:rPr>
      </w:pPr>
      <w:r>
        <w:rPr>
          <w:rFonts w:ascii="Aptos" w:eastAsia="Aptos" w:hAnsi="Aptos" w:cs="Times New Roman"/>
          <w:b/>
          <w:bCs/>
          <w:lang w:val="fr-CA"/>
        </w:rPr>
        <w:t>Prestation des services de soutien linguistique et des aides et services auxiliaires appropriés :</w:t>
      </w:r>
      <w:r>
        <w:rPr>
          <w:rFonts w:ascii="Aptos" w:eastAsia="Aptos" w:hAnsi="Aptos" w:cs="Times New Roman"/>
          <w:lang w:val="fr-CA"/>
        </w:rPr>
        <w:t xml:space="preserve"> </w:t>
      </w:r>
      <w:r w:rsidR="00B86564">
        <w:rPr>
          <w:rFonts w:ascii="Aptos" w:eastAsia="Aptos" w:hAnsi="Aptos" w:cs="Times New Roman"/>
          <w:lang w:val="fr-CA"/>
        </w:rPr>
        <w:t>l</w:t>
      </w:r>
      <w:r>
        <w:rPr>
          <w:rFonts w:ascii="Aptos" w:eastAsia="Aptos" w:hAnsi="Aptos" w:cs="Times New Roman"/>
          <w:lang w:val="fr-CA"/>
        </w:rPr>
        <w:t>e système de santé ARMC fournira des services de soutien linguistique ainsi que les aides et services auxiliaires appropriés aux personnes handicapées (y compris leurs accompagnateurs handicapés) afin d’assurer une communication efficace. Les aides et services auxiliaires appropriés peuvent comprendre :</w:t>
      </w:r>
    </w:p>
    <w:p w14:paraId="04F25B79" w14:textId="77777777" w:rsidR="004806D3" w:rsidRPr="00B86564" w:rsidRDefault="00E42030" w:rsidP="004806D3">
      <w:pPr>
        <w:pStyle w:val="ListParagraph"/>
        <w:numPr>
          <w:ilvl w:val="0"/>
          <w:numId w:val="2"/>
        </w:numPr>
        <w:spacing w:after="0" w:line="240" w:lineRule="auto"/>
        <w:rPr>
          <w:lang w:val="fr-FR"/>
        </w:rPr>
      </w:pPr>
      <w:r>
        <w:rPr>
          <w:rFonts w:ascii="Aptos" w:eastAsia="Aptos" w:hAnsi="Aptos" w:cs="Times New Roman"/>
          <w:lang w:val="fr-CA"/>
        </w:rPr>
        <w:t>Interprètes qualifiés, y compris les interprètes en langue des signes américaine (ASL)</w:t>
      </w:r>
    </w:p>
    <w:p w14:paraId="60ABE46E" w14:textId="77777777" w:rsidR="004806D3" w:rsidRDefault="00E42030" w:rsidP="004806D3">
      <w:pPr>
        <w:pStyle w:val="ListParagraph"/>
        <w:numPr>
          <w:ilvl w:val="0"/>
          <w:numId w:val="2"/>
        </w:numPr>
        <w:spacing w:after="0" w:line="240" w:lineRule="auto"/>
      </w:pPr>
      <w:r>
        <w:rPr>
          <w:rFonts w:ascii="Aptos" w:eastAsia="Aptos" w:hAnsi="Aptos" w:cs="Times New Roman"/>
          <w:lang w:val="fr-CA"/>
        </w:rPr>
        <w:t>Interprétation vidéo à distance</w:t>
      </w:r>
    </w:p>
    <w:p w14:paraId="3D6747FF" w14:textId="77777777" w:rsidR="004806D3" w:rsidRPr="00B86564" w:rsidRDefault="00E42030" w:rsidP="004806D3">
      <w:pPr>
        <w:pStyle w:val="ListParagraph"/>
        <w:numPr>
          <w:ilvl w:val="0"/>
          <w:numId w:val="2"/>
        </w:numPr>
        <w:spacing w:after="0" w:line="240" w:lineRule="auto"/>
        <w:rPr>
          <w:lang w:val="fr-FR"/>
        </w:rPr>
      </w:pPr>
      <w:r>
        <w:rPr>
          <w:rFonts w:ascii="Aptos" w:eastAsia="Aptos" w:hAnsi="Aptos" w:cs="Times New Roman"/>
          <w:lang w:val="fr-CA"/>
        </w:rPr>
        <w:t>Renseignements en formats substituts (y compris, mais sans s’y limiter, les gros caractères, les enregistrements audio et les formats électroniques accessibles)</w:t>
      </w:r>
    </w:p>
    <w:p w14:paraId="3E41DB07" w14:textId="77777777" w:rsidR="004806D3" w:rsidRPr="00B86564" w:rsidRDefault="004806D3" w:rsidP="004806D3">
      <w:pPr>
        <w:spacing w:after="0" w:line="240" w:lineRule="auto"/>
        <w:rPr>
          <w:lang w:val="fr-FR"/>
        </w:rPr>
      </w:pPr>
    </w:p>
    <w:p w14:paraId="7F7C69C4" w14:textId="0346356F" w:rsidR="004806D3" w:rsidRPr="00B86564" w:rsidRDefault="00E42030" w:rsidP="004806D3">
      <w:pPr>
        <w:spacing w:after="0" w:line="240" w:lineRule="auto"/>
        <w:rPr>
          <w:lang w:val="fr-FR"/>
        </w:rPr>
      </w:pPr>
      <w:r>
        <w:rPr>
          <w:rFonts w:ascii="Aptos" w:eastAsia="Aptos" w:hAnsi="Aptos" w:cs="Times New Roman"/>
          <w:b/>
          <w:bCs/>
          <w:lang w:val="fr-CA"/>
        </w:rPr>
        <w:t>Modifications raisonnables :</w:t>
      </w:r>
      <w:r>
        <w:rPr>
          <w:rFonts w:ascii="Aptos" w:eastAsia="Aptos" w:hAnsi="Aptos" w:cs="Times New Roman"/>
          <w:lang w:val="fr-CA"/>
        </w:rPr>
        <w:t xml:space="preserve"> </w:t>
      </w:r>
      <w:r w:rsidR="00B86564">
        <w:rPr>
          <w:rFonts w:ascii="Aptos" w:eastAsia="Aptos" w:hAnsi="Aptos" w:cs="Times New Roman"/>
          <w:lang w:val="fr-CA"/>
        </w:rPr>
        <w:t>l</w:t>
      </w:r>
      <w:r>
        <w:rPr>
          <w:rFonts w:ascii="Aptos" w:eastAsia="Aptos" w:hAnsi="Aptos" w:cs="Times New Roman"/>
          <w:lang w:val="fr-CA"/>
        </w:rPr>
        <w:t>e système de soins de santé ARMC apportera des modifications raisonnables aux personnes handicapées, au besoin, afin d’assurer l’accessibilité et l’égalité des chances de participer à nos programmes, activités, services ou autres avantages.</w:t>
      </w:r>
    </w:p>
    <w:p w14:paraId="62F27651" w14:textId="77777777" w:rsidR="00C743E0" w:rsidRPr="00B86564" w:rsidRDefault="00C743E0" w:rsidP="004806D3">
      <w:pPr>
        <w:spacing w:after="0" w:line="240" w:lineRule="auto"/>
        <w:rPr>
          <w:lang w:val="fr-FR"/>
        </w:rPr>
      </w:pPr>
    </w:p>
    <w:p w14:paraId="0AB1F3D8" w14:textId="77777777" w:rsidR="00C743E0" w:rsidRPr="00B86564" w:rsidRDefault="00E42030" w:rsidP="004806D3">
      <w:pPr>
        <w:spacing w:after="0" w:line="240" w:lineRule="auto"/>
        <w:rPr>
          <w:lang w:val="fr-FR"/>
        </w:rPr>
      </w:pPr>
      <w:r>
        <w:rPr>
          <w:rFonts w:ascii="Aptos" w:eastAsia="Aptos" w:hAnsi="Aptos" w:cs="Times New Roman"/>
          <w:lang w:val="fr-CA"/>
        </w:rPr>
        <w:t xml:space="preserve">Pour accéder à nos services de soutien linguistique, à nos services et aides auxiliaires ou pour obtenir une modification raisonnable, veuillez communiquer avec un membre de votre équipe soignante. Pour obtenir une assistance supplémentaire, vous pouvez également communiquer avec le superviseur des soins infirmiers par l’entremise de votre équipe soignante. </w:t>
      </w:r>
    </w:p>
    <w:p w14:paraId="67E466F4" w14:textId="77777777" w:rsidR="00C743E0" w:rsidRPr="00B86564" w:rsidRDefault="00C743E0" w:rsidP="004806D3">
      <w:pPr>
        <w:spacing w:after="0" w:line="240" w:lineRule="auto"/>
        <w:rPr>
          <w:lang w:val="fr-FR"/>
        </w:rPr>
      </w:pPr>
    </w:p>
    <w:p w14:paraId="404E9567" w14:textId="77777777" w:rsidR="00C743E0" w:rsidRPr="00B86564" w:rsidRDefault="00E42030" w:rsidP="004806D3">
      <w:pPr>
        <w:spacing w:after="0" w:line="240" w:lineRule="auto"/>
        <w:rPr>
          <w:lang w:val="fr-FR"/>
        </w:rPr>
      </w:pPr>
      <w:r>
        <w:rPr>
          <w:rFonts w:ascii="Aptos" w:eastAsia="Aptos" w:hAnsi="Aptos" w:cs="Times New Roman"/>
          <w:lang w:val="fr-CA"/>
        </w:rPr>
        <w:t xml:space="preserve">Si vous croyez que le système de santé ARMC n’a pas fourni ces services ou a exercé une discrimination d’une autre manière fondée sur l’origine ethnique, la couleur, l’origine nationale, le sexe, l’âge ou l’invalidité, vous pouvez déposer un grief auprès de la personne-ressource de l’entité ci-dessous : </w:t>
      </w:r>
    </w:p>
    <w:p w14:paraId="21C66670" w14:textId="11F176DC" w:rsidR="004F6FC8" w:rsidRDefault="004F6FC8">
      <w:pPr>
        <w:rPr>
          <w:lang w:val="fr-FR"/>
        </w:rPr>
      </w:pPr>
      <w:r>
        <w:rPr>
          <w:lang w:val="fr-FR"/>
        </w:rPr>
        <w:br w:type="page"/>
      </w:r>
    </w:p>
    <w:p w14:paraId="77699F46" w14:textId="77777777" w:rsidR="00C743E0" w:rsidRPr="00B86564" w:rsidRDefault="00C743E0" w:rsidP="004806D3">
      <w:pPr>
        <w:spacing w:after="0" w:line="240" w:lineRule="auto"/>
        <w:rPr>
          <w:lang w:val="fr-FR"/>
        </w:rPr>
      </w:pPr>
    </w:p>
    <w:p w14:paraId="53549E3E" w14:textId="2CB10EBE" w:rsidR="00C743E0" w:rsidRPr="00B86564" w:rsidRDefault="00E42030" w:rsidP="004806D3">
      <w:pPr>
        <w:spacing w:after="0" w:line="240" w:lineRule="auto"/>
        <w:rPr>
          <w:lang w:val="fr-FR"/>
        </w:rPr>
      </w:pPr>
      <w:r>
        <w:rPr>
          <w:rFonts w:ascii="Aptos" w:eastAsia="Aptos" w:hAnsi="Aptos" w:cs="Times New Roman"/>
          <w:lang w:val="fr-CA"/>
        </w:rPr>
        <w:t>Ombudsman</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Directeur qualité</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Responsable qualité</w:t>
      </w:r>
    </w:p>
    <w:p w14:paraId="70479C45" w14:textId="37149BFD" w:rsidR="00C743E0" w:rsidRPr="00B86564" w:rsidRDefault="00E42030" w:rsidP="004806D3">
      <w:pPr>
        <w:spacing w:after="0" w:line="240" w:lineRule="auto"/>
        <w:rPr>
          <w:lang w:val="en-GB"/>
        </w:rPr>
      </w:pPr>
      <w:r w:rsidRPr="00B86564">
        <w:rPr>
          <w:rFonts w:ascii="Aptos" w:eastAsia="Aptos" w:hAnsi="Aptos" w:cs="Times New Roman"/>
          <w:lang w:val="en-GB"/>
        </w:rPr>
        <w:t xml:space="preserve">Ashtabula Regional Medical </w:t>
      </w:r>
      <w:proofErr w:type="spellStart"/>
      <w:r w:rsidRPr="00B86564">
        <w:rPr>
          <w:rFonts w:ascii="Aptos" w:eastAsia="Aptos" w:hAnsi="Aptos" w:cs="Times New Roman"/>
          <w:lang w:val="en-GB"/>
        </w:rPr>
        <w:t>Center</w:t>
      </w:r>
      <w:proofErr w:type="spellEnd"/>
      <w:r w:rsidRPr="00B86564">
        <w:rPr>
          <w:rFonts w:ascii="Aptos" w:eastAsia="Aptos" w:hAnsi="Aptos" w:cs="Times New Roman"/>
          <w:lang w:val="en-GB"/>
        </w:rPr>
        <w:t xml:space="preserve"> </w:t>
      </w:r>
      <w:r>
        <w:rPr>
          <w:rFonts w:ascii="Aptos" w:eastAsia="Aptos" w:hAnsi="Aptos" w:cs="Times New Roman"/>
          <w:lang w:val="en-GB"/>
        </w:rPr>
        <w:tab/>
      </w:r>
      <w:r w:rsidRPr="00B86564">
        <w:rPr>
          <w:rFonts w:ascii="Aptos" w:eastAsia="Aptos" w:hAnsi="Aptos" w:cs="Times New Roman"/>
          <w:lang w:val="en-GB"/>
        </w:rPr>
        <w:tab/>
        <w:t>ARMC Home Health</w:t>
      </w:r>
      <w:r w:rsidRPr="00B86564">
        <w:rPr>
          <w:rFonts w:ascii="Aptos" w:eastAsia="Aptos" w:hAnsi="Aptos" w:cs="Times New Roman"/>
          <w:lang w:val="en-GB"/>
        </w:rPr>
        <w:tab/>
      </w:r>
      <w:r w:rsidRPr="00B86564">
        <w:rPr>
          <w:rFonts w:ascii="Aptos" w:eastAsia="Aptos" w:hAnsi="Aptos" w:cs="Times New Roman"/>
          <w:lang w:val="en-GB"/>
        </w:rPr>
        <w:tab/>
      </w:r>
      <w:r>
        <w:rPr>
          <w:rFonts w:ascii="Aptos" w:eastAsia="Aptos" w:hAnsi="Aptos" w:cs="Times New Roman"/>
          <w:lang w:val="en-GB"/>
        </w:rPr>
        <w:tab/>
      </w:r>
      <w:proofErr w:type="spellStart"/>
      <w:r w:rsidRPr="00B86564">
        <w:rPr>
          <w:rFonts w:ascii="Aptos" w:eastAsia="Aptos" w:hAnsi="Aptos" w:cs="Times New Roman"/>
          <w:lang w:val="en-GB"/>
        </w:rPr>
        <w:t>Glenbeigh</w:t>
      </w:r>
      <w:proofErr w:type="spellEnd"/>
    </w:p>
    <w:p w14:paraId="0642E48D" w14:textId="202D4AEF" w:rsidR="00C743E0" w:rsidRPr="00B86564" w:rsidRDefault="00E42030" w:rsidP="004806D3">
      <w:pPr>
        <w:spacing w:after="0" w:line="240" w:lineRule="auto"/>
        <w:rPr>
          <w:lang w:val="fr-FR"/>
        </w:rPr>
      </w:pPr>
      <w:r>
        <w:rPr>
          <w:rFonts w:ascii="Aptos" w:eastAsia="Aptos" w:hAnsi="Aptos" w:cs="Times New Roman"/>
          <w:lang w:val="fr-CA"/>
        </w:rPr>
        <w:t xml:space="preserve">2420 Lake Avenue </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2131 Lake Ave, Ste 2</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2863 State Route 45N</w:t>
      </w:r>
    </w:p>
    <w:p w14:paraId="3A52DF36" w14:textId="77777777" w:rsidR="00E42030" w:rsidRDefault="00E42030" w:rsidP="004806D3">
      <w:pPr>
        <w:spacing w:after="0" w:line="240" w:lineRule="auto"/>
        <w:rPr>
          <w:rFonts w:ascii="Aptos" w:eastAsia="Aptos" w:hAnsi="Aptos" w:cs="Times New Roman"/>
          <w:lang w:val="fr-CA"/>
        </w:rPr>
      </w:pPr>
      <w:r>
        <w:rPr>
          <w:rFonts w:ascii="Aptos" w:eastAsia="Aptos" w:hAnsi="Aptos" w:cs="Times New Roman"/>
          <w:lang w:val="fr-CA"/>
        </w:rPr>
        <w:t>Ashtabula, OH 44004 États-Unis</w:t>
      </w:r>
      <w:r>
        <w:rPr>
          <w:rFonts w:ascii="Aptos" w:eastAsia="Aptos" w:hAnsi="Aptos" w:cs="Times New Roman"/>
          <w:lang w:val="fr-CA"/>
        </w:rPr>
        <w:tab/>
      </w:r>
      <w:r>
        <w:rPr>
          <w:rFonts w:ascii="Aptos" w:eastAsia="Aptos" w:hAnsi="Aptos" w:cs="Times New Roman"/>
          <w:lang w:val="fr-CA"/>
        </w:rPr>
        <w:tab/>
        <w:t>Ashtabula, OH 44004 États-Unis</w:t>
      </w:r>
      <w:r>
        <w:rPr>
          <w:rFonts w:ascii="Aptos" w:eastAsia="Aptos" w:hAnsi="Aptos" w:cs="Times New Roman"/>
          <w:lang w:val="fr-CA"/>
        </w:rPr>
        <w:tab/>
        <w:t xml:space="preserve">Rock Creek, OH 44084 </w:t>
      </w:r>
    </w:p>
    <w:p w14:paraId="4F46B4D6" w14:textId="7B06435A" w:rsidR="00C743E0" w:rsidRPr="00B86564" w:rsidRDefault="00E42030" w:rsidP="00E42030">
      <w:pPr>
        <w:spacing w:after="0" w:line="240" w:lineRule="auto"/>
        <w:ind w:firstLine="7920"/>
        <w:rPr>
          <w:lang w:val="fr-FR"/>
        </w:rPr>
      </w:pPr>
      <w:r>
        <w:rPr>
          <w:rFonts w:ascii="Aptos" w:eastAsia="Aptos" w:hAnsi="Aptos" w:cs="Times New Roman"/>
          <w:lang w:val="fr-CA"/>
        </w:rPr>
        <w:t>États-Unis</w:t>
      </w:r>
    </w:p>
    <w:p w14:paraId="669457BF" w14:textId="01727CE0" w:rsidR="000E1316" w:rsidRPr="00B86564" w:rsidRDefault="00E42030" w:rsidP="004806D3">
      <w:pPr>
        <w:spacing w:after="0" w:line="240" w:lineRule="auto"/>
        <w:rPr>
          <w:lang w:val="fr-FR"/>
        </w:rPr>
      </w:pPr>
      <w:r>
        <w:rPr>
          <w:rFonts w:ascii="Aptos" w:eastAsia="Aptos" w:hAnsi="Aptos" w:cs="Times New Roman"/>
          <w:lang w:val="fr-CA"/>
        </w:rPr>
        <w:t>440-997-2262</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440-992-4633</w:t>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r>
      <w:r>
        <w:rPr>
          <w:rFonts w:ascii="Aptos" w:eastAsia="Aptos" w:hAnsi="Aptos" w:cs="Times New Roman"/>
          <w:lang w:val="fr-CA"/>
        </w:rPr>
        <w:tab/>
        <w:t>440-563-3400</w:t>
      </w:r>
    </w:p>
    <w:p w14:paraId="63F72AB4" w14:textId="77777777" w:rsidR="00C743E0" w:rsidRPr="00B86564" w:rsidRDefault="00C743E0" w:rsidP="004806D3">
      <w:pPr>
        <w:spacing w:after="0" w:line="240" w:lineRule="auto"/>
        <w:rPr>
          <w:lang w:val="fr-FR"/>
        </w:rPr>
      </w:pPr>
    </w:p>
    <w:p w14:paraId="1C2E1FF2" w14:textId="77777777" w:rsidR="00C743E0" w:rsidRPr="00B86564" w:rsidRDefault="00E42030" w:rsidP="004806D3">
      <w:pPr>
        <w:spacing w:after="0" w:line="240" w:lineRule="auto"/>
        <w:rPr>
          <w:lang w:val="fr-FR"/>
        </w:rPr>
      </w:pPr>
      <w:r>
        <w:rPr>
          <w:rFonts w:ascii="Aptos" w:eastAsia="Aptos" w:hAnsi="Aptos" w:cs="Times New Roman"/>
          <w:lang w:val="fr-CA"/>
        </w:rPr>
        <w:t xml:space="preserve">Vous pouvez également déposer une réclamation auprès du ministère de la Santé et des Services sociaux des États-Unis, à l’Office for Civil Rights, en ligne à l’adresse </w:t>
      </w:r>
      <w:hyperlink r:id="rId7" w:history="1">
        <w:r w:rsidR="00C743E0">
          <w:rPr>
            <w:rFonts w:ascii="Aptos" w:eastAsia="Aptos" w:hAnsi="Aptos" w:cs="Times New Roman"/>
            <w:color w:val="467886"/>
            <w:u w:val="single"/>
            <w:lang w:val="fr-CA"/>
          </w:rPr>
          <w:t>https://ocrportal.hhs.gov/ocr/smartscreen/main.jsf</w:t>
        </w:r>
      </w:hyperlink>
      <w:r>
        <w:rPr>
          <w:rFonts w:ascii="Aptos" w:eastAsia="Aptos" w:hAnsi="Aptos" w:cs="Times New Roman"/>
          <w:lang w:val="fr-CA"/>
        </w:rPr>
        <w:t xml:space="preserve"> ou par la poste à l’adresse suivante :</w:t>
      </w:r>
    </w:p>
    <w:p w14:paraId="308C579D" w14:textId="77777777" w:rsidR="00C743E0" w:rsidRPr="00B86564" w:rsidRDefault="00C743E0" w:rsidP="004806D3">
      <w:pPr>
        <w:spacing w:after="0" w:line="240" w:lineRule="auto"/>
        <w:rPr>
          <w:lang w:val="fr-FR"/>
        </w:rPr>
      </w:pPr>
    </w:p>
    <w:p w14:paraId="1309ED91" w14:textId="77777777" w:rsidR="00C743E0" w:rsidRPr="00B86564" w:rsidRDefault="00E42030" w:rsidP="004806D3">
      <w:pPr>
        <w:spacing w:after="0" w:line="240" w:lineRule="auto"/>
        <w:rPr>
          <w:lang w:val="fr-FR"/>
        </w:rPr>
      </w:pPr>
      <w:r>
        <w:rPr>
          <w:rFonts w:ascii="Aptos" w:eastAsia="Aptos" w:hAnsi="Aptos" w:cs="Times New Roman"/>
          <w:lang w:val="fr-CA"/>
        </w:rPr>
        <w:t>Ministère de la Santé et des Services sociaux des États-Unis</w:t>
      </w:r>
    </w:p>
    <w:p w14:paraId="7EEB8ABF" w14:textId="77777777" w:rsidR="00C743E0" w:rsidRPr="00B86564" w:rsidRDefault="00E42030" w:rsidP="004806D3">
      <w:pPr>
        <w:spacing w:after="0" w:line="240" w:lineRule="auto"/>
        <w:rPr>
          <w:lang w:val="fr-FR"/>
        </w:rPr>
      </w:pPr>
      <w:r>
        <w:rPr>
          <w:rFonts w:ascii="Aptos" w:eastAsia="Aptos" w:hAnsi="Aptos" w:cs="Times New Roman"/>
          <w:lang w:val="fr-CA"/>
        </w:rPr>
        <w:t>200 Independence Avenue, SW – 509F</w:t>
      </w:r>
    </w:p>
    <w:p w14:paraId="2D36AEA2" w14:textId="77777777" w:rsidR="00C743E0" w:rsidRPr="00B86564" w:rsidRDefault="00E42030" w:rsidP="004806D3">
      <w:pPr>
        <w:spacing w:after="0" w:line="240" w:lineRule="auto"/>
        <w:rPr>
          <w:lang w:val="fr-FR"/>
        </w:rPr>
      </w:pPr>
      <w:r>
        <w:rPr>
          <w:rFonts w:ascii="Aptos" w:eastAsia="Aptos" w:hAnsi="Aptos" w:cs="Times New Roman"/>
          <w:lang w:val="fr-CA"/>
        </w:rPr>
        <w:t>Washington, DC 20201 États-Unis</w:t>
      </w:r>
    </w:p>
    <w:p w14:paraId="25D65066" w14:textId="77777777" w:rsidR="00E93BB0" w:rsidRPr="00B86564" w:rsidRDefault="00E93BB0" w:rsidP="004806D3">
      <w:pPr>
        <w:spacing w:after="0" w:line="240" w:lineRule="auto"/>
        <w:rPr>
          <w:lang w:val="fr-FR"/>
        </w:rPr>
      </w:pPr>
    </w:p>
    <w:p w14:paraId="29D720D6" w14:textId="77777777" w:rsidR="00E93BB0" w:rsidRPr="00B86564" w:rsidRDefault="00E93BB0" w:rsidP="004806D3">
      <w:pPr>
        <w:spacing w:after="0" w:line="240" w:lineRule="auto"/>
        <w:rPr>
          <w:lang w:val="fr-FR"/>
        </w:rPr>
      </w:pPr>
    </w:p>
    <w:p w14:paraId="3D138C08" w14:textId="77777777" w:rsidR="00E93BB0" w:rsidRPr="00B86564" w:rsidRDefault="00E93BB0" w:rsidP="004806D3">
      <w:pPr>
        <w:spacing w:after="0" w:line="240" w:lineRule="auto"/>
        <w:rPr>
          <w:lang w:val="fr-FR"/>
        </w:rPr>
      </w:pPr>
    </w:p>
    <w:p w14:paraId="31EFE407" w14:textId="77777777" w:rsidR="00E93BB0" w:rsidRPr="00B86564" w:rsidRDefault="00E93BB0" w:rsidP="004806D3">
      <w:pPr>
        <w:spacing w:after="0" w:line="240" w:lineRule="auto"/>
        <w:rPr>
          <w:lang w:val="fr-FR"/>
        </w:rPr>
      </w:pPr>
    </w:p>
    <w:p w14:paraId="5B0BA134" w14:textId="68B7D58A" w:rsidR="00E93BB0" w:rsidRPr="004806D3" w:rsidRDefault="00E42030" w:rsidP="004806D3">
      <w:pPr>
        <w:spacing w:after="0" w:line="240" w:lineRule="auto"/>
      </w:pPr>
      <w:r>
        <w:rPr>
          <w:noProof/>
        </w:rPr>
        <w:drawing>
          <wp:inline distT="0" distB="0" distL="0" distR="0" wp14:anchorId="4E7BA92B" wp14:editId="7915A7EA">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68343EBA" w14:textId="77777777" w:rsidR="00E93BB0" w:rsidRDefault="00E93BB0">
      <w:pPr>
        <w:rPr>
          <w:sz w:val="28"/>
          <w:szCs w:val="28"/>
        </w:rPr>
      </w:pPr>
    </w:p>
    <w:p w14:paraId="3757428F" w14:textId="6EACB021" w:rsidR="00E93BB0" w:rsidRDefault="00E42030">
      <w:pPr>
        <w:rPr>
          <w:sz w:val="28"/>
          <w:szCs w:val="28"/>
        </w:rPr>
      </w:pPr>
      <w:r>
        <w:rPr>
          <w:noProof/>
          <w:sz w:val="28"/>
          <w:szCs w:val="28"/>
        </w:rPr>
        <w:drawing>
          <wp:inline distT="0" distB="0" distL="0" distR="0" wp14:anchorId="4ED7BF48" wp14:editId="45D20FFD">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29A12B63" w14:textId="77777777" w:rsidR="00E93BB0" w:rsidRPr="00E93BB0" w:rsidRDefault="00E93BB0">
      <w:pPr>
        <w:rPr>
          <w:sz w:val="20"/>
          <w:szCs w:val="20"/>
        </w:rPr>
      </w:pPr>
    </w:p>
    <w:p w14:paraId="270A3ABA" w14:textId="4DFE8472" w:rsidR="00E93BB0" w:rsidRPr="004806D3" w:rsidRDefault="00E42030">
      <w:pPr>
        <w:rPr>
          <w:sz w:val="28"/>
          <w:szCs w:val="28"/>
        </w:rPr>
      </w:pPr>
      <w:r>
        <w:rPr>
          <w:noProof/>
          <w:sz w:val="28"/>
          <w:szCs w:val="28"/>
        </w:rPr>
        <w:drawing>
          <wp:inline distT="0" distB="0" distL="0" distR="0" wp14:anchorId="26BC26CB" wp14:editId="1B28F0F9">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4806D3" w:rsidSect="00C743E0">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6901" w14:textId="77777777" w:rsidR="00000D68" w:rsidRDefault="00000D68">
      <w:pPr>
        <w:spacing w:after="0" w:line="240" w:lineRule="auto"/>
      </w:pPr>
      <w:r>
        <w:separator/>
      </w:r>
    </w:p>
  </w:endnote>
  <w:endnote w:type="continuationSeparator" w:id="0">
    <w:p w14:paraId="7A95DDE9" w14:textId="77777777" w:rsidR="00000D68" w:rsidRDefault="0000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7AA" w14:textId="77777777" w:rsidR="00771492" w:rsidRDefault="004F6FC8">
    <w:pPr>
      <w:pStyle w:val="Footer"/>
    </w:pPr>
    <w:r>
      <w:fldChar w:fldCharType="begin"/>
    </w:r>
    <w:r>
      <w:instrText xml:space="preserve"> DOCPROPERTY DOCXDOCID DMS=InterwovenIManage Format=&lt;&lt;NUM&gt;&gt; _&lt;&lt;VER&gt;&gt; PRESERVELOCATION \* MERGEFORMAT </w:instrText>
    </w:r>
    <w:r>
      <w:fldChar w:fldCharType="separate"/>
    </w:r>
    <w:r w:rsidR="000D68F6">
      <w:rPr>
        <w:rFonts w:ascii="Aptos" w:eastAsia="Aptos" w:hAnsi="Aptos" w:cs="Times New Roman"/>
        <w:lang w:val="fr-CA"/>
      </w:rPr>
      <w:t>23477426 _1</w:t>
    </w:r>
    <w:r>
      <w:rPr>
        <w:rFonts w:ascii="Aptos" w:eastAsia="Aptos" w:hAnsi="Aptos" w:cs="Times New Roman"/>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A654" w14:textId="77777777" w:rsidR="00771492" w:rsidRDefault="004F6FC8">
    <w:pPr>
      <w:pStyle w:val="Footer"/>
    </w:pPr>
    <w:r>
      <w:fldChar w:fldCharType="begin"/>
    </w:r>
    <w:r>
      <w:instrText xml:space="preserve"> DOCPROPERTY DOCXDOCID DMS=InterwovenIManage Format=&lt;&lt;NUM&gt;&gt; _&lt;&lt;VER&gt;&gt; PRESERVELOCATION \* MERGEFORMAT </w:instrText>
    </w:r>
    <w:r>
      <w:fldChar w:fldCharType="separate"/>
    </w:r>
    <w:r w:rsidR="000D68F6">
      <w:rPr>
        <w:rFonts w:ascii="Aptos" w:eastAsia="Aptos" w:hAnsi="Aptos" w:cs="Times New Roman"/>
        <w:lang w:val="fr-CA"/>
      </w:rPr>
      <w:t>23477426 _1</w:t>
    </w:r>
    <w:r>
      <w:rPr>
        <w:rFonts w:ascii="Aptos" w:eastAsia="Aptos" w:hAnsi="Aptos" w:cs="Times New Roman"/>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3568" w14:textId="77777777" w:rsidR="00771492" w:rsidRDefault="004F6FC8">
    <w:pPr>
      <w:pStyle w:val="Footer"/>
    </w:pPr>
    <w:r>
      <w:fldChar w:fldCharType="begin"/>
    </w:r>
    <w:r>
      <w:instrText xml:space="preserve"> DOCPROPERTY DOCXDOC</w:instrText>
    </w:r>
    <w:r>
      <w:instrText xml:space="preserve">ID DMS=InterwovenIManage Format=&lt;&lt;NUM&gt;&gt; _&lt;&lt;VER&gt;&gt; PRESERVELOCATION \* MERGEFORMAT </w:instrText>
    </w:r>
    <w:r>
      <w:fldChar w:fldCharType="separate"/>
    </w:r>
    <w:r w:rsidR="000D68F6">
      <w:rPr>
        <w:rFonts w:ascii="Aptos" w:eastAsia="Aptos" w:hAnsi="Aptos" w:cs="Times New Roman"/>
        <w:lang w:val="fr-CA"/>
      </w:rPr>
      <w:t>23477426 _1</w:t>
    </w:r>
    <w:r>
      <w:rPr>
        <w:rFonts w:ascii="Aptos" w:eastAsia="Aptos" w:hAnsi="Aptos" w:cs="Times New Roman"/>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D095" w14:textId="77777777" w:rsidR="00000D68" w:rsidRDefault="00000D68">
      <w:pPr>
        <w:spacing w:after="0" w:line="240" w:lineRule="auto"/>
      </w:pPr>
      <w:r>
        <w:separator/>
      </w:r>
    </w:p>
  </w:footnote>
  <w:footnote w:type="continuationSeparator" w:id="0">
    <w:p w14:paraId="33DCFB12" w14:textId="77777777" w:rsidR="00000D68" w:rsidRDefault="0000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1486" w14:textId="77777777" w:rsidR="00771492" w:rsidRDefault="00771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19A2" w14:textId="77777777" w:rsidR="00771492" w:rsidRDefault="00771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B191" w14:textId="77777777" w:rsidR="00771492" w:rsidRDefault="0077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3FC"/>
    <w:multiLevelType w:val="hybridMultilevel"/>
    <w:tmpl w:val="E02CA3F2"/>
    <w:lvl w:ilvl="0" w:tplc="8FECDF24">
      <w:start w:val="1"/>
      <w:numFmt w:val="bullet"/>
      <w:lvlText w:val=""/>
      <w:lvlJc w:val="left"/>
      <w:pPr>
        <w:ind w:left="720" w:hanging="360"/>
      </w:pPr>
      <w:rPr>
        <w:rFonts w:ascii="Symbol" w:hAnsi="Symbol" w:hint="default"/>
      </w:rPr>
    </w:lvl>
    <w:lvl w:ilvl="1" w:tplc="E1A076F8" w:tentative="1">
      <w:start w:val="1"/>
      <w:numFmt w:val="bullet"/>
      <w:lvlText w:val="o"/>
      <w:lvlJc w:val="left"/>
      <w:pPr>
        <w:ind w:left="1440" w:hanging="360"/>
      </w:pPr>
      <w:rPr>
        <w:rFonts w:ascii="Courier New" w:hAnsi="Courier New" w:cs="Courier New" w:hint="default"/>
      </w:rPr>
    </w:lvl>
    <w:lvl w:ilvl="2" w:tplc="7780C9D6" w:tentative="1">
      <w:start w:val="1"/>
      <w:numFmt w:val="bullet"/>
      <w:lvlText w:val=""/>
      <w:lvlJc w:val="left"/>
      <w:pPr>
        <w:ind w:left="2160" w:hanging="360"/>
      </w:pPr>
      <w:rPr>
        <w:rFonts w:ascii="Wingdings" w:hAnsi="Wingdings" w:hint="default"/>
      </w:rPr>
    </w:lvl>
    <w:lvl w:ilvl="3" w:tplc="ABBE243A" w:tentative="1">
      <w:start w:val="1"/>
      <w:numFmt w:val="bullet"/>
      <w:lvlText w:val=""/>
      <w:lvlJc w:val="left"/>
      <w:pPr>
        <w:ind w:left="2880" w:hanging="360"/>
      </w:pPr>
      <w:rPr>
        <w:rFonts w:ascii="Symbol" w:hAnsi="Symbol" w:hint="default"/>
      </w:rPr>
    </w:lvl>
    <w:lvl w:ilvl="4" w:tplc="225C8C4C" w:tentative="1">
      <w:start w:val="1"/>
      <w:numFmt w:val="bullet"/>
      <w:lvlText w:val="o"/>
      <w:lvlJc w:val="left"/>
      <w:pPr>
        <w:ind w:left="3600" w:hanging="360"/>
      </w:pPr>
      <w:rPr>
        <w:rFonts w:ascii="Courier New" w:hAnsi="Courier New" w:cs="Courier New" w:hint="default"/>
      </w:rPr>
    </w:lvl>
    <w:lvl w:ilvl="5" w:tplc="CC404CE4" w:tentative="1">
      <w:start w:val="1"/>
      <w:numFmt w:val="bullet"/>
      <w:lvlText w:val=""/>
      <w:lvlJc w:val="left"/>
      <w:pPr>
        <w:ind w:left="4320" w:hanging="360"/>
      </w:pPr>
      <w:rPr>
        <w:rFonts w:ascii="Wingdings" w:hAnsi="Wingdings" w:hint="default"/>
      </w:rPr>
    </w:lvl>
    <w:lvl w:ilvl="6" w:tplc="251860A6" w:tentative="1">
      <w:start w:val="1"/>
      <w:numFmt w:val="bullet"/>
      <w:lvlText w:val=""/>
      <w:lvlJc w:val="left"/>
      <w:pPr>
        <w:ind w:left="5040" w:hanging="360"/>
      </w:pPr>
      <w:rPr>
        <w:rFonts w:ascii="Symbol" w:hAnsi="Symbol" w:hint="default"/>
      </w:rPr>
    </w:lvl>
    <w:lvl w:ilvl="7" w:tplc="58C87E66" w:tentative="1">
      <w:start w:val="1"/>
      <w:numFmt w:val="bullet"/>
      <w:lvlText w:val="o"/>
      <w:lvlJc w:val="left"/>
      <w:pPr>
        <w:ind w:left="5760" w:hanging="360"/>
      </w:pPr>
      <w:rPr>
        <w:rFonts w:ascii="Courier New" w:hAnsi="Courier New" w:cs="Courier New" w:hint="default"/>
      </w:rPr>
    </w:lvl>
    <w:lvl w:ilvl="8" w:tplc="B1300852"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7EDC46B2">
      <w:start w:val="1"/>
      <w:numFmt w:val="bullet"/>
      <w:lvlText w:val=""/>
      <w:lvlJc w:val="left"/>
      <w:pPr>
        <w:ind w:left="720" w:hanging="360"/>
      </w:pPr>
      <w:rPr>
        <w:rFonts w:ascii="Symbol" w:hAnsi="Symbol" w:hint="default"/>
      </w:rPr>
    </w:lvl>
    <w:lvl w:ilvl="1" w:tplc="6DE2DB42" w:tentative="1">
      <w:start w:val="1"/>
      <w:numFmt w:val="bullet"/>
      <w:lvlText w:val="o"/>
      <w:lvlJc w:val="left"/>
      <w:pPr>
        <w:ind w:left="1440" w:hanging="360"/>
      </w:pPr>
      <w:rPr>
        <w:rFonts w:ascii="Courier New" w:hAnsi="Courier New" w:cs="Courier New" w:hint="default"/>
      </w:rPr>
    </w:lvl>
    <w:lvl w:ilvl="2" w:tplc="F90626A4" w:tentative="1">
      <w:start w:val="1"/>
      <w:numFmt w:val="bullet"/>
      <w:lvlText w:val=""/>
      <w:lvlJc w:val="left"/>
      <w:pPr>
        <w:ind w:left="2160" w:hanging="360"/>
      </w:pPr>
      <w:rPr>
        <w:rFonts w:ascii="Wingdings" w:hAnsi="Wingdings" w:hint="default"/>
      </w:rPr>
    </w:lvl>
    <w:lvl w:ilvl="3" w:tplc="EF5E9714" w:tentative="1">
      <w:start w:val="1"/>
      <w:numFmt w:val="bullet"/>
      <w:lvlText w:val=""/>
      <w:lvlJc w:val="left"/>
      <w:pPr>
        <w:ind w:left="2880" w:hanging="360"/>
      </w:pPr>
      <w:rPr>
        <w:rFonts w:ascii="Symbol" w:hAnsi="Symbol" w:hint="default"/>
      </w:rPr>
    </w:lvl>
    <w:lvl w:ilvl="4" w:tplc="779CFFC8" w:tentative="1">
      <w:start w:val="1"/>
      <w:numFmt w:val="bullet"/>
      <w:lvlText w:val="o"/>
      <w:lvlJc w:val="left"/>
      <w:pPr>
        <w:ind w:left="3600" w:hanging="360"/>
      </w:pPr>
      <w:rPr>
        <w:rFonts w:ascii="Courier New" w:hAnsi="Courier New" w:cs="Courier New" w:hint="default"/>
      </w:rPr>
    </w:lvl>
    <w:lvl w:ilvl="5" w:tplc="224AD064" w:tentative="1">
      <w:start w:val="1"/>
      <w:numFmt w:val="bullet"/>
      <w:lvlText w:val=""/>
      <w:lvlJc w:val="left"/>
      <w:pPr>
        <w:ind w:left="4320" w:hanging="360"/>
      </w:pPr>
      <w:rPr>
        <w:rFonts w:ascii="Wingdings" w:hAnsi="Wingdings" w:hint="default"/>
      </w:rPr>
    </w:lvl>
    <w:lvl w:ilvl="6" w:tplc="2BAEF930" w:tentative="1">
      <w:start w:val="1"/>
      <w:numFmt w:val="bullet"/>
      <w:lvlText w:val=""/>
      <w:lvlJc w:val="left"/>
      <w:pPr>
        <w:ind w:left="5040" w:hanging="360"/>
      </w:pPr>
      <w:rPr>
        <w:rFonts w:ascii="Symbol" w:hAnsi="Symbol" w:hint="default"/>
      </w:rPr>
    </w:lvl>
    <w:lvl w:ilvl="7" w:tplc="2934F846" w:tentative="1">
      <w:start w:val="1"/>
      <w:numFmt w:val="bullet"/>
      <w:lvlText w:val="o"/>
      <w:lvlJc w:val="left"/>
      <w:pPr>
        <w:ind w:left="5760" w:hanging="360"/>
      </w:pPr>
      <w:rPr>
        <w:rFonts w:ascii="Courier New" w:hAnsi="Courier New" w:cs="Courier New" w:hint="default"/>
      </w:rPr>
    </w:lvl>
    <w:lvl w:ilvl="8" w:tplc="229C30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56"/>
    <w:rsid w:val="00000D68"/>
    <w:rsid w:val="000D68F6"/>
    <w:rsid w:val="000E1316"/>
    <w:rsid w:val="00100D03"/>
    <w:rsid w:val="00105AD1"/>
    <w:rsid w:val="0016698B"/>
    <w:rsid w:val="001701E8"/>
    <w:rsid w:val="00184D5A"/>
    <w:rsid w:val="001D52F3"/>
    <w:rsid w:val="003066CA"/>
    <w:rsid w:val="003B3C3B"/>
    <w:rsid w:val="003D328A"/>
    <w:rsid w:val="004806D3"/>
    <w:rsid w:val="00493863"/>
    <w:rsid w:val="004F6FC8"/>
    <w:rsid w:val="00620E89"/>
    <w:rsid w:val="006E0466"/>
    <w:rsid w:val="006E32A6"/>
    <w:rsid w:val="007702EA"/>
    <w:rsid w:val="00771492"/>
    <w:rsid w:val="00775720"/>
    <w:rsid w:val="00881B25"/>
    <w:rsid w:val="008966B9"/>
    <w:rsid w:val="00932A56"/>
    <w:rsid w:val="00983A46"/>
    <w:rsid w:val="00A507F5"/>
    <w:rsid w:val="00A90142"/>
    <w:rsid w:val="00B86564"/>
    <w:rsid w:val="00BF37E1"/>
    <w:rsid w:val="00C14643"/>
    <w:rsid w:val="00C44D9F"/>
    <w:rsid w:val="00C4562C"/>
    <w:rsid w:val="00C743E0"/>
    <w:rsid w:val="00DA4D77"/>
    <w:rsid w:val="00DB38E6"/>
    <w:rsid w:val="00E42030"/>
    <w:rsid w:val="00E93BB0"/>
    <w:rsid w:val="00F14250"/>
    <w:rsid w:val="00F50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787B"/>
  <w15:chartTrackingRefBased/>
  <w15:docId w15:val="{DC252CD9-19CE-4154-B819-CA4127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styleId="UnresolvedMention">
    <w:name w:val="Unresolved Mention"/>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 w:type="character" w:styleId="CommentReference">
    <w:name w:val="annotation reference"/>
    <w:basedOn w:val="DefaultParagraphFont"/>
    <w:uiPriority w:val="99"/>
    <w:semiHidden/>
    <w:unhideWhenUsed/>
    <w:rsid w:val="00B86564"/>
    <w:rPr>
      <w:sz w:val="16"/>
      <w:szCs w:val="16"/>
    </w:rPr>
  </w:style>
  <w:style w:type="paragraph" w:styleId="CommentText">
    <w:name w:val="annotation text"/>
    <w:basedOn w:val="Normal"/>
    <w:link w:val="CommentTextChar"/>
    <w:uiPriority w:val="99"/>
    <w:semiHidden/>
    <w:unhideWhenUsed/>
    <w:rsid w:val="00B86564"/>
    <w:pPr>
      <w:spacing w:line="240" w:lineRule="auto"/>
    </w:pPr>
    <w:rPr>
      <w:sz w:val="20"/>
      <w:szCs w:val="20"/>
    </w:rPr>
  </w:style>
  <w:style w:type="character" w:customStyle="1" w:styleId="CommentTextChar">
    <w:name w:val="Comment Text Char"/>
    <w:basedOn w:val="DefaultParagraphFont"/>
    <w:link w:val="CommentText"/>
    <w:uiPriority w:val="99"/>
    <w:semiHidden/>
    <w:rsid w:val="00B86564"/>
    <w:rPr>
      <w:sz w:val="20"/>
      <w:szCs w:val="20"/>
    </w:rPr>
  </w:style>
  <w:style w:type="paragraph" w:styleId="CommentSubject">
    <w:name w:val="annotation subject"/>
    <w:basedOn w:val="CommentText"/>
    <w:next w:val="CommentText"/>
    <w:link w:val="CommentSubjectChar"/>
    <w:uiPriority w:val="99"/>
    <w:semiHidden/>
    <w:unhideWhenUsed/>
    <w:rsid w:val="00B86564"/>
    <w:rPr>
      <w:b/>
      <w:bCs/>
    </w:rPr>
  </w:style>
  <w:style w:type="character" w:customStyle="1" w:styleId="CommentSubjectChar">
    <w:name w:val="Comment Subject Char"/>
    <w:basedOn w:val="CommentTextChar"/>
    <w:link w:val="CommentSubject"/>
    <w:uiPriority w:val="99"/>
    <w:semiHidden/>
    <w:rsid w:val="00B86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Ashtabula County Medical Center</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US2109504</dc:subject>
  <dc:creator>Tina Stasiewski</dc:creator>
  <cp:lastModifiedBy>Transperfect</cp:lastModifiedBy>
  <cp:revision>2</cp:revision>
  <cp:lastPrinted>2025-07-08T17:39:00Z</cp:lastPrinted>
  <dcterms:created xsi:type="dcterms:W3CDTF">2025-07-08T17:39:00Z</dcterms:created>
  <dcterms:modified xsi:type="dcterms:W3CDTF">2025-07-22T17:40:00Z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23477426 _1</vt:lpwstr>
  </property>
  <property fmtid="{D5CDD505-2E9C-101B-9397-08002B2CF9AE}" pid="3" name="DocXFormat">
    <vt:lpwstr>DefaultFormat</vt:lpwstr>
  </property>
  <property fmtid="{D5CDD505-2E9C-101B-9397-08002B2CF9AE}" pid="4" name="DocXLocation">
    <vt:lpwstr>Every Page</vt:lpwstr>
  </property>
</Properties>
</file>