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9D924" w14:textId="77777777" w:rsidR="006E5027" w:rsidRDefault="006E5027"/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2074"/>
        <w:gridCol w:w="8271"/>
      </w:tblGrid>
      <w:tr w:rsidR="006C0F81" w14:paraId="1F127851" w14:textId="77777777" w:rsidTr="007157F2">
        <w:tc>
          <w:tcPr>
            <w:tcW w:w="1975" w:type="dxa"/>
            <w:shd w:val="clear" w:color="auto" w:fill="BDD6EE" w:themeFill="accent5" w:themeFillTint="66"/>
          </w:tcPr>
          <w:p w14:paraId="535969DE" w14:textId="27368B3E" w:rsidR="006C0F81" w:rsidRPr="007C4094" w:rsidRDefault="006C0F81">
            <w:pPr>
              <w:rPr>
                <w:b/>
                <w:bCs/>
              </w:rPr>
            </w:pPr>
            <w:r w:rsidRPr="007C4094">
              <w:rPr>
                <w:b/>
                <w:bCs/>
              </w:rPr>
              <w:t>PA Criteria</w:t>
            </w:r>
          </w:p>
        </w:tc>
        <w:tc>
          <w:tcPr>
            <w:tcW w:w="8370" w:type="dxa"/>
            <w:shd w:val="clear" w:color="auto" w:fill="BDD6EE" w:themeFill="accent5" w:themeFillTint="66"/>
          </w:tcPr>
          <w:p w14:paraId="283F4A4F" w14:textId="4F3C2C8D" w:rsidR="006C0F81" w:rsidRPr="007C4094" w:rsidRDefault="006C0F81">
            <w:pPr>
              <w:rPr>
                <w:b/>
                <w:bCs/>
              </w:rPr>
            </w:pPr>
            <w:r w:rsidRPr="007C4094">
              <w:rPr>
                <w:b/>
                <w:bCs/>
              </w:rPr>
              <w:t>Criteria Details</w:t>
            </w:r>
          </w:p>
        </w:tc>
      </w:tr>
      <w:tr w:rsidR="006C0F81" w14:paraId="316E4154" w14:textId="77777777" w:rsidTr="00BF1190">
        <w:trPr>
          <w:trHeight w:val="845"/>
        </w:trPr>
        <w:tc>
          <w:tcPr>
            <w:tcW w:w="1975" w:type="dxa"/>
            <w:shd w:val="clear" w:color="auto" w:fill="BDD6EE" w:themeFill="accent5" w:themeFillTint="66"/>
          </w:tcPr>
          <w:p w14:paraId="32493D88" w14:textId="77777777" w:rsidR="00786064" w:rsidRDefault="006C0F81">
            <w:pPr>
              <w:rPr>
                <w:b/>
                <w:bCs/>
              </w:rPr>
            </w:pPr>
            <w:r w:rsidRPr="007C4094">
              <w:rPr>
                <w:b/>
                <w:bCs/>
              </w:rPr>
              <w:t>Covered Uses</w:t>
            </w:r>
            <w:r w:rsidR="00786064">
              <w:rPr>
                <w:b/>
                <w:bCs/>
              </w:rPr>
              <w:t xml:space="preserve"> </w:t>
            </w:r>
          </w:p>
          <w:p w14:paraId="229E7712" w14:textId="6E8653C9" w:rsidR="006C0F81" w:rsidRPr="007C4094" w:rsidRDefault="00786064">
            <w:pPr>
              <w:rPr>
                <w:b/>
                <w:bCs/>
              </w:rPr>
            </w:pPr>
            <w:r>
              <w:rPr>
                <w:b/>
                <w:bCs/>
              </w:rPr>
              <w:t>(FDA approved indication)</w:t>
            </w:r>
          </w:p>
        </w:tc>
        <w:tc>
          <w:tcPr>
            <w:tcW w:w="8370" w:type="dxa"/>
          </w:tcPr>
          <w:p w14:paraId="344AB77F" w14:textId="343F8E6B" w:rsidR="006C0F81" w:rsidRDefault="00282DE3">
            <w:r>
              <w:t>Treatment of spinal muscular atrophy (SMA)</w:t>
            </w:r>
          </w:p>
        </w:tc>
      </w:tr>
      <w:tr w:rsidR="006C0F81" w14:paraId="1F06C1AA" w14:textId="77777777" w:rsidTr="00E412CB">
        <w:trPr>
          <w:trHeight w:val="440"/>
        </w:trPr>
        <w:tc>
          <w:tcPr>
            <w:tcW w:w="1975" w:type="dxa"/>
            <w:shd w:val="clear" w:color="auto" w:fill="BDD6EE" w:themeFill="accent5" w:themeFillTint="66"/>
          </w:tcPr>
          <w:p w14:paraId="6DCD0436" w14:textId="6F1EC9E8" w:rsidR="006C0F81" w:rsidRPr="007C4094" w:rsidRDefault="006C0F81">
            <w:pPr>
              <w:rPr>
                <w:b/>
                <w:bCs/>
              </w:rPr>
            </w:pPr>
            <w:r w:rsidRPr="007C4094">
              <w:rPr>
                <w:b/>
                <w:bCs/>
              </w:rPr>
              <w:t>Exclusion Criteria</w:t>
            </w:r>
          </w:p>
        </w:tc>
        <w:tc>
          <w:tcPr>
            <w:tcW w:w="8370" w:type="dxa"/>
          </w:tcPr>
          <w:p w14:paraId="6D277D81" w14:textId="52FC1C3C" w:rsidR="006C0F81" w:rsidRDefault="009C4776" w:rsidP="009C4776">
            <w:r>
              <w:t>Dependence on mechanical ventilation</w:t>
            </w:r>
          </w:p>
        </w:tc>
      </w:tr>
      <w:tr w:rsidR="006C0F81" w14:paraId="3664AD8E" w14:textId="77777777" w:rsidTr="00850341">
        <w:trPr>
          <w:trHeight w:val="6560"/>
        </w:trPr>
        <w:tc>
          <w:tcPr>
            <w:tcW w:w="1975" w:type="dxa"/>
            <w:shd w:val="clear" w:color="auto" w:fill="BDD6EE" w:themeFill="accent5" w:themeFillTint="66"/>
          </w:tcPr>
          <w:p w14:paraId="61405DB7" w14:textId="1E9BAD4A" w:rsidR="006C0F81" w:rsidRPr="007C4094" w:rsidRDefault="006C0F81">
            <w:pPr>
              <w:rPr>
                <w:b/>
                <w:bCs/>
              </w:rPr>
            </w:pPr>
            <w:r w:rsidRPr="007C4094">
              <w:rPr>
                <w:b/>
                <w:bCs/>
              </w:rPr>
              <w:t>Required Medical Information</w:t>
            </w:r>
          </w:p>
        </w:tc>
        <w:tc>
          <w:tcPr>
            <w:tcW w:w="8370" w:type="dxa"/>
          </w:tcPr>
          <w:p w14:paraId="62037B25" w14:textId="034B2D65" w:rsidR="006C0F81" w:rsidRPr="0082514F" w:rsidRDefault="009B313E" w:rsidP="00AC15F8">
            <w:r w:rsidRPr="009B313E">
              <w:rPr>
                <w:b/>
                <w:bCs/>
              </w:rPr>
              <w:t>Initial</w:t>
            </w:r>
            <w:r w:rsidR="0082514F">
              <w:rPr>
                <w:b/>
                <w:bCs/>
              </w:rPr>
              <w:t xml:space="preserve"> – </w:t>
            </w:r>
            <w:r w:rsidR="0082514F">
              <w:t>Must meet ALL of the following:</w:t>
            </w:r>
          </w:p>
          <w:p w14:paraId="0F4CF0E7" w14:textId="57C2DAF5" w:rsidR="00757337" w:rsidRDefault="00757337" w:rsidP="00757337">
            <w:pPr>
              <w:pStyle w:val="ListParagraph"/>
              <w:numPr>
                <w:ilvl w:val="0"/>
                <w:numId w:val="4"/>
              </w:numPr>
            </w:pPr>
            <w:r>
              <w:t>Genetic testing results demonstrate homozygous SMN1 deletion, or any combination of SMN1 deletions or other mutations that result in the functional loss of all SMN1 genes.</w:t>
            </w:r>
          </w:p>
          <w:p w14:paraId="5FFC679B" w14:textId="5C9DB823" w:rsidR="00757337" w:rsidRDefault="00757337" w:rsidP="00325861">
            <w:pPr>
              <w:pStyle w:val="ListParagraph"/>
              <w:numPr>
                <w:ilvl w:val="0"/>
                <w:numId w:val="4"/>
              </w:numPr>
            </w:pPr>
            <w:r>
              <w:t>In addition to demonstrating loss of functional SMN1 genes, genetic test results include the number of copies of SMN2.</w:t>
            </w:r>
          </w:p>
          <w:p w14:paraId="3F1C0DBC" w14:textId="0CB1C9F4" w:rsidR="007B7239" w:rsidRDefault="00CA3565" w:rsidP="007B7239">
            <w:pPr>
              <w:pStyle w:val="ListParagraph"/>
              <w:numPr>
                <w:ilvl w:val="0"/>
                <w:numId w:val="4"/>
              </w:numPr>
            </w:pPr>
            <w:r>
              <w:t xml:space="preserve">At least one (1) of the </w:t>
            </w:r>
            <w:r w:rsidR="007B7239">
              <w:t>following:</w:t>
            </w:r>
          </w:p>
          <w:p w14:paraId="05D2AF83" w14:textId="33A3D966" w:rsidR="007B7239" w:rsidRDefault="007B7239" w:rsidP="007B7239">
            <w:pPr>
              <w:pStyle w:val="ListParagraph"/>
              <w:numPr>
                <w:ilvl w:val="1"/>
                <w:numId w:val="4"/>
              </w:numPr>
            </w:pPr>
            <w:r>
              <w:t>Pre-symptomatic: Defined by genetic testing demonstrating a homozygous SMN1 deletion or mutation, and less than or equal to three copies of SMN2</w:t>
            </w:r>
            <w:r w:rsidR="00CA3565">
              <w:t>, or</w:t>
            </w:r>
          </w:p>
          <w:p w14:paraId="0F87AC7F" w14:textId="3B124167" w:rsidR="007B7239" w:rsidRDefault="007B7239" w:rsidP="00E15C91">
            <w:pPr>
              <w:pStyle w:val="ListParagraph"/>
              <w:numPr>
                <w:ilvl w:val="1"/>
                <w:numId w:val="4"/>
              </w:numPr>
            </w:pPr>
            <w:r>
              <w:t>Symptomatic: Patient with clinical signs of SMA with level of function necessary to preserve communication, for instance finger or eye movements in response to prompt by examiner.</w:t>
            </w:r>
          </w:p>
          <w:p w14:paraId="0B03F645" w14:textId="2C379F58" w:rsidR="007B7239" w:rsidRDefault="00CA3565" w:rsidP="00291C37">
            <w:pPr>
              <w:pStyle w:val="ListParagraph"/>
              <w:numPr>
                <w:ilvl w:val="0"/>
                <w:numId w:val="4"/>
              </w:numPr>
            </w:pPr>
            <w:r>
              <w:t>At least one (1) of the</w:t>
            </w:r>
            <w:r w:rsidR="007B7239">
              <w:t xml:space="preserve"> following: </w:t>
            </w:r>
          </w:p>
          <w:p w14:paraId="320B6E50" w14:textId="6CE8CEFA" w:rsidR="007B7239" w:rsidRDefault="007B7239" w:rsidP="00E15C91">
            <w:pPr>
              <w:pStyle w:val="ListParagraph"/>
              <w:numPr>
                <w:ilvl w:val="1"/>
                <w:numId w:val="4"/>
              </w:numPr>
            </w:pPr>
            <w:r>
              <w:t>No scoliosis</w:t>
            </w:r>
          </w:p>
          <w:p w14:paraId="7B93C435" w14:textId="6BD41519" w:rsidR="007B7239" w:rsidRDefault="007B7239" w:rsidP="00E15C91">
            <w:pPr>
              <w:pStyle w:val="ListParagraph"/>
              <w:numPr>
                <w:ilvl w:val="1"/>
                <w:numId w:val="4"/>
              </w:numPr>
            </w:pPr>
            <w:r>
              <w:t>Scoliosis without spine surgery</w:t>
            </w:r>
          </w:p>
          <w:p w14:paraId="6697FE13" w14:textId="5A1A2971" w:rsidR="007B7239" w:rsidRDefault="007B7239" w:rsidP="00B84D3E">
            <w:pPr>
              <w:pStyle w:val="ListParagraph"/>
              <w:numPr>
                <w:ilvl w:val="1"/>
                <w:numId w:val="4"/>
              </w:numPr>
            </w:pPr>
            <w:r>
              <w:t>Scoliosis post spine surgery with preserved window of accessibility for intrathecal injection, under fluoroscopic or ultrasound guidance if needed.</w:t>
            </w:r>
          </w:p>
          <w:p w14:paraId="0F7DA524" w14:textId="5850EE98" w:rsidR="007B7239" w:rsidRDefault="007B7239" w:rsidP="00CA3565">
            <w:pPr>
              <w:pStyle w:val="ListParagraph"/>
              <w:numPr>
                <w:ilvl w:val="1"/>
                <w:numId w:val="4"/>
              </w:numPr>
            </w:pPr>
            <w:r>
              <w:t>Scoliosis post spine surgery for example, fusion) but with surgical placement of an indwelling catheter or establishment of a new window for IT accessibility.</w:t>
            </w:r>
          </w:p>
          <w:p w14:paraId="288BC0F3" w14:textId="77777777" w:rsidR="0082514F" w:rsidRDefault="007B7239" w:rsidP="00CA3565">
            <w:pPr>
              <w:pStyle w:val="ListParagraph"/>
              <w:numPr>
                <w:ilvl w:val="0"/>
                <w:numId w:val="4"/>
              </w:numPr>
            </w:pPr>
            <w:r>
              <w:t xml:space="preserve">The patient does not have a coexisting terminal condition or a condition with which the risk of </w:t>
            </w:r>
            <w:proofErr w:type="spellStart"/>
            <w:r>
              <w:t>nusinersen</w:t>
            </w:r>
            <w:proofErr w:type="spellEnd"/>
            <w:r>
              <w:t xml:space="preserve"> treatment outweighs the potential benefit.</w:t>
            </w:r>
          </w:p>
          <w:p w14:paraId="189FAE7C" w14:textId="77777777" w:rsidR="00421E5C" w:rsidRDefault="00421E5C" w:rsidP="00421E5C"/>
          <w:p w14:paraId="46066168" w14:textId="51DBD32F" w:rsidR="00421E5C" w:rsidRDefault="00421E5C" w:rsidP="00421E5C">
            <w:pPr>
              <w:rPr>
                <w:b/>
                <w:bCs/>
              </w:rPr>
            </w:pPr>
            <w:r w:rsidRPr="00421E5C">
              <w:rPr>
                <w:b/>
                <w:bCs/>
              </w:rPr>
              <w:t>Renewal</w:t>
            </w:r>
            <w:r w:rsidR="005F1E2C">
              <w:rPr>
                <w:b/>
                <w:bCs/>
              </w:rPr>
              <w:t xml:space="preserve"> - </w:t>
            </w:r>
            <w:r w:rsidR="005F1E2C">
              <w:t>Must meet ALL of the following:</w:t>
            </w:r>
          </w:p>
          <w:p w14:paraId="7C513400" w14:textId="3B10A3AC" w:rsidR="00A52CC3" w:rsidRDefault="00A52CC3" w:rsidP="005F1E2C">
            <w:pPr>
              <w:pStyle w:val="ListParagraph"/>
              <w:numPr>
                <w:ilvl w:val="0"/>
                <w:numId w:val="6"/>
              </w:numPr>
            </w:pPr>
            <w:r>
              <w:t xml:space="preserve">Documentation showing </w:t>
            </w:r>
            <w:r w:rsidR="005F1E2C">
              <w:t xml:space="preserve">positive response since starting </w:t>
            </w:r>
            <w:proofErr w:type="spellStart"/>
            <w:r w:rsidR="005F1E2C">
              <w:t>nusinersen</w:t>
            </w:r>
            <w:proofErr w:type="spellEnd"/>
            <w:r w:rsidR="005F1E2C">
              <w:t xml:space="preserve">.  </w:t>
            </w:r>
          </w:p>
          <w:p w14:paraId="559DBD1B" w14:textId="101B246D" w:rsidR="00421E5C" w:rsidRDefault="00421E5C" w:rsidP="005F1E2C">
            <w:pPr>
              <w:pStyle w:val="ListParagraph"/>
              <w:numPr>
                <w:ilvl w:val="0"/>
                <w:numId w:val="6"/>
              </w:numPr>
            </w:pPr>
            <w:r>
              <w:t>Documentation showing</w:t>
            </w:r>
            <w:r w:rsidR="003C2A68">
              <w:t xml:space="preserve"> a specific description of changes in neuromotor status since starting </w:t>
            </w:r>
            <w:proofErr w:type="spellStart"/>
            <w:r w:rsidR="003C2A68">
              <w:t>nusinersen</w:t>
            </w:r>
            <w:proofErr w:type="spellEnd"/>
            <w:r w:rsidR="003C2A68">
              <w:t xml:space="preserve"> and any drug-related toxicity</w:t>
            </w:r>
            <w:r w:rsidR="0065156C">
              <w:t>.</w:t>
            </w:r>
          </w:p>
          <w:p w14:paraId="0EB6A66C" w14:textId="77777777" w:rsidR="0065156C" w:rsidRDefault="0065156C" w:rsidP="005F1E2C">
            <w:pPr>
              <w:pStyle w:val="ListParagraph"/>
              <w:numPr>
                <w:ilvl w:val="0"/>
                <w:numId w:val="6"/>
              </w:numPr>
            </w:pPr>
            <w:r>
              <w:t>Neuromotor assessment showing improvement or lack of deteri</w:t>
            </w:r>
            <w:r w:rsidR="00A52CC3">
              <w:t xml:space="preserve">oration since starting </w:t>
            </w:r>
            <w:proofErr w:type="spellStart"/>
            <w:r w:rsidR="00A52CC3">
              <w:t>nusinersen</w:t>
            </w:r>
            <w:proofErr w:type="spellEnd"/>
            <w:r w:rsidR="00A52CC3">
              <w:t xml:space="preserve">.  </w:t>
            </w:r>
          </w:p>
          <w:p w14:paraId="7D580FD7" w14:textId="1C083D8B" w:rsidR="00A52CC3" w:rsidRPr="00421E5C" w:rsidRDefault="00A52CC3" w:rsidP="00421E5C"/>
        </w:tc>
      </w:tr>
      <w:tr w:rsidR="006C0F81" w14:paraId="434F1C1E" w14:textId="77777777" w:rsidTr="00BF1190">
        <w:trPr>
          <w:trHeight w:val="440"/>
        </w:trPr>
        <w:tc>
          <w:tcPr>
            <w:tcW w:w="1975" w:type="dxa"/>
            <w:shd w:val="clear" w:color="auto" w:fill="BDD6EE" w:themeFill="accent5" w:themeFillTint="66"/>
          </w:tcPr>
          <w:p w14:paraId="4F630391" w14:textId="28657255" w:rsidR="006C0F81" w:rsidRPr="007C4094" w:rsidRDefault="006C0F81">
            <w:pPr>
              <w:rPr>
                <w:b/>
                <w:bCs/>
              </w:rPr>
            </w:pPr>
            <w:r w:rsidRPr="007C4094">
              <w:rPr>
                <w:b/>
                <w:bCs/>
              </w:rPr>
              <w:t>Age Restriction</w:t>
            </w:r>
          </w:p>
        </w:tc>
        <w:tc>
          <w:tcPr>
            <w:tcW w:w="8370" w:type="dxa"/>
          </w:tcPr>
          <w:p w14:paraId="248CA97E" w14:textId="319AC0DD" w:rsidR="00A4402D" w:rsidRDefault="0093592B">
            <w:r>
              <w:t xml:space="preserve">None; </w:t>
            </w:r>
            <w:r w:rsidR="00A4402D">
              <w:t>Up to 21 years – check for CCS</w:t>
            </w:r>
          </w:p>
        </w:tc>
      </w:tr>
      <w:tr w:rsidR="006C0F81" w14:paraId="6FB7BA7F" w14:textId="77777777" w:rsidTr="007157F2">
        <w:tc>
          <w:tcPr>
            <w:tcW w:w="1975" w:type="dxa"/>
            <w:shd w:val="clear" w:color="auto" w:fill="BDD6EE" w:themeFill="accent5" w:themeFillTint="66"/>
          </w:tcPr>
          <w:p w14:paraId="4CF68077" w14:textId="42C8389B" w:rsidR="006C0F81" w:rsidRPr="007C4094" w:rsidRDefault="006C0F81">
            <w:pPr>
              <w:rPr>
                <w:b/>
                <w:bCs/>
              </w:rPr>
            </w:pPr>
            <w:r w:rsidRPr="007C4094">
              <w:rPr>
                <w:b/>
                <w:bCs/>
              </w:rPr>
              <w:t>Prescriber Restrictions</w:t>
            </w:r>
          </w:p>
        </w:tc>
        <w:tc>
          <w:tcPr>
            <w:tcW w:w="8370" w:type="dxa"/>
          </w:tcPr>
          <w:p w14:paraId="27AB3FB5" w14:textId="554EC6FE" w:rsidR="006C0F81" w:rsidRDefault="00CD32B9">
            <w:r>
              <w:t xml:space="preserve">Prescribed by a </w:t>
            </w:r>
            <w:r w:rsidR="00093533">
              <w:t xml:space="preserve">neurologist or a </w:t>
            </w:r>
            <w:r>
              <w:t xml:space="preserve">physician </w:t>
            </w:r>
            <w:r w:rsidR="00D02F06">
              <w:t>with the</w:t>
            </w:r>
            <w:r>
              <w:t xml:space="preserve"> expertise in spinal muscular atrophy</w:t>
            </w:r>
          </w:p>
        </w:tc>
      </w:tr>
      <w:tr w:rsidR="006C0F81" w14:paraId="3DC39E42" w14:textId="77777777" w:rsidTr="00BF1190">
        <w:trPr>
          <w:trHeight w:val="530"/>
        </w:trPr>
        <w:tc>
          <w:tcPr>
            <w:tcW w:w="1975" w:type="dxa"/>
            <w:shd w:val="clear" w:color="auto" w:fill="BDD6EE" w:themeFill="accent5" w:themeFillTint="66"/>
          </w:tcPr>
          <w:p w14:paraId="767A9FBB" w14:textId="573FE4AD" w:rsidR="006C0F81" w:rsidRPr="007C4094" w:rsidRDefault="006C0F81">
            <w:pPr>
              <w:rPr>
                <w:b/>
                <w:bCs/>
              </w:rPr>
            </w:pPr>
            <w:r w:rsidRPr="007C4094">
              <w:rPr>
                <w:b/>
                <w:bCs/>
              </w:rPr>
              <w:lastRenderedPageBreak/>
              <w:t>Coverage Duration</w:t>
            </w:r>
          </w:p>
        </w:tc>
        <w:tc>
          <w:tcPr>
            <w:tcW w:w="8370" w:type="dxa"/>
          </w:tcPr>
          <w:p w14:paraId="594EC40A" w14:textId="57F14C69" w:rsidR="006C0F81" w:rsidRDefault="00E412CB">
            <w:r>
              <w:t>6 months</w:t>
            </w:r>
          </w:p>
        </w:tc>
      </w:tr>
      <w:tr w:rsidR="006C0F81" w14:paraId="7B06B461" w14:textId="77777777" w:rsidTr="00BF1190">
        <w:trPr>
          <w:trHeight w:val="710"/>
        </w:trPr>
        <w:tc>
          <w:tcPr>
            <w:tcW w:w="1975" w:type="dxa"/>
            <w:shd w:val="clear" w:color="auto" w:fill="BDD6EE" w:themeFill="accent5" w:themeFillTint="66"/>
          </w:tcPr>
          <w:p w14:paraId="149B0FAA" w14:textId="5A2A1D42" w:rsidR="006C0F81" w:rsidRPr="007C4094" w:rsidRDefault="006C0F81">
            <w:pPr>
              <w:rPr>
                <w:b/>
                <w:bCs/>
              </w:rPr>
            </w:pPr>
            <w:r w:rsidRPr="007C4094">
              <w:rPr>
                <w:b/>
                <w:bCs/>
              </w:rPr>
              <w:t>Other Criteria</w:t>
            </w:r>
            <w:r w:rsidR="00F77B82">
              <w:rPr>
                <w:b/>
                <w:bCs/>
              </w:rPr>
              <w:t>/Information</w:t>
            </w:r>
          </w:p>
        </w:tc>
        <w:tc>
          <w:tcPr>
            <w:tcW w:w="8370" w:type="dxa"/>
          </w:tcPr>
          <w:p w14:paraId="2A293478" w14:textId="77777777" w:rsidR="006C0F81" w:rsidRDefault="006C0F81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5"/>
              <w:gridCol w:w="2846"/>
              <w:gridCol w:w="4144"/>
            </w:tblGrid>
            <w:tr w:rsidR="00B743F9" w:rsidRPr="008E281F" w14:paraId="1E0E6485" w14:textId="77777777" w:rsidTr="00F569D2">
              <w:tc>
                <w:tcPr>
                  <w:tcW w:w="1060" w:type="dxa"/>
                  <w:shd w:val="clear" w:color="auto" w:fill="D9E2F3" w:themeFill="accent1" w:themeFillTint="33"/>
                </w:tcPr>
                <w:p w14:paraId="09CEA26F" w14:textId="77777777" w:rsidR="00B743F9" w:rsidRPr="008E281F" w:rsidRDefault="00B743F9" w:rsidP="00B743F9">
                  <w:pPr>
                    <w:rPr>
                      <w:b/>
                      <w:bCs/>
                    </w:rPr>
                  </w:pPr>
                  <w:r w:rsidRPr="008E281F">
                    <w:rPr>
                      <w:b/>
                      <w:bCs/>
                    </w:rPr>
                    <w:t>HCPCS</w:t>
                  </w:r>
                </w:p>
              </w:tc>
              <w:tc>
                <w:tcPr>
                  <w:tcW w:w="2880" w:type="dxa"/>
                  <w:shd w:val="clear" w:color="auto" w:fill="D9E2F3" w:themeFill="accent1" w:themeFillTint="33"/>
                </w:tcPr>
                <w:p w14:paraId="573A30B3" w14:textId="77777777" w:rsidR="00B743F9" w:rsidRPr="008E281F" w:rsidRDefault="00B743F9" w:rsidP="00B743F9">
                  <w:pPr>
                    <w:rPr>
                      <w:b/>
                      <w:bCs/>
                    </w:rPr>
                  </w:pPr>
                  <w:r w:rsidRPr="008E281F">
                    <w:rPr>
                      <w:b/>
                      <w:bCs/>
                    </w:rPr>
                    <w:t>Description</w:t>
                  </w:r>
                </w:p>
              </w:tc>
              <w:tc>
                <w:tcPr>
                  <w:tcW w:w="4204" w:type="dxa"/>
                  <w:shd w:val="clear" w:color="auto" w:fill="D9E2F3" w:themeFill="accent1" w:themeFillTint="33"/>
                </w:tcPr>
                <w:p w14:paraId="6E6B1B97" w14:textId="77777777" w:rsidR="00B743F9" w:rsidRPr="008E281F" w:rsidRDefault="00B743F9" w:rsidP="00B743F9">
                  <w:pPr>
                    <w:rPr>
                      <w:b/>
                      <w:bCs/>
                    </w:rPr>
                  </w:pPr>
                  <w:r w:rsidRPr="008E281F">
                    <w:rPr>
                      <w:b/>
                      <w:bCs/>
                    </w:rPr>
                    <w:t>Dosing, Units</w:t>
                  </w:r>
                </w:p>
              </w:tc>
            </w:tr>
            <w:tr w:rsidR="00B743F9" w14:paraId="711E9552" w14:textId="77777777" w:rsidTr="00F569D2">
              <w:trPr>
                <w:trHeight w:val="1205"/>
              </w:trPr>
              <w:tc>
                <w:tcPr>
                  <w:tcW w:w="1060" w:type="dxa"/>
                </w:tcPr>
                <w:p w14:paraId="2933151D" w14:textId="49390B0A" w:rsidR="00B743F9" w:rsidRDefault="00FB0E3E" w:rsidP="00B743F9">
                  <w:r>
                    <w:t>J2326</w:t>
                  </w:r>
                </w:p>
              </w:tc>
              <w:tc>
                <w:tcPr>
                  <w:tcW w:w="2880" w:type="dxa"/>
                </w:tcPr>
                <w:p w14:paraId="27BDC85D" w14:textId="05D44242" w:rsidR="00B743F9" w:rsidRDefault="00FB0E3E" w:rsidP="00B743F9">
                  <w:r>
                    <w:t xml:space="preserve">Intrathecal solution, </w:t>
                  </w:r>
                  <w:proofErr w:type="spellStart"/>
                  <w:r>
                    <w:t>nusinersen</w:t>
                  </w:r>
                  <w:proofErr w:type="spellEnd"/>
                  <w:r>
                    <w:t xml:space="preserve">, 0.1mg </w:t>
                  </w:r>
                  <w:r w:rsidR="00D54919">
                    <w:t>(</w:t>
                  </w:r>
                  <w:proofErr w:type="spellStart"/>
                  <w:r w:rsidR="00D54919">
                    <w:t>Spinraza</w:t>
                  </w:r>
                  <w:r w:rsidR="00D54919" w:rsidRPr="006724A8">
                    <w:rPr>
                      <w:vertAlign w:val="superscript"/>
                    </w:rPr>
                    <w:t>TM</w:t>
                  </w:r>
                  <w:proofErr w:type="spellEnd"/>
                  <w:r w:rsidR="00D54919">
                    <w:t>)</w:t>
                  </w:r>
                </w:p>
              </w:tc>
              <w:tc>
                <w:tcPr>
                  <w:tcW w:w="4204" w:type="dxa"/>
                </w:tcPr>
                <w:p w14:paraId="10B20813" w14:textId="77777777" w:rsidR="00B743F9" w:rsidRDefault="00CC48E3" w:rsidP="00B743F9">
                  <w:r w:rsidRPr="00EF678D">
                    <w:rPr>
                      <w:u w:val="single"/>
                    </w:rPr>
                    <w:t>Loading dose:</w:t>
                  </w:r>
                  <w:r>
                    <w:t xml:space="preserve"> 12mg</w:t>
                  </w:r>
                  <w:r w:rsidR="0072597A">
                    <w:t xml:space="preserve"> once every 14 days for 3 doses; then 12mg as a single dose 30 days after the third dose</w:t>
                  </w:r>
                </w:p>
                <w:p w14:paraId="40A9F0E3" w14:textId="52FC512E" w:rsidR="00EF678D" w:rsidRDefault="00EF678D" w:rsidP="00B743F9">
                  <w:r w:rsidRPr="00EF678D">
                    <w:rPr>
                      <w:u w:val="single"/>
                    </w:rPr>
                    <w:t>Maintenance dose:</w:t>
                  </w:r>
                  <w:r>
                    <w:t xml:space="preserve"> 12mg every 4 months</w:t>
                  </w:r>
                </w:p>
                <w:p w14:paraId="36BC4E8F" w14:textId="1EC80DBF" w:rsidR="00EF678D" w:rsidRDefault="00EF678D" w:rsidP="00B743F9"/>
              </w:tc>
            </w:tr>
          </w:tbl>
          <w:p w14:paraId="1BB49D64" w14:textId="77777777" w:rsidR="00B743F9" w:rsidRDefault="00B743F9"/>
        </w:tc>
      </w:tr>
    </w:tbl>
    <w:p w14:paraId="4F63EC0E" w14:textId="77777777" w:rsidR="006C0F81" w:rsidRDefault="006C0F81"/>
    <w:tbl>
      <w:tblPr>
        <w:tblStyle w:val="TableGrid"/>
        <w:tblW w:w="10171" w:type="dxa"/>
        <w:tblLayout w:type="fixed"/>
        <w:tblLook w:val="04A0" w:firstRow="1" w:lastRow="0" w:firstColumn="1" w:lastColumn="0" w:noHBand="0" w:noVBand="1"/>
      </w:tblPr>
      <w:tblGrid>
        <w:gridCol w:w="1654"/>
        <w:gridCol w:w="1671"/>
        <w:gridCol w:w="1800"/>
        <w:gridCol w:w="3330"/>
        <w:gridCol w:w="1716"/>
      </w:tblGrid>
      <w:tr w:rsidR="00DD412E" w:rsidRPr="00535B21" w14:paraId="18044AD4" w14:textId="77777777" w:rsidTr="00646EC8">
        <w:trPr>
          <w:trHeight w:val="464"/>
          <w:tblHeader/>
        </w:trPr>
        <w:tc>
          <w:tcPr>
            <w:tcW w:w="1654" w:type="dxa"/>
            <w:vAlign w:val="center"/>
          </w:tcPr>
          <w:p w14:paraId="6B4179F7" w14:textId="77777777" w:rsidR="00DD412E" w:rsidRPr="00535B21" w:rsidRDefault="00DD412E" w:rsidP="00646EC8">
            <w:pPr>
              <w:contextualSpacing/>
              <w:jc w:val="center"/>
              <w:rPr>
                <w:b/>
              </w:rPr>
            </w:pPr>
            <w:bookmarkStart w:id="0" w:name="_Hlk165461554"/>
            <w:r w:rsidRPr="00535B21">
              <w:rPr>
                <w:b/>
              </w:rPr>
              <w:t>STATUS</w:t>
            </w:r>
          </w:p>
        </w:tc>
        <w:tc>
          <w:tcPr>
            <w:tcW w:w="1671" w:type="dxa"/>
            <w:vAlign w:val="center"/>
          </w:tcPr>
          <w:p w14:paraId="49F0DF4F" w14:textId="77777777" w:rsidR="00DD412E" w:rsidRPr="00535B21" w:rsidRDefault="00DD412E" w:rsidP="00646EC8">
            <w:pPr>
              <w:contextualSpacing/>
              <w:jc w:val="center"/>
              <w:rPr>
                <w:b/>
              </w:rPr>
            </w:pPr>
            <w:r w:rsidRPr="00535B21">
              <w:rPr>
                <w:b/>
              </w:rPr>
              <w:t>DATE REVISED</w:t>
            </w:r>
          </w:p>
        </w:tc>
        <w:tc>
          <w:tcPr>
            <w:tcW w:w="1800" w:type="dxa"/>
            <w:vAlign w:val="center"/>
          </w:tcPr>
          <w:p w14:paraId="38B3A6CD" w14:textId="77777777" w:rsidR="00DD412E" w:rsidRPr="00535B21" w:rsidRDefault="00DD412E" w:rsidP="00646EC8">
            <w:pPr>
              <w:contextualSpacing/>
              <w:jc w:val="center"/>
              <w:rPr>
                <w:b/>
              </w:rPr>
            </w:pPr>
            <w:r w:rsidRPr="00535B21">
              <w:rPr>
                <w:b/>
              </w:rPr>
              <w:t>REVIEW DATE</w:t>
            </w:r>
          </w:p>
        </w:tc>
        <w:tc>
          <w:tcPr>
            <w:tcW w:w="3330" w:type="dxa"/>
            <w:vAlign w:val="center"/>
          </w:tcPr>
          <w:p w14:paraId="5F12DCCA" w14:textId="77777777" w:rsidR="00DD412E" w:rsidRPr="00535B21" w:rsidRDefault="00DD412E" w:rsidP="00646EC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APPROVED/REVIEWED BY</w:t>
            </w:r>
          </w:p>
        </w:tc>
        <w:tc>
          <w:tcPr>
            <w:tcW w:w="1716" w:type="dxa"/>
            <w:vAlign w:val="center"/>
          </w:tcPr>
          <w:p w14:paraId="71AD14CF" w14:textId="77777777" w:rsidR="00DD412E" w:rsidRPr="00535B21" w:rsidRDefault="00DD412E" w:rsidP="00646EC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EFFECTIVE DATE</w:t>
            </w:r>
          </w:p>
        </w:tc>
      </w:tr>
      <w:tr w:rsidR="00A4402D" w:rsidRPr="00535B21" w14:paraId="70544C75" w14:textId="77777777" w:rsidTr="00DD412E">
        <w:trPr>
          <w:trHeight w:val="215"/>
        </w:trPr>
        <w:tc>
          <w:tcPr>
            <w:tcW w:w="1654" w:type="dxa"/>
          </w:tcPr>
          <w:p w14:paraId="77B763C8" w14:textId="1E7CCAF9" w:rsidR="00A4402D" w:rsidRPr="00535B21" w:rsidRDefault="00A4402D" w:rsidP="00A4402D">
            <w:pPr>
              <w:contextualSpacing/>
            </w:pPr>
            <w:r>
              <w:t>Created</w:t>
            </w:r>
          </w:p>
        </w:tc>
        <w:tc>
          <w:tcPr>
            <w:tcW w:w="1671" w:type="dxa"/>
          </w:tcPr>
          <w:p w14:paraId="517BD568" w14:textId="4012A500" w:rsidR="00A4402D" w:rsidRPr="00535B21" w:rsidRDefault="003D63DA" w:rsidP="00A4402D">
            <w:pPr>
              <w:contextualSpacing/>
              <w:jc w:val="center"/>
            </w:pPr>
            <w:r>
              <w:t>08/05/2024</w:t>
            </w:r>
          </w:p>
        </w:tc>
        <w:tc>
          <w:tcPr>
            <w:tcW w:w="1800" w:type="dxa"/>
          </w:tcPr>
          <w:p w14:paraId="16B6EA66" w14:textId="6C992254" w:rsidR="00A4402D" w:rsidRPr="00535B21" w:rsidRDefault="00F126FC" w:rsidP="00A4402D">
            <w:pPr>
              <w:contextualSpacing/>
              <w:jc w:val="center"/>
            </w:pPr>
            <w:r>
              <w:t>0</w:t>
            </w:r>
            <w:r w:rsidR="00A4402D">
              <w:t>8/</w:t>
            </w:r>
            <w:r>
              <w:t>0</w:t>
            </w:r>
            <w:r w:rsidR="00A4402D">
              <w:t>5/2024</w:t>
            </w:r>
          </w:p>
        </w:tc>
        <w:tc>
          <w:tcPr>
            <w:tcW w:w="3330" w:type="dxa"/>
          </w:tcPr>
          <w:p w14:paraId="024B08F3" w14:textId="322939A2" w:rsidR="00A4402D" w:rsidRPr="00535B21" w:rsidRDefault="00A4402D" w:rsidP="00A4402D">
            <w:pPr>
              <w:contextualSpacing/>
            </w:pPr>
            <w:r>
              <w:t>Yoonhee Kim, Interim Director of Pharmacy Services</w:t>
            </w:r>
          </w:p>
        </w:tc>
        <w:tc>
          <w:tcPr>
            <w:tcW w:w="1716" w:type="dxa"/>
          </w:tcPr>
          <w:p w14:paraId="13A3071B" w14:textId="7294C2A8" w:rsidR="00A4402D" w:rsidRPr="00535B21" w:rsidRDefault="00A4402D" w:rsidP="008C5B41">
            <w:pPr>
              <w:contextualSpacing/>
              <w:jc w:val="center"/>
            </w:pPr>
            <w:r>
              <w:t>N/A</w:t>
            </w:r>
          </w:p>
        </w:tc>
      </w:tr>
      <w:tr w:rsidR="00F126FC" w:rsidRPr="00535B21" w14:paraId="38E09913" w14:textId="77777777" w:rsidTr="00646EC8">
        <w:trPr>
          <w:trHeight w:val="290"/>
        </w:trPr>
        <w:tc>
          <w:tcPr>
            <w:tcW w:w="1654" w:type="dxa"/>
          </w:tcPr>
          <w:p w14:paraId="6D061771" w14:textId="5B5CE03F" w:rsidR="00F126FC" w:rsidRPr="00535B21" w:rsidRDefault="00F126FC" w:rsidP="00F126FC">
            <w:pPr>
              <w:contextualSpacing/>
            </w:pPr>
            <w:r>
              <w:t>Approved</w:t>
            </w:r>
          </w:p>
        </w:tc>
        <w:tc>
          <w:tcPr>
            <w:tcW w:w="1671" w:type="dxa"/>
          </w:tcPr>
          <w:p w14:paraId="1DBE3C78" w14:textId="789199DE" w:rsidR="00F126FC" w:rsidRPr="00535B21" w:rsidRDefault="00B12095" w:rsidP="00F126FC">
            <w:pPr>
              <w:contextualSpacing/>
              <w:jc w:val="center"/>
            </w:pPr>
            <w:r>
              <w:t>N/A</w:t>
            </w:r>
          </w:p>
        </w:tc>
        <w:tc>
          <w:tcPr>
            <w:tcW w:w="1800" w:type="dxa"/>
          </w:tcPr>
          <w:p w14:paraId="26228928" w14:textId="1513C4E1" w:rsidR="00F126FC" w:rsidRPr="00535B21" w:rsidRDefault="00F126FC" w:rsidP="00F126FC">
            <w:pPr>
              <w:contextualSpacing/>
              <w:jc w:val="center"/>
              <w:rPr>
                <w:b/>
                <w:bCs/>
              </w:rPr>
            </w:pPr>
            <w:r w:rsidRPr="00FA6752">
              <w:t>08/14/2024</w:t>
            </w:r>
          </w:p>
        </w:tc>
        <w:tc>
          <w:tcPr>
            <w:tcW w:w="3330" w:type="dxa"/>
          </w:tcPr>
          <w:p w14:paraId="15F49AE7" w14:textId="3274A61C" w:rsidR="00F126FC" w:rsidRPr="00535B21" w:rsidRDefault="00F126FC" w:rsidP="00F126FC">
            <w:pPr>
              <w:contextualSpacing/>
            </w:pPr>
            <w:r>
              <w:t>Pharmacy &amp; Therapeutics Committee</w:t>
            </w:r>
          </w:p>
        </w:tc>
        <w:tc>
          <w:tcPr>
            <w:tcW w:w="1716" w:type="dxa"/>
          </w:tcPr>
          <w:p w14:paraId="63E73B73" w14:textId="09DEAA3A" w:rsidR="00F126FC" w:rsidRPr="00535B21" w:rsidRDefault="00E16365" w:rsidP="00E16365">
            <w:pPr>
              <w:contextualSpacing/>
              <w:jc w:val="center"/>
            </w:pPr>
            <w:r>
              <w:t>3/1/2025</w:t>
            </w:r>
          </w:p>
        </w:tc>
      </w:tr>
      <w:tr w:rsidR="00DD412E" w:rsidRPr="00535B21" w14:paraId="34B745D8" w14:textId="77777777" w:rsidTr="00646EC8">
        <w:trPr>
          <w:trHeight w:val="274"/>
        </w:trPr>
        <w:tc>
          <w:tcPr>
            <w:tcW w:w="1654" w:type="dxa"/>
          </w:tcPr>
          <w:p w14:paraId="1B5D2FC4" w14:textId="77777777" w:rsidR="00DD412E" w:rsidRPr="00535B21" w:rsidRDefault="00DD412E" w:rsidP="00646EC8">
            <w:pPr>
              <w:contextualSpacing/>
            </w:pPr>
          </w:p>
        </w:tc>
        <w:tc>
          <w:tcPr>
            <w:tcW w:w="1671" w:type="dxa"/>
          </w:tcPr>
          <w:p w14:paraId="60FE3F14" w14:textId="77777777" w:rsidR="00DD412E" w:rsidRPr="00535B21" w:rsidRDefault="00DD412E" w:rsidP="00646EC8">
            <w:pPr>
              <w:contextualSpacing/>
              <w:jc w:val="center"/>
            </w:pPr>
          </w:p>
        </w:tc>
        <w:tc>
          <w:tcPr>
            <w:tcW w:w="1800" w:type="dxa"/>
          </w:tcPr>
          <w:p w14:paraId="14C6CA0B" w14:textId="77777777" w:rsidR="00DD412E" w:rsidRPr="00535B21" w:rsidRDefault="00DD412E" w:rsidP="00646EC8">
            <w:pPr>
              <w:contextualSpacing/>
            </w:pPr>
          </w:p>
        </w:tc>
        <w:tc>
          <w:tcPr>
            <w:tcW w:w="3330" w:type="dxa"/>
          </w:tcPr>
          <w:p w14:paraId="2941D16D" w14:textId="77777777" w:rsidR="00DD412E" w:rsidRPr="00535B21" w:rsidRDefault="00DD412E" w:rsidP="00646EC8">
            <w:pPr>
              <w:contextualSpacing/>
            </w:pPr>
          </w:p>
        </w:tc>
        <w:tc>
          <w:tcPr>
            <w:tcW w:w="1716" w:type="dxa"/>
          </w:tcPr>
          <w:p w14:paraId="5D0C1CBC" w14:textId="77777777" w:rsidR="00DD412E" w:rsidRPr="00535B21" w:rsidRDefault="00DD412E" w:rsidP="00646EC8">
            <w:pPr>
              <w:contextualSpacing/>
            </w:pPr>
          </w:p>
        </w:tc>
      </w:tr>
      <w:tr w:rsidR="00DD412E" w:rsidRPr="00535B21" w14:paraId="0CF3C64A" w14:textId="77777777" w:rsidTr="00646EC8">
        <w:trPr>
          <w:trHeight w:val="75"/>
        </w:trPr>
        <w:tc>
          <w:tcPr>
            <w:tcW w:w="1654" w:type="dxa"/>
          </w:tcPr>
          <w:p w14:paraId="75FF385F" w14:textId="77777777" w:rsidR="00DD412E" w:rsidRPr="00535B21" w:rsidRDefault="00DD412E" w:rsidP="00646EC8">
            <w:pPr>
              <w:contextualSpacing/>
            </w:pPr>
          </w:p>
        </w:tc>
        <w:tc>
          <w:tcPr>
            <w:tcW w:w="1671" w:type="dxa"/>
          </w:tcPr>
          <w:p w14:paraId="5B228A99" w14:textId="77777777" w:rsidR="00DD412E" w:rsidRPr="00535B21" w:rsidRDefault="00DD412E" w:rsidP="00646EC8">
            <w:pPr>
              <w:contextualSpacing/>
              <w:jc w:val="center"/>
            </w:pPr>
          </w:p>
        </w:tc>
        <w:tc>
          <w:tcPr>
            <w:tcW w:w="1800" w:type="dxa"/>
          </w:tcPr>
          <w:p w14:paraId="572BF39C" w14:textId="77777777" w:rsidR="00DD412E" w:rsidRPr="00535B21" w:rsidRDefault="00DD412E" w:rsidP="00646EC8">
            <w:pPr>
              <w:contextualSpacing/>
            </w:pPr>
          </w:p>
        </w:tc>
        <w:tc>
          <w:tcPr>
            <w:tcW w:w="3330" w:type="dxa"/>
          </w:tcPr>
          <w:p w14:paraId="4C2D9451" w14:textId="77777777" w:rsidR="00DD412E" w:rsidRPr="00535B21" w:rsidRDefault="00DD412E" w:rsidP="00646EC8">
            <w:pPr>
              <w:contextualSpacing/>
            </w:pPr>
          </w:p>
        </w:tc>
        <w:tc>
          <w:tcPr>
            <w:tcW w:w="1716" w:type="dxa"/>
          </w:tcPr>
          <w:p w14:paraId="0B9FCFCE" w14:textId="77777777" w:rsidR="00DD412E" w:rsidRPr="00535B21" w:rsidRDefault="00DD412E" w:rsidP="00646EC8">
            <w:pPr>
              <w:contextualSpacing/>
            </w:pPr>
          </w:p>
        </w:tc>
      </w:tr>
      <w:bookmarkEnd w:id="0"/>
    </w:tbl>
    <w:p w14:paraId="7C448223" w14:textId="77777777" w:rsidR="00DD412E" w:rsidRDefault="00DD412E"/>
    <w:sectPr w:rsidR="00DD412E" w:rsidSect="00D427FC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0F9A6" w14:textId="77777777" w:rsidR="003C116A" w:rsidRDefault="003C116A" w:rsidP="006C0F81">
      <w:pPr>
        <w:spacing w:after="0" w:line="240" w:lineRule="auto"/>
      </w:pPr>
      <w:r>
        <w:separator/>
      </w:r>
    </w:p>
  </w:endnote>
  <w:endnote w:type="continuationSeparator" w:id="0">
    <w:p w14:paraId="1996B9B0" w14:textId="77777777" w:rsidR="003C116A" w:rsidRDefault="003C116A" w:rsidP="006C0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F521E" w14:textId="20CC87A3" w:rsidR="006C0F81" w:rsidRPr="006C0F81" w:rsidRDefault="006C0F81" w:rsidP="006C0F81">
    <w:pPr>
      <w:pStyle w:val="Footer"/>
      <w:jc w:val="both"/>
      <w:rPr>
        <w:b/>
        <w:bCs/>
        <w:sz w:val="20"/>
        <w:szCs w:val="20"/>
      </w:rPr>
    </w:pPr>
    <w:r w:rsidRPr="00B81B5B">
      <w:rPr>
        <w:sz w:val="20"/>
        <w:szCs w:val="20"/>
      </w:rPr>
      <w:t xml:space="preserve">Page </w:t>
    </w:r>
    <w:r w:rsidRPr="00B81B5B">
      <w:rPr>
        <w:b/>
        <w:bCs/>
        <w:sz w:val="20"/>
        <w:szCs w:val="20"/>
      </w:rPr>
      <w:fldChar w:fldCharType="begin"/>
    </w:r>
    <w:r w:rsidRPr="00B81B5B">
      <w:rPr>
        <w:b/>
        <w:bCs/>
        <w:sz w:val="20"/>
        <w:szCs w:val="20"/>
      </w:rPr>
      <w:instrText xml:space="preserve"> PAGE  \* Arabic  \* MERGEFORMAT </w:instrText>
    </w:r>
    <w:r w:rsidRPr="00B81B5B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1</w:t>
    </w:r>
    <w:r w:rsidRPr="00B81B5B">
      <w:rPr>
        <w:b/>
        <w:bCs/>
        <w:sz w:val="20"/>
        <w:szCs w:val="20"/>
      </w:rPr>
      <w:fldChar w:fldCharType="end"/>
    </w:r>
    <w:r w:rsidRPr="00B81B5B">
      <w:rPr>
        <w:sz w:val="20"/>
        <w:szCs w:val="20"/>
      </w:rPr>
      <w:t xml:space="preserve"> of </w:t>
    </w:r>
    <w:r w:rsidRPr="00B81B5B">
      <w:rPr>
        <w:b/>
        <w:bCs/>
        <w:sz w:val="20"/>
        <w:szCs w:val="20"/>
      </w:rPr>
      <w:fldChar w:fldCharType="begin"/>
    </w:r>
    <w:r w:rsidRPr="00B81B5B">
      <w:rPr>
        <w:b/>
        <w:bCs/>
        <w:sz w:val="20"/>
        <w:szCs w:val="20"/>
      </w:rPr>
      <w:instrText xml:space="preserve"> NUMPAGES  \* Arabic  \* MERGEFORMAT </w:instrText>
    </w:r>
    <w:r w:rsidRPr="00B81B5B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7</w:t>
    </w:r>
    <w:r w:rsidRPr="00B81B5B"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  <w:t xml:space="preserve"> </w:t>
    </w:r>
  </w:p>
  <w:p w14:paraId="5AC666CB" w14:textId="70BBD6BD" w:rsidR="006C0F81" w:rsidRDefault="006C0F81">
    <w:pPr>
      <w:pStyle w:val="Footer"/>
    </w:pPr>
    <w:r w:rsidRPr="00B81B5B">
      <w:rPr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269E1DF2" wp14:editId="303858A6">
          <wp:simplePos x="0" y="0"/>
          <wp:positionH relativeFrom="margin">
            <wp:posOffset>346075</wp:posOffset>
          </wp:positionH>
          <wp:positionV relativeFrom="page">
            <wp:posOffset>9725660</wp:posOffset>
          </wp:positionV>
          <wp:extent cx="5740400" cy="93133"/>
          <wp:effectExtent l="0" t="0" r="0" b="2540"/>
          <wp:wrapNone/>
          <wp:docPr id="2" name="Picture 2" descr="NEW_address_S_L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_address_S_LH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0400" cy="931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4D39D" w14:textId="77777777" w:rsidR="003C116A" w:rsidRDefault="003C116A" w:rsidP="006C0F81">
      <w:pPr>
        <w:spacing w:after="0" w:line="240" w:lineRule="auto"/>
      </w:pPr>
      <w:r>
        <w:separator/>
      </w:r>
    </w:p>
  </w:footnote>
  <w:footnote w:type="continuationSeparator" w:id="0">
    <w:p w14:paraId="4F51B3FF" w14:textId="77777777" w:rsidR="003C116A" w:rsidRDefault="003C116A" w:rsidP="006C0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93F86" w14:textId="1ED1A4FA" w:rsidR="006C0F81" w:rsidRDefault="006C0F8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BB2BBAC" wp14:editId="04C4687D">
              <wp:simplePos x="0" y="0"/>
              <wp:positionH relativeFrom="column">
                <wp:posOffset>2247900</wp:posOffset>
              </wp:positionH>
              <wp:positionV relativeFrom="paragraph">
                <wp:posOffset>9525</wp:posOffset>
              </wp:positionV>
              <wp:extent cx="4381500" cy="7905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0" cy="79057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13966B" w14:textId="0EBD70D4" w:rsidR="00BF51F6" w:rsidRDefault="00151D6F" w:rsidP="006C0F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outline/>
                              <w:color w:val="5B9BD5" w:themeColor="accent5"/>
                              <w:sz w:val="28"/>
                              <w:szCs w:val="28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outline/>
                              <w:color w:val="5B9BD5" w:themeColor="accent5"/>
                              <w:sz w:val="28"/>
                              <w:szCs w:val="28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GCHP </w:t>
                          </w:r>
                          <w:r w:rsidR="00B12095">
                            <w:rPr>
                              <w:rFonts w:ascii="Arial" w:hAnsi="Arial" w:cs="Arial"/>
                              <w:b/>
                              <w:outline/>
                              <w:color w:val="5B9BD5" w:themeColor="accent5"/>
                              <w:sz w:val="28"/>
                              <w:szCs w:val="28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Medi-Cal </w:t>
                          </w:r>
                          <w:r>
                            <w:rPr>
                              <w:rFonts w:ascii="Arial" w:hAnsi="Arial" w:cs="Arial"/>
                              <w:b/>
                              <w:outline/>
                              <w:color w:val="5B9BD5" w:themeColor="accent5"/>
                              <w:sz w:val="28"/>
                              <w:szCs w:val="28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Clinical Guidelines:</w:t>
                          </w:r>
                          <w:r w:rsidR="00BF51F6" w:rsidRPr="00BF51F6">
                            <w:rPr>
                              <w:rFonts w:ascii="Arial" w:hAnsi="Arial" w:cs="Arial"/>
                              <w:b/>
                              <w:outline/>
                              <w:color w:val="5B9BD5" w:themeColor="accent5"/>
                              <w:sz w:val="28"/>
                              <w:szCs w:val="28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  <w:p w14:paraId="7EE1CE4D" w14:textId="6D0461AE" w:rsidR="006C0F81" w:rsidRPr="00BF51F6" w:rsidRDefault="00282DE3" w:rsidP="006C0F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outline/>
                              <w:color w:val="5B9BD5" w:themeColor="accent5"/>
                              <w:sz w:val="28"/>
                              <w:szCs w:val="28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outline/>
                              <w:color w:val="5B9BD5" w:themeColor="accent5"/>
                              <w:sz w:val="28"/>
                              <w:szCs w:val="28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Nusinersen</w:t>
                          </w:r>
                          <w:proofErr w:type="spellEnd"/>
                          <w:r w:rsidR="00356677">
                            <w:rPr>
                              <w:rFonts w:ascii="Arial" w:hAnsi="Arial" w:cs="Arial"/>
                              <w:b/>
                              <w:outline/>
                              <w:color w:val="5B9BD5" w:themeColor="accent5"/>
                              <w:sz w:val="28"/>
                              <w:szCs w:val="28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 </w:t>
                          </w:r>
                          <w:r w:rsidR="00BF51F6" w:rsidRPr="00BF51F6">
                            <w:rPr>
                              <w:rFonts w:ascii="Arial" w:hAnsi="Arial" w:cs="Arial"/>
                              <w:b/>
                              <w:outline/>
                              <w:color w:val="5B9BD5" w:themeColor="accent5"/>
                              <w:sz w:val="28"/>
                              <w:szCs w:val="28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outline/>
                              <w:color w:val="5B9BD5" w:themeColor="accent5"/>
                              <w:sz w:val="28"/>
                              <w:szCs w:val="28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Spinraza</w:t>
                          </w:r>
                          <w:proofErr w:type="spellEnd"/>
                          <w:r w:rsidR="00D51ED2">
                            <w:rPr>
                              <w:rFonts w:ascii="Arial" w:hAnsi="Arial" w:cs="Arial"/>
                              <w:b/>
                              <w:outline/>
                              <w:color w:val="5B9BD5" w:themeColor="accent5"/>
                              <w:sz w:val="28"/>
                              <w:szCs w:val="28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 </w:t>
                          </w:r>
                          <w:r w:rsidR="00C67130" w:rsidRPr="00C67130">
                            <w:rPr>
                              <w:rFonts w:ascii="Arial" w:hAnsi="Arial" w:cs="Arial"/>
                              <w:b/>
                              <w:outline/>
                              <w:color w:val="5B9BD5" w:themeColor="accent5"/>
                              <w:sz w:val="20"/>
                              <w:szCs w:val="28"/>
                              <w:vertAlign w:val="superscript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>TM</w:t>
                          </w:r>
                          <w:r w:rsidR="00BF51F6" w:rsidRPr="00BF51F6">
                            <w:rPr>
                              <w:rFonts w:ascii="Arial" w:hAnsi="Arial" w:cs="Arial"/>
                              <w:b/>
                              <w:outline/>
                              <w:color w:val="5B9BD5" w:themeColor="accent5"/>
                              <w:sz w:val="28"/>
                              <w:szCs w:val="28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B2BB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pt;margin-top:.75pt;width:345pt;height:6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" fillcolor="#9cc2e5 [1944]" stroked="f">
              <v:textbox>
                <w:txbxContent>
                  <w:p w14:paraId="5713966B" w14:textId="0EBD70D4" w:rsidR="00BF51F6" w:rsidRDefault="00151D6F" w:rsidP="006C0F81">
                    <w:pPr>
                      <w:jc w:val="center"/>
                      <w:rPr>
                        <w:rFonts w:ascii="Arial" w:hAnsi="Arial" w:cs="Arial"/>
                        <w:b/>
                        <w:outline/>
                        <w:color w:val="5B9BD5" w:themeColor="accent5"/>
                        <w:sz w:val="28"/>
                        <w:szCs w:val="28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chemeClr w14:val="accent5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b/>
                        <w:outline/>
                        <w:color w:val="5B9BD5" w:themeColor="accent5"/>
                        <w:sz w:val="28"/>
                        <w:szCs w:val="28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chemeClr w14:val="accent5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 xml:space="preserve">GCHP </w:t>
                    </w:r>
                    <w:r w:rsidR="00B12095">
                      <w:rPr>
                        <w:rFonts w:ascii="Arial" w:hAnsi="Arial" w:cs="Arial"/>
                        <w:b/>
                        <w:outline/>
                        <w:color w:val="5B9BD5" w:themeColor="accent5"/>
                        <w:sz w:val="28"/>
                        <w:szCs w:val="28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chemeClr w14:val="accent5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 xml:space="preserve">Medi-Cal </w:t>
                    </w:r>
                    <w:r>
                      <w:rPr>
                        <w:rFonts w:ascii="Arial" w:hAnsi="Arial" w:cs="Arial"/>
                        <w:b/>
                        <w:outline/>
                        <w:color w:val="5B9BD5" w:themeColor="accent5"/>
                        <w:sz w:val="28"/>
                        <w:szCs w:val="28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chemeClr w14:val="accent5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Clinical Guidelines:</w:t>
                    </w:r>
                    <w:r w:rsidR="00BF51F6" w:rsidRPr="00BF51F6">
                      <w:rPr>
                        <w:rFonts w:ascii="Arial" w:hAnsi="Arial" w:cs="Arial"/>
                        <w:b/>
                        <w:outline/>
                        <w:color w:val="5B9BD5" w:themeColor="accent5"/>
                        <w:sz w:val="28"/>
                        <w:szCs w:val="28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chemeClr w14:val="accent5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 xml:space="preserve"> </w:t>
                    </w:r>
                  </w:p>
                  <w:p w14:paraId="7EE1CE4D" w14:textId="6D0461AE" w:rsidR="006C0F81" w:rsidRPr="00BF51F6" w:rsidRDefault="00282DE3" w:rsidP="006C0F81">
                    <w:pPr>
                      <w:jc w:val="center"/>
                      <w:rPr>
                        <w:rFonts w:ascii="Arial" w:hAnsi="Arial" w:cs="Arial"/>
                        <w:b/>
                        <w:outline/>
                        <w:color w:val="5B9BD5" w:themeColor="accent5"/>
                        <w:sz w:val="28"/>
                        <w:szCs w:val="28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chemeClr w14:val="accent5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outline/>
                        <w:color w:val="5B9BD5" w:themeColor="accent5"/>
                        <w:sz w:val="28"/>
                        <w:szCs w:val="28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chemeClr w14:val="accent5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Nusinersen</w:t>
                    </w:r>
                    <w:proofErr w:type="spellEnd"/>
                    <w:r w:rsidR="00356677">
                      <w:rPr>
                        <w:rFonts w:ascii="Arial" w:hAnsi="Arial" w:cs="Arial"/>
                        <w:b/>
                        <w:outline/>
                        <w:color w:val="5B9BD5" w:themeColor="accent5"/>
                        <w:sz w:val="28"/>
                        <w:szCs w:val="28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chemeClr w14:val="accent5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 xml:space="preserve"> </w:t>
                    </w:r>
                    <w:r w:rsidR="00BF51F6" w:rsidRPr="00BF51F6">
                      <w:rPr>
                        <w:rFonts w:ascii="Arial" w:hAnsi="Arial" w:cs="Arial"/>
                        <w:b/>
                        <w:outline/>
                        <w:color w:val="5B9BD5" w:themeColor="accent5"/>
                        <w:sz w:val="28"/>
                        <w:szCs w:val="28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chemeClr w14:val="accent5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(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outline/>
                        <w:color w:val="5B9BD5" w:themeColor="accent5"/>
                        <w:sz w:val="28"/>
                        <w:szCs w:val="28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chemeClr w14:val="accent5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Spinraza</w:t>
                    </w:r>
                    <w:proofErr w:type="spellEnd"/>
                    <w:r w:rsidR="00D51ED2">
                      <w:rPr>
                        <w:rFonts w:ascii="Arial" w:hAnsi="Arial" w:cs="Arial"/>
                        <w:b/>
                        <w:outline/>
                        <w:color w:val="5B9BD5" w:themeColor="accent5"/>
                        <w:sz w:val="28"/>
                        <w:szCs w:val="28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chemeClr w14:val="accent5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 xml:space="preserve"> </w:t>
                    </w:r>
                    <w:r w:rsidR="00C67130" w:rsidRPr="00C67130">
                      <w:rPr>
                        <w:rFonts w:ascii="Arial" w:hAnsi="Arial" w:cs="Arial"/>
                        <w:b/>
                        <w:outline/>
                        <w:color w:val="5B9BD5" w:themeColor="accent5"/>
                        <w:sz w:val="20"/>
                        <w:szCs w:val="28"/>
                        <w:vertAlign w:val="superscript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chemeClr w14:val="accent5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  <w:t>TM</w:t>
                    </w:r>
                    <w:r w:rsidR="00BF51F6" w:rsidRPr="00BF51F6">
                      <w:rPr>
                        <w:rFonts w:ascii="Arial" w:hAnsi="Arial" w:cs="Arial"/>
                        <w:b/>
                        <w:outline/>
                        <w:color w:val="5B9BD5" w:themeColor="accent5"/>
                        <w:sz w:val="28"/>
                        <w:szCs w:val="28"/>
                        <w14:shadow w14:blurRad="38100" w14:dist="22860" w14:dir="5400000" w14:sx="100000" w14:sy="100000" w14:kx="0" w14:ky="0" w14:algn="tl">
                          <w14:srgbClr w14:val="000000">
                            <w14:alpha w14:val="70000"/>
                          </w14:srgbClr>
                        </w14:shadow>
                        <w14:textOutline w14:w="10160" w14:cap="flat" w14:cmpd="sng" w14:algn="ctr">
                          <w14:solidFill>
                            <w14:schemeClr w14:val="accent5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566FBEA2" wp14:editId="7245D0EE">
          <wp:extent cx="2057400" cy="752475"/>
          <wp:effectExtent l="0" t="0" r="0" b="9525"/>
          <wp:docPr id="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8447" cy="752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CE4FBE" w14:textId="77777777" w:rsidR="006C0F81" w:rsidRDefault="006C0F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C06C3"/>
    <w:multiLevelType w:val="hybridMultilevel"/>
    <w:tmpl w:val="CB62F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527BE"/>
    <w:multiLevelType w:val="hybridMultilevel"/>
    <w:tmpl w:val="05CA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D7F74"/>
    <w:multiLevelType w:val="hybridMultilevel"/>
    <w:tmpl w:val="760E7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F0534"/>
    <w:multiLevelType w:val="hybridMultilevel"/>
    <w:tmpl w:val="72F494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C3E2A"/>
    <w:multiLevelType w:val="hybridMultilevel"/>
    <w:tmpl w:val="70445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47F22"/>
    <w:multiLevelType w:val="hybridMultilevel"/>
    <w:tmpl w:val="3CC6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849466">
    <w:abstractNumId w:val="5"/>
  </w:num>
  <w:num w:numId="2" w16cid:durableId="1508790975">
    <w:abstractNumId w:val="2"/>
  </w:num>
  <w:num w:numId="3" w16cid:durableId="119346057">
    <w:abstractNumId w:val="0"/>
  </w:num>
  <w:num w:numId="4" w16cid:durableId="223488258">
    <w:abstractNumId w:val="4"/>
  </w:num>
  <w:num w:numId="5" w16cid:durableId="1465155267">
    <w:abstractNumId w:val="3"/>
  </w:num>
  <w:num w:numId="6" w16cid:durableId="1531605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81"/>
    <w:rsid w:val="00002682"/>
    <w:rsid w:val="0001288F"/>
    <w:rsid w:val="00093533"/>
    <w:rsid w:val="00151D6F"/>
    <w:rsid w:val="001610CE"/>
    <w:rsid w:val="00192C33"/>
    <w:rsid w:val="001E2FEA"/>
    <w:rsid w:val="002039EF"/>
    <w:rsid w:val="00282B05"/>
    <w:rsid w:val="00282DE3"/>
    <w:rsid w:val="00291C37"/>
    <w:rsid w:val="002B5DF0"/>
    <w:rsid w:val="002E157F"/>
    <w:rsid w:val="002E267C"/>
    <w:rsid w:val="0030672C"/>
    <w:rsid w:val="00307687"/>
    <w:rsid w:val="00317A8A"/>
    <w:rsid w:val="00325861"/>
    <w:rsid w:val="00356677"/>
    <w:rsid w:val="003C116A"/>
    <w:rsid w:val="003C2A68"/>
    <w:rsid w:val="003D63DA"/>
    <w:rsid w:val="00421E5C"/>
    <w:rsid w:val="00432FD1"/>
    <w:rsid w:val="00436E9A"/>
    <w:rsid w:val="004B130D"/>
    <w:rsid w:val="004B44F1"/>
    <w:rsid w:val="00510DE5"/>
    <w:rsid w:val="00517AB1"/>
    <w:rsid w:val="00542685"/>
    <w:rsid w:val="00587439"/>
    <w:rsid w:val="00593C95"/>
    <w:rsid w:val="005A36C0"/>
    <w:rsid w:val="005D4499"/>
    <w:rsid w:val="005E1AEC"/>
    <w:rsid w:val="005F1E2C"/>
    <w:rsid w:val="005F7205"/>
    <w:rsid w:val="0065156C"/>
    <w:rsid w:val="006724A8"/>
    <w:rsid w:val="00683A15"/>
    <w:rsid w:val="006C0F81"/>
    <w:rsid w:val="006E5027"/>
    <w:rsid w:val="006E6D70"/>
    <w:rsid w:val="00704513"/>
    <w:rsid w:val="007157F2"/>
    <w:rsid w:val="00721F5C"/>
    <w:rsid w:val="0072597A"/>
    <w:rsid w:val="00733270"/>
    <w:rsid w:val="00747D0B"/>
    <w:rsid w:val="00757337"/>
    <w:rsid w:val="007577D2"/>
    <w:rsid w:val="00780063"/>
    <w:rsid w:val="00786064"/>
    <w:rsid w:val="007B7239"/>
    <w:rsid w:val="007C4094"/>
    <w:rsid w:val="0082514F"/>
    <w:rsid w:val="00850341"/>
    <w:rsid w:val="008866E1"/>
    <w:rsid w:val="008C421F"/>
    <w:rsid w:val="008C5B41"/>
    <w:rsid w:val="008C7B5B"/>
    <w:rsid w:val="00912237"/>
    <w:rsid w:val="0093592B"/>
    <w:rsid w:val="009B313E"/>
    <w:rsid w:val="009C4776"/>
    <w:rsid w:val="009E2834"/>
    <w:rsid w:val="00A06498"/>
    <w:rsid w:val="00A40243"/>
    <w:rsid w:val="00A41449"/>
    <w:rsid w:val="00A4402D"/>
    <w:rsid w:val="00A52CC3"/>
    <w:rsid w:val="00A74241"/>
    <w:rsid w:val="00AA6F42"/>
    <w:rsid w:val="00AC15F8"/>
    <w:rsid w:val="00B12095"/>
    <w:rsid w:val="00B655B1"/>
    <w:rsid w:val="00B743F9"/>
    <w:rsid w:val="00B84D3E"/>
    <w:rsid w:val="00B95193"/>
    <w:rsid w:val="00BB054E"/>
    <w:rsid w:val="00BF1190"/>
    <w:rsid w:val="00BF51F6"/>
    <w:rsid w:val="00C67130"/>
    <w:rsid w:val="00CA3565"/>
    <w:rsid w:val="00CC48E3"/>
    <w:rsid w:val="00CD32B9"/>
    <w:rsid w:val="00D02F06"/>
    <w:rsid w:val="00D13E08"/>
    <w:rsid w:val="00D427FC"/>
    <w:rsid w:val="00D51ED2"/>
    <w:rsid w:val="00D54919"/>
    <w:rsid w:val="00D641F3"/>
    <w:rsid w:val="00DD412E"/>
    <w:rsid w:val="00E15C91"/>
    <w:rsid w:val="00E16365"/>
    <w:rsid w:val="00E223D5"/>
    <w:rsid w:val="00E24E2F"/>
    <w:rsid w:val="00E412CB"/>
    <w:rsid w:val="00EE6A50"/>
    <w:rsid w:val="00EF678D"/>
    <w:rsid w:val="00F0152A"/>
    <w:rsid w:val="00F126FC"/>
    <w:rsid w:val="00F36D11"/>
    <w:rsid w:val="00F476B8"/>
    <w:rsid w:val="00F77B82"/>
    <w:rsid w:val="00F80236"/>
    <w:rsid w:val="00FB0E3E"/>
    <w:rsid w:val="00FE3C33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CF4A3"/>
  <w15:chartTrackingRefBased/>
  <w15:docId w15:val="{9AEAEE99-90E1-49CA-9E64-C1C589AA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0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F81"/>
  </w:style>
  <w:style w:type="paragraph" w:styleId="Footer">
    <w:name w:val="footer"/>
    <w:basedOn w:val="Normal"/>
    <w:link w:val="FooterChar"/>
    <w:uiPriority w:val="99"/>
    <w:unhideWhenUsed/>
    <w:rsid w:val="006C0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F81"/>
  </w:style>
  <w:style w:type="table" w:styleId="TableGrid">
    <w:name w:val="Table Grid"/>
    <w:basedOn w:val="TableNormal"/>
    <w:uiPriority w:val="39"/>
    <w:rsid w:val="006C0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Yoonhee Kim</dc:creator>
  <cp:keywords/>
  <dc:description/>
  <cp:lastModifiedBy>Pearl Okonkwo-Burrow</cp:lastModifiedBy>
  <cp:revision>5</cp:revision>
  <dcterms:created xsi:type="dcterms:W3CDTF">2024-10-23T18:19:00Z</dcterms:created>
  <dcterms:modified xsi:type="dcterms:W3CDTF">2024-11-25T02:55:00Z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054715-0b28-4d63-a221-b97059f4caee_Enabled">
    <vt:lpwstr>true</vt:lpwstr>
  </property>
  <property fmtid="{D5CDD505-2E9C-101B-9397-08002B2CF9AE}" pid="3" name="MSIP_Label_4c054715-0b28-4d63-a221-b97059f4caee_SetDate">
    <vt:lpwstr>2024-02-16T23:38:24Z</vt:lpwstr>
  </property>
  <property fmtid="{D5CDD505-2E9C-101B-9397-08002B2CF9AE}" pid="4" name="MSIP_Label_4c054715-0b28-4d63-a221-b97059f4caee_Method">
    <vt:lpwstr>Standard</vt:lpwstr>
  </property>
  <property fmtid="{D5CDD505-2E9C-101B-9397-08002B2CF9AE}" pid="5" name="MSIP_Label_4c054715-0b28-4d63-a221-b97059f4caee_Name">
    <vt:lpwstr>Not Sensitive - Unprotected</vt:lpwstr>
  </property>
  <property fmtid="{D5CDD505-2E9C-101B-9397-08002B2CF9AE}" pid="6" name="MSIP_Label_4c054715-0b28-4d63-a221-b97059f4caee_SiteId">
    <vt:lpwstr>25b39d68-74a0-427b-a61a-6d6823f39cb2</vt:lpwstr>
  </property>
  <property fmtid="{D5CDD505-2E9C-101B-9397-08002B2CF9AE}" pid="7" name="MSIP_Label_4c054715-0b28-4d63-a221-b97059f4caee_ActionId">
    <vt:lpwstr>955f97a8-f457-4337-80b3-1d579c02149c</vt:lpwstr>
  </property>
  <property fmtid="{D5CDD505-2E9C-101B-9397-08002B2CF9AE}" pid="8" name="MSIP_Label_4c054715-0b28-4d63-a221-b97059f4caee_ContentBits">
    <vt:lpwstr>0</vt:lpwstr>
  </property>
</Properties>
</file>