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84A7" w14:textId="77777777" w:rsidR="00F14432" w:rsidRPr="002C6F39" w:rsidRDefault="00F14432" w:rsidP="00F14432">
      <w:pPr>
        <w:jc w:val="center"/>
        <w:rPr>
          <w:b/>
        </w:rPr>
      </w:pPr>
      <w:r w:rsidRPr="002C6F39">
        <w:rPr>
          <w:b/>
        </w:rPr>
        <w:t>PGY 2 Critical Care Pharmacy Residency Course Description</w:t>
      </w:r>
    </w:p>
    <w:p w14:paraId="7FA61AAC" w14:textId="77777777" w:rsidR="005C2E28" w:rsidRDefault="005C2E28" w:rsidP="00F90171">
      <w:pPr>
        <w:rPr>
          <w:b/>
        </w:rPr>
      </w:pPr>
    </w:p>
    <w:p w14:paraId="1A15D996" w14:textId="07019830" w:rsidR="00F90171" w:rsidRPr="00F26E04" w:rsidRDefault="00F90171" w:rsidP="00F90171">
      <w:pPr>
        <w:rPr>
          <w:b/>
        </w:rPr>
      </w:pPr>
      <w:r w:rsidRPr="00F26E04">
        <w:rPr>
          <w:b/>
        </w:rPr>
        <w:t xml:space="preserve">Learning Experience Title: </w:t>
      </w:r>
      <w:r w:rsidR="00267F41">
        <w:rPr>
          <w:b/>
        </w:rPr>
        <w:t>Critical Care Research</w:t>
      </w:r>
      <w:r w:rsidR="00EB30E9">
        <w:rPr>
          <w:b/>
        </w:rPr>
        <w:t xml:space="preserve"> </w:t>
      </w:r>
      <w:r w:rsidR="00C303AB">
        <w:rPr>
          <w:b/>
        </w:rPr>
        <w:t xml:space="preserve"> </w:t>
      </w:r>
      <w:r w:rsidR="009C6A0D">
        <w:rPr>
          <w:b/>
        </w:rPr>
        <w:t xml:space="preserve"> </w:t>
      </w:r>
    </w:p>
    <w:p w14:paraId="53491B78" w14:textId="77777777" w:rsidR="00F90171" w:rsidRPr="00F26E04" w:rsidRDefault="00F90171" w:rsidP="00F90171">
      <w:pPr>
        <w:rPr>
          <w:b/>
        </w:rPr>
      </w:pPr>
    </w:p>
    <w:p w14:paraId="5FB66019" w14:textId="77777777" w:rsidR="009C6A0D" w:rsidRDefault="009C6A0D" w:rsidP="009C6A0D">
      <w:r w:rsidRPr="005063AF">
        <w:rPr>
          <w:b/>
        </w:rPr>
        <w:t>Preceptor:</w:t>
      </w:r>
    </w:p>
    <w:p w14:paraId="6A804464" w14:textId="77777777" w:rsidR="00123296" w:rsidRDefault="00123296" w:rsidP="00123296">
      <w:r>
        <w:t>Abby Hughes, PharmD, BCCCP</w:t>
      </w:r>
    </w:p>
    <w:p w14:paraId="55CCB2ED" w14:textId="77777777" w:rsidR="00123296" w:rsidRDefault="00123296" w:rsidP="00123296">
      <w:r>
        <w:t>Clinical Lead Pharmacist-Critical Care</w:t>
      </w:r>
    </w:p>
    <w:p w14:paraId="28F91EF1" w14:textId="77777777" w:rsidR="00123296" w:rsidRDefault="00123296" w:rsidP="00123296">
      <w:r>
        <w:t xml:space="preserve">PGY2 Critical Care Residency Program Director </w:t>
      </w:r>
    </w:p>
    <w:p w14:paraId="7824CC27" w14:textId="77777777" w:rsidR="00123296" w:rsidRDefault="00123296" w:rsidP="00123296">
      <w:r>
        <w:t xml:space="preserve">816-404-6008(office) 913-972-1091 (cell) 816-374-8403 (pager) </w:t>
      </w:r>
    </w:p>
    <w:p w14:paraId="36B8F4BF" w14:textId="77777777" w:rsidR="00123296" w:rsidRDefault="00123296" w:rsidP="00123296">
      <w:r>
        <w:t>Abigail.hughes@tmcmed.org</w:t>
      </w:r>
    </w:p>
    <w:p w14:paraId="116C7C6D" w14:textId="77777777" w:rsidR="00560078" w:rsidRPr="00F26E04" w:rsidRDefault="00560078" w:rsidP="00F90171"/>
    <w:p w14:paraId="02B744FA" w14:textId="77777777" w:rsidR="00F90171" w:rsidRPr="00F26E04" w:rsidRDefault="00F90171" w:rsidP="00F90171">
      <w:r w:rsidRPr="00F26E04">
        <w:rPr>
          <w:b/>
        </w:rPr>
        <w:t>Purpose:</w:t>
      </w:r>
    </w:p>
    <w:p w14:paraId="41742343" w14:textId="77777777" w:rsidR="00267F41" w:rsidRDefault="00267F41" w:rsidP="00267F41">
      <w:pPr>
        <w:ind w:left="90"/>
        <w:rPr>
          <w:color w:val="000000"/>
        </w:rPr>
      </w:pPr>
      <w:r>
        <w:rPr>
          <w:color w:val="000000"/>
        </w:rPr>
        <w:t>The Critical Care Research</w:t>
      </w:r>
      <w:r w:rsidRPr="00FF4DDB">
        <w:rPr>
          <w:color w:val="000000"/>
        </w:rPr>
        <w:t xml:space="preserve"> </w:t>
      </w:r>
      <w:r>
        <w:rPr>
          <w:color w:val="000000"/>
        </w:rPr>
        <w:t xml:space="preserve">learning experience </w:t>
      </w:r>
      <w:r w:rsidRPr="00FF4DDB">
        <w:rPr>
          <w:color w:val="000000"/>
        </w:rPr>
        <w:t>is a required, longitudinal learning experi</w:t>
      </w:r>
      <w:r>
        <w:rPr>
          <w:color w:val="000000"/>
        </w:rPr>
        <w:t xml:space="preserve">ence at Truman Medical Center. </w:t>
      </w:r>
    </w:p>
    <w:p w14:paraId="7A665E40" w14:textId="77777777" w:rsidR="004A7697" w:rsidRDefault="004A7697" w:rsidP="00F90171"/>
    <w:p w14:paraId="5D3412B5" w14:textId="77777777" w:rsidR="00906E76" w:rsidRPr="002E36EA" w:rsidRDefault="00906E76" w:rsidP="00906E76">
      <w:pPr>
        <w:rPr>
          <w:b/>
        </w:rPr>
      </w:pPr>
      <w:r>
        <w:rPr>
          <w:b/>
        </w:rPr>
        <w:t>Learning Experience</w:t>
      </w:r>
      <w:r w:rsidRPr="002E36EA">
        <w:rPr>
          <w:b/>
        </w:rPr>
        <w:t xml:space="preserve"> Responsibilities</w:t>
      </w:r>
      <w:r>
        <w:rPr>
          <w:b/>
        </w:rPr>
        <w:t>:</w:t>
      </w:r>
    </w:p>
    <w:p w14:paraId="255D662C" w14:textId="77777777" w:rsidR="00267F41" w:rsidRDefault="00267F41" w:rsidP="00267F41">
      <w:pPr>
        <w:ind w:left="90"/>
        <w:rPr>
          <w:color w:val="000000"/>
        </w:rPr>
      </w:pPr>
      <w:r w:rsidRPr="00FF4DDB">
        <w:rPr>
          <w:color w:val="000000"/>
        </w:rPr>
        <w:t xml:space="preserve">The resident will be responsible for </w:t>
      </w:r>
      <w:r>
        <w:rPr>
          <w:color w:val="000000"/>
        </w:rPr>
        <w:t xml:space="preserve">the following: </w:t>
      </w:r>
      <w:r w:rsidRPr="00FF4DDB">
        <w:rPr>
          <w:color w:val="000000"/>
        </w:rPr>
        <w:t>identifying an area of research of interest to them</w:t>
      </w:r>
      <w:r>
        <w:rPr>
          <w:color w:val="000000"/>
        </w:rPr>
        <w:t xml:space="preserve"> for a full research project, completion of a medication-use evaluation, and the creation or revision of an ICU protocol, policy, or order set</w:t>
      </w:r>
      <w:r w:rsidRPr="00FF4DDB">
        <w:rPr>
          <w:color w:val="000000"/>
        </w:rPr>
        <w:t>.  </w:t>
      </w:r>
    </w:p>
    <w:p w14:paraId="0B257749" w14:textId="77777777" w:rsidR="00267F41" w:rsidRDefault="00267F41" w:rsidP="00267F41">
      <w:pPr>
        <w:ind w:left="90"/>
        <w:rPr>
          <w:color w:val="000000"/>
        </w:rPr>
      </w:pPr>
    </w:p>
    <w:p w14:paraId="375DE211" w14:textId="77777777" w:rsidR="00267F41" w:rsidRDefault="00267F41" w:rsidP="00267F41">
      <w:pPr>
        <w:ind w:left="90"/>
        <w:rPr>
          <w:color w:val="000000"/>
        </w:rPr>
      </w:pPr>
      <w:r>
        <w:rPr>
          <w:color w:val="000000"/>
        </w:rPr>
        <w:t xml:space="preserve">Research Project: </w:t>
      </w:r>
      <w:r w:rsidRPr="00FF4DDB">
        <w:rPr>
          <w:color w:val="000000"/>
        </w:rPr>
        <w:t>A meeting with preceptors will be arranged by RPD in July for brainstorming of possible project ideas.  Once a project is selected</w:t>
      </w:r>
      <w:r>
        <w:rPr>
          <w:color w:val="000000"/>
        </w:rPr>
        <w:t>,</w:t>
      </w:r>
      <w:r w:rsidRPr="00FF4DDB">
        <w:rPr>
          <w:color w:val="000000"/>
        </w:rPr>
        <w:t xml:space="preserve"> the resident with the assistance of the RPD will identify co-authors.  Self-motivation, good time management skills and good communication is vital to success in this experience.</w:t>
      </w:r>
    </w:p>
    <w:p w14:paraId="27B68902" w14:textId="77777777" w:rsidR="00267F41" w:rsidRDefault="00267F41" w:rsidP="00267F41">
      <w:pPr>
        <w:ind w:left="90"/>
        <w:rPr>
          <w:color w:val="000000"/>
        </w:rPr>
      </w:pPr>
    </w:p>
    <w:p w14:paraId="20B2DB9C" w14:textId="77777777" w:rsidR="00267F41" w:rsidRDefault="00267F41" w:rsidP="00267F41">
      <w:pPr>
        <w:ind w:left="90"/>
        <w:rPr>
          <w:color w:val="000000"/>
        </w:rPr>
      </w:pPr>
      <w:r>
        <w:rPr>
          <w:color w:val="000000"/>
        </w:rPr>
        <w:t>Medication-use evaluation (MUE): An MUE will be assigned to the resident by the Pharmacy and Therapeutics Committee.</w:t>
      </w:r>
    </w:p>
    <w:p w14:paraId="089FA6E6" w14:textId="77777777" w:rsidR="00267F41" w:rsidRDefault="00267F41" w:rsidP="00267F41">
      <w:pPr>
        <w:ind w:left="90"/>
        <w:rPr>
          <w:color w:val="000000"/>
        </w:rPr>
      </w:pPr>
    </w:p>
    <w:p w14:paraId="6FD27402" w14:textId="77777777" w:rsidR="00267F41" w:rsidRPr="00FF4DDB" w:rsidRDefault="00267F41" w:rsidP="00267F41">
      <w:pPr>
        <w:ind w:left="90"/>
        <w:rPr>
          <w:color w:val="000000"/>
        </w:rPr>
      </w:pPr>
      <w:r>
        <w:rPr>
          <w:color w:val="000000"/>
        </w:rPr>
        <w:t xml:space="preserve">ICU Protocol/Policy/Order set: creation or revision of any of the aforementioned will be identified within the first six months of the residency. All changes must be submitted via Policy Medical prior to the end of the residency year. </w:t>
      </w:r>
    </w:p>
    <w:p w14:paraId="24368665" w14:textId="77777777" w:rsidR="00501B90" w:rsidRDefault="00501B90" w:rsidP="00906E76">
      <w:pPr>
        <w:rPr>
          <w:b/>
        </w:rPr>
      </w:pPr>
    </w:p>
    <w:p w14:paraId="578492BB" w14:textId="35CB845C" w:rsidR="00906E76" w:rsidRPr="00501B90" w:rsidRDefault="00501B90" w:rsidP="00906E76">
      <w:pPr>
        <w:rPr>
          <w:b/>
        </w:rPr>
      </w:pPr>
      <w:r w:rsidRPr="00501B90">
        <w:rPr>
          <w:b/>
        </w:rPr>
        <w:t>Resident Progression:</w:t>
      </w:r>
    </w:p>
    <w:p w14:paraId="238853B8" w14:textId="77777777" w:rsidR="00267F41" w:rsidRDefault="00267F41" w:rsidP="00267F41">
      <w:pPr>
        <w:rPr>
          <w:bCs/>
          <w:color w:val="000000"/>
        </w:rPr>
      </w:pPr>
      <w:r>
        <w:rPr>
          <w:bCs/>
          <w:color w:val="000000"/>
        </w:rPr>
        <w:t xml:space="preserve">The resident is expected to complete the research projects listed above by the date assigned (may change each year). The resident shall follow the research project timeline provided by the RPD in July. </w:t>
      </w:r>
    </w:p>
    <w:p w14:paraId="40008167" w14:textId="77777777" w:rsidR="00267F41" w:rsidRDefault="00267F41" w:rsidP="00267F41">
      <w:pPr>
        <w:rPr>
          <w:b/>
          <w:bCs/>
          <w:color w:val="000000"/>
        </w:rPr>
      </w:pPr>
      <w:r w:rsidRPr="00FF4DDB">
        <w:rPr>
          <w:b/>
          <w:bCs/>
          <w:color w:val="000000"/>
        </w:rPr>
        <w:t> </w:t>
      </w:r>
    </w:p>
    <w:p w14:paraId="5DD4E320" w14:textId="0C57B90A" w:rsidR="00906E76" w:rsidRPr="00BF7504" w:rsidRDefault="00C303AB" w:rsidP="00906E76">
      <w:pPr>
        <w:rPr>
          <w:b/>
        </w:rPr>
      </w:pPr>
      <w:r>
        <w:rPr>
          <w:b/>
        </w:rPr>
        <w:t>Goals and Objectives to be covered</w:t>
      </w:r>
      <w:r w:rsidR="00A12B26">
        <w:rPr>
          <w:b/>
        </w:rPr>
        <w:t xml:space="preserve"> and evaluated:</w:t>
      </w:r>
    </w:p>
    <w:p w14:paraId="4B1A1DD0" w14:textId="77777777" w:rsidR="00906E76" w:rsidRDefault="00906E76" w:rsidP="00906E76">
      <w:pPr>
        <w:autoSpaceDE w:val="0"/>
        <w:autoSpaceDN w:val="0"/>
        <w:adjustRightInd w:val="0"/>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9"/>
        <w:gridCol w:w="3397"/>
      </w:tblGrid>
      <w:tr w:rsidR="00267F41" w:rsidRPr="00FF4DDB" w14:paraId="567C5EFA" w14:textId="77777777" w:rsidTr="00264293">
        <w:trPr>
          <w:trHeight w:val="368"/>
        </w:trPr>
        <w:tc>
          <w:tcPr>
            <w:tcW w:w="54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0C1A041" w14:textId="77777777" w:rsidR="00267F41" w:rsidRPr="00FF4DDB" w:rsidRDefault="00267F41" w:rsidP="00264293">
            <w:r w:rsidRPr="00FF4DDB">
              <w:rPr>
                <w:b/>
                <w:bCs/>
              </w:rPr>
              <w:t>                                     Activity</w:t>
            </w:r>
          </w:p>
        </w:tc>
        <w:tc>
          <w:tcPr>
            <w:tcW w:w="339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F2DAE16" w14:textId="77777777" w:rsidR="00267F41" w:rsidRPr="00FF4DDB" w:rsidRDefault="00267F41" w:rsidP="00264293">
            <w:pPr>
              <w:jc w:val="center"/>
            </w:pPr>
            <w:r w:rsidRPr="00FF4DDB">
              <w:rPr>
                <w:b/>
                <w:bCs/>
              </w:rPr>
              <w:t>Objectives Covered</w:t>
            </w:r>
          </w:p>
        </w:tc>
      </w:tr>
      <w:tr w:rsidR="00267F41" w:rsidRPr="00095D89" w14:paraId="656D9759" w14:textId="77777777" w:rsidTr="00267F41">
        <w:trPr>
          <w:trHeight w:val="448"/>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C54869E" w14:textId="77777777" w:rsidR="00267F41" w:rsidRPr="00FF4DDB" w:rsidRDefault="00267F41" w:rsidP="00264293">
            <w:pPr>
              <w:spacing w:line="20" w:lineRule="atLeast"/>
            </w:pPr>
            <w:r w:rsidRPr="00FF4DDB">
              <w:t>Attend and participate project idea meeting</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1BD4785" w14:textId="77777777" w:rsidR="00267F41" w:rsidRPr="00095D89" w:rsidRDefault="00267F41" w:rsidP="00264293">
            <w:pPr>
              <w:spacing w:line="20" w:lineRule="atLeast"/>
            </w:pPr>
            <w:r w:rsidRPr="00095D89">
              <w:t>R2.2.1</w:t>
            </w:r>
          </w:p>
        </w:tc>
      </w:tr>
      <w:tr w:rsidR="00267F41" w:rsidRPr="00095D89" w14:paraId="4EF1E6BC" w14:textId="77777777" w:rsidTr="00267F41">
        <w:trPr>
          <w:trHeight w:val="34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8542FF6" w14:textId="77777777" w:rsidR="00267F41" w:rsidRPr="00FF4DDB" w:rsidRDefault="00267F41" w:rsidP="00264293">
            <w:pPr>
              <w:spacing w:line="20" w:lineRule="atLeast"/>
            </w:pPr>
            <w:r w:rsidRPr="00FF4DDB">
              <w:t>Attend and participate in meeting with IRB Chair</w:t>
            </w:r>
          </w:p>
        </w:tc>
        <w:tc>
          <w:tcPr>
            <w:tcW w:w="3397" w:type="dxa"/>
            <w:vMerge w:val="restart"/>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0C0C929" w14:textId="77777777" w:rsidR="00267F41" w:rsidRPr="00095D89" w:rsidRDefault="00267F41" w:rsidP="00264293">
            <w:pPr>
              <w:spacing w:line="20" w:lineRule="atLeast"/>
            </w:pPr>
            <w:r w:rsidRPr="00095D89">
              <w:t>R2.2.1</w:t>
            </w:r>
          </w:p>
        </w:tc>
      </w:tr>
      <w:tr w:rsidR="00267F41" w:rsidRPr="00095D89" w14:paraId="5B68EFCD" w14:textId="77777777" w:rsidTr="00267F41">
        <w:trPr>
          <w:trHeight w:val="43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12DA705" w14:textId="77777777" w:rsidR="00267F41" w:rsidRPr="00FF4DDB" w:rsidRDefault="00267F41" w:rsidP="00264293">
            <w:r w:rsidRPr="00FF4DDB">
              <w:t>Complete CITI training</w:t>
            </w:r>
          </w:p>
        </w:tc>
        <w:tc>
          <w:tcPr>
            <w:tcW w:w="0" w:type="auto"/>
            <w:vMerge/>
            <w:tcBorders>
              <w:top w:val="nil"/>
              <w:left w:val="nil"/>
              <w:bottom w:val="single" w:sz="8" w:space="0" w:color="auto"/>
              <w:right w:val="single" w:sz="8" w:space="0" w:color="auto"/>
            </w:tcBorders>
            <w:vAlign w:val="center"/>
          </w:tcPr>
          <w:p w14:paraId="3F6D33CC" w14:textId="77777777" w:rsidR="00267F41" w:rsidRPr="00095D89" w:rsidRDefault="00267F41" w:rsidP="00264293"/>
        </w:tc>
      </w:tr>
      <w:tr w:rsidR="00267F41" w:rsidRPr="00095D89" w14:paraId="34CBA9D5" w14:textId="77777777" w:rsidTr="00267F41">
        <w:trPr>
          <w:trHeight w:val="43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3C46B61" w14:textId="77777777" w:rsidR="00267F41" w:rsidRPr="00FF4DDB" w:rsidRDefault="00267F41" w:rsidP="00264293">
            <w:pPr>
              <w:spacing w:line="20" w:lineRule="atLeast"/>
            </w:pPr>
            <w:r w:rsidRPr="00FF4DDB">
              <w:t>Complete background research for project</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1585543" w14:textId="77777777" w:rsidR="00267F41" w:rsidRPr="00095D89" w:rsidRDefault="00267F41" w:rsidP="00264293">
            <w:pPr>
              <w:spacing w:line="20" w:lineRule="atLeast"/>
            </w:pPr>
            <w:r w:rsidRPr="00095D89">
              <w:t>R2.2.3</w:t>
            </w:r>
          </w:p>
        </w:tc>
      </w:tr>
      <w:tr w:rsidR="00267F41" w:rsidRPr="00095D89" w14:paraId="0B08E7A4" w14:textId="77777777" w:rsidTr="00267F41">
        <w:trPr>
          <w:trHeight w:val="34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43F1698" w14:textId="7EDAAE91" w:rsidR="00267F41" w:rsidRPr="00FF4DDB" w:rsidRDefault="00267F41" w:rsidP="00264293">
            <w:pPr>
              <w:spacing w:line="20" w:lineRule="atLeast"/>
            </w:pPr>
            <w:r w:rsidRPr="00FF4DDB">
              <w:t>Design project</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3526568" w14:textId="77777777" w:rsidR="00267F41" w:rsidRPr="00095D89" w:rsidRDefault="00267F41" w:rsidP="00264293">
            <w:pPr>
              <w:spacing w:line="20" w:lineRule="atLeast"/>
            </w:pPr>
            <w:r w:rsidRPr="00095D89">
              <w:t>R2.2.2</w:t>
            </w:r>
          </w:p>
        </w:tc>
      </w:tr>
      <w:tr w:rsidR="00267F41" w:rsidRPr="00095D89" w14:paraId="7D21F0D2" w14:textId="77777777" w:rsidTr="00264293">
        <w:trPr>
          <w:trHeight w:val="135"/>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CE5205F" w14:textId="77777777" w:rsidR="00267F41" w:rsidRDefault="00267F41" w:rsidP="00264293">
            <w:pPr>
              <w:spacing w:line="135" w:lineRule="atLeast"/>
            </w:pPr>
            <w:r w:rsidRPr="00FF4DDB">
              <w:t>Com</w:t>
            </w:r>
            <w:bookmarkStart w:id="0" w:name="_GoBack"/>
            <w:bookmarkEnd w:id="0"/>
            <w:r w:rsidRPr="00FF4DDB">
              <w:t>plete and submit IRB application</w:t>
            </w:r>
          </w:p>
          <w:p w14:paraId="6FAB37C9" w14:textId="7C51E5AD" w:rsidR="00267F41" w:rsidRPr="00FF4DDB" w:rsidRDefault="00267F41" w:rsidP="00264293">
            <w:pPr>
              <w:spacing w:line="135" w:lineRule="atLeast"/>
            </w:pP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8AC6469" w14:textId="77777777" w:rsidR="00267F41" w:rsidRDefault="00267F41" w:rsidP="00264293">
            <w:pPr>
              <w:spacing w:line="135" w:lineRule="atLeast"/>
            </w:pPr>
            <w:r w:rsidRPr="00095D89">
              <w:lastRenderedPageBreak/>
              <w:t>R2.2.2</w:t>
            </w:r>
          </w:p>
          <w:p w14:paraId="168811DC" w14:textId="518E3C4E" w:rsidR="00267F41" w:rsidRPr="00095D89" w:rsidRDefault="00267F41" w:rsidP="00264293">
            <w:pPr>
              <w:spacing w:line="135" w:lineRule="atLeast"/>
            </w:pPr>
          </w:p>
        </w:tc>
      </w:tr>
      <w:tr w:rsidR="00267F41" w:rsidRPr="00095D89" w14:paraId="102647B3" w14:textId="77777777" w:rsidTr="00264293">
        <w:trPr>
          <w:trHeight w:val="2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A20A892" w14:textId="77777777" w:rsidR="00267F41" w:rsidRPr="00FF4DDB" w:rsidRDefault="00267F41" w:rsidP="00264293">
            <w:pPr>
              <w:spacing w:line="20" w:lineRule="atLeast"/>
            </w:pPr>
            <w:r w:rsidRPr="00FF4DDB">
              <w:lastRenderedPageBreak/>
              <w:t>Implement project after receiving IRB and other approval as needed</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1EF9B50" w14:textId="77777777" w:rsidR="00267F41" w:rsidRPr="00095D89" w:rsidRDefault="00267F41" w:rsidP="00264293">
            <w:pPr>
              <w:spacing w:line="20" w:lineRule="atLeast"/>
            </w:pPr>
            <w:r w:rsidRPr="00095D89">
              <w:t>R2.2.4</w:t>
            </w:r>
          </w:p>
        </w:tc>
      </w:tr>
      <w:tr w:rsidR="00267F41" w:rsidRPr="00095D89" w14:paraId="31EB9058" w14:textId="77777777" w:rsidTr="00264293">
        <w:trPr>
          <w:trHeight w:val="135"/>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799466A" w14:textId="77777777" w:rsidR="00267F41" w:rsidRPr="00FF4DDB" w:rsidRDefault="00267F41" w:rsidP="00264293">
            <w:pPr>
              <w:spacing w:line="135" w:lineRule="atLeast"/>
            </w:pPr>
            <w:r w:rsidRPr="00FF4DDB">
              <w:t>Present design at ASHP Midyear meeting</w:t>
            </w:r>
          </w:p>
        </w:tc>
        <w:tc>
          <w:tcPr>
            <w:tcW w:w="3397" w:type="dxa"/>
            <w:vMerge w:val="restar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E2F26AD" w14:textId="77777777" w:rsidR="00267F41" w:rsidRPr="00095D89" w:rsidRDefault="00267F41" w:rsidP="00264293">
            <w:pPr>
              <w:spacing w:line="135" w:lineRule="atLeast"/>
            </w:pPr>
            <w:r w:rsidRPr="00095D89">
              <w:t> R2.2.6</w:t>
            </w:r>
          </w:p>
        </w:tc>
      </w:tr>
      <w:tr w:rsidR="00267F41" w:rsidRPr="00095D89" w14:paraId="69B67746" w14:textId="77777777" w:rsidTr="00264293">
        <w:trPr>
          <w:trHeight w:val="2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50D3D1C" w14:textId="77777777" w:rsidR="00267F41" w:rsidRPr="00FF4DDB" w:rsidRDefault="00267F41" w:rsidP="00264293">
            <w:pPr>
              <w:spacing w:line="20" w:lineRule="atLeast"/>
            </w:pPr>
            <w:r w:rsidRPr="00FF4DDB">
              <w:t>Present results at MPRC in May</w:t>
            </w:r>
          </w:p>
        </w:tc>
        <w:tc>
          <w:tcPr>
            <w:tcW w:w="0" w:type="auto"/>
            <w:vMerge/>
            <w:tcBorders>
              <w:top w:val="nil"/>
              <w:left w:val="nil"/>
              <w:bottom w:val="single" w:sz="8" w:space="0" w:color="auto"/>
              <w:right w:val="single" w:sz="8" w:space="0" w:color="auto"/>
            </w:tcBorders>
            <w:vAlign w:val="center"/>
            <w:hideMark/>
          </w:tcPr>
          <w:p w14:paraId="57EE3D67" w14:textId="77777777" w:rsidR="00267F41" w:rsidRPr="00095D89" w:rsidRDefault="00267F41" w:rsidP="00264293"/>
        </w:tc>
      </w:tr>
      <w:tr w:rsidR="00267F41" w:rsidRPr="00095D89" w14:paraId="1160047A" w14:textId="77777777" w:rsidTr="00264293">
        <w:trPr>
          <w:trHeight w:val="2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80AB6FD" w14:textId="77777777" w:rsidR="00267F41" w:rsidRPr="00FF4DDB" w:rsidRDefault="00267F41" w:rsidP="00264293">
            <w:pPr>
              <w:spacing w:line="20" w:lineRule="atLeast"/>
            </w:pPr>
            <w:r w:rsidRPr="00FF4DDB">
              <w:t>Assess the impact, including sustainability if applicable, of the residency project</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E1AB35E" w14:textId="77777777" w:rsidR="00267F41" w:rsidRPr="00095D89" w:rsidRDefault="00267F41" w:rsidP="00264293">
            <w:pPr>
              <w:spacing w:line="20" w:lineRule="atLeast"/>
            </w:pPr>
            <w:r w:rsidRPr="00095D89">
              <w:t>R2.2.5</w:t>
            </w:r>
          </w:p>
        </w:tc>
      </w:tr>
      <w:tr w:rsidR="00267F41" w:rsidRPr="00095D89" w14:paraId="547884EE" w14:textId="77777777" w:rsidTr="00264293">
        <w:trPr>
          <w:trHeight w:val="2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B988261" w14:textId="77777777" w:rsidR="00267F41" w:rsidRPr="00FF4DDB" w:rsidRDefault="00267F41" w:rsidP="00264293">
            <w:pPr>
              <w:spacing w:line="20" w:lineRule="atLeast"/>
            </w:pPr>
            <w:r w:rsidRPr="00FF4DDB">
              <w:t>Prepare manuscript style final report of project.</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4CE96B6" w14:textId="77777777" w:rsidR="00267F41" w:rsidRPr="00095D89" w:rsidRDefault="00267F41" w:rsidP="00264293">
            <w:pPr>
              <w:spacing w:line="20" w:lineRule="atLeast"/>
            </w:pPr>
            <w:r w:rsidRPr="00095D89">
              <w:t>R2.2.6</w:t>
            </w:r>
          </w:p>
        </w:tc>
      </w:tr>
      <w:tr w:rsidR="00267F41" w:rsidRPr="00095D89" w14:paraId="174E15AA" w14:textId="77777777" w:rsidTr="00264293">
        <w:trPr>
          <w:trHeight w:val="20"/>
        </w:trPr>
        <w:tc>
          <w:tcPr>
            <w:tcW w:w="5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907CDF" w14:textId="77777777" w:rsidR="00267F41" w:rsidRPr="00FF4DDB" w:rsidRDefault="00267F41" w:rsidP="00264293">
            <w:pPr>
              <w:spacing w:line="20" w:lineRule="atLeast"/>
            </w:pPr>
            <w:r w:rsidRPr="00FF4DDB">
              <w:t>Understanding the details behind completing a research project and how it relates to developing and maintaining a residency program</w:t>
            </w:r>
          </w:p>
        </w:tc>
        <w:tc>
          <w:tcPr>
            <w:tcW w:w="339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8134BC1" w14:textId="77777777" w:rsidR="00267F41" w:rsidRPr="00095D89" w:rsidRDefault="00267F41" w:rsidP="00264293">
            <w:pPr>
              <w:spacing w:line="20" w:lineRule="atLeast"/>
            </w:pPr>
            <w:r w:rsidRPr="00095D89">
              <w:t>R2.2.1</w:t>
            </w:r>
          </w:p>
        </w:tc>
      </w:tr>
      <w:tr w:rsidR="00267F41" w:rsidRPr="00095D89" w14:paraId="7FB4A55C" w14:textId="77777777" w:rsidTr="00264293">
        <w:trPr>
          <w:trHeight w:val="20"/>
        </w:trPr>
        <w:tc>
          <w:tcPr>
            <w:tcW w:w="54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9A1D9A0" w14:textId="77777777" w:rsidR="00267F41" w:rsidRPr="00095D89" w:rsidRDefault="00267F41" w:rsidP="00264293">
            <w:pPr>
              <w:spacing w:line="20" w:lineRule="atLeast"/>
            </w:pPr>
            <w:r w:rsidRPr="00095D89">
              <w:t xml:space="preserve">Complete a medication-use evaluation (MUE) as assigned by the Pharmacy and Therapeutics Committee and prepare a formal presentation for the committee with results. </w:t>
            </w:r>
          </w:p>
        </w:tc>
        <w:tc>
          <w:tcPr>
            <w:tcW w:w="339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12691D0" w14:textId="77777777" w:rsidR="00267F41" w:rsidRPr="00095D89" w:rsidRDefault="00267F41" w:rsidP="00264293">
            <w:pPr>
              <w:spacing w:line="20" w:lineRule="atLeast"/>
            </w:pPr>
            <w:r w:rsidRPr="00095D89">
              <w:t>R2.1.2</w:t>
            </w:r>
          </w:p>
        </w:tc>
      </w:tr>
      <w:tr w:rsidR="00267F41" w:rsidRPr="00095D89" w14:paraId="211BAC55" w14:textId="77777777" w:rsidTr="00264293">
        <w:trPr>
          <w:trHeight w:val="20"/>
        </w:trPr>
        <w:tc>
          <w:tcPr>
            <w:tcW w:w="54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038C198" w14:textId="77777777" w:rsidR="00267F41" w:rsidRPr="00095D89" w:rsidRDefault="00267F41" w:rsidP="00264293">
            <w:pPr>
              <w:spacing w:line="20" w:lineRule="atLeast"/>
            </w:pPr>
            <w:r w:rsidRPr="00095D89">
              <w:t xml:space="preserve">Identify areas of improvement of the medication-use system based off the results of the MUE  </w:t>
            </w:r>
          </w:p>
        </w:tc>
        <w:tc>
          <w:tcPr>
            <w:tcW w:w="339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C67B1C5" w14:textId="77777777" w:rsidR="00267F41" w:rsidRPr="00095D89" w:rsidRDefault="00267F41" w:rsidP="00264293">
            <w:pPr>
              <w:spacing w:line="20" w:lineRule="atLeast"/>
            </w:pPr>
            <w:r w:rsidRPr="00095D89">
              <w:t>R2.1.4</w:t>
            </w:r>
          </w:p>
        </w:tc>
      </w:tr>
      <w:tr w:rsidR="00267F41" w:rsidRPr="00095D89" w14:paraId="10D4896F" w14:textId="77777777" w:rsidTr="00264293">
        <w:trPr>
          <w:trHeight w:val="20"/>
        </w:trPr>
        <w:tc>
          <w:tcPr>
            <w:tcW w:w="5459"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DAF0395" w14:textId="77777777" w:rsidR="00267F41" w:rsidRPr="00095D89" w:rsidRDefault="00267F41" w:rsidP="00264293">
            <w:pPr>
              <w:spacing w:line="20" w:lineRule="atLeast"/>
            </w:pPr>
            <w:r w:rsidRPr="00095D89">
              <w:t xml:space="preserve">Identify an ICU order set, policy, or protocol that needs to be developed or requires modification and successfully submit for final approval via Policy Medical  </w:t>
            </w:r>
          </w:p>
        </w:tc>
        <w:tc>
          <w:tcPr>
            <w:tcW w:w="339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7E2948A3" w14:textId="77777777" w:rsidR="00267F41" w:rsidRPr="00095D89" w:rsidRDefault="00267F41" w:rsidP="00264293">
            <w:pPr>
              <w:spacing w:line="20" w:lineRule="atLeast"/>
            </w:pPr>
            <w:r w:rsidRPr="00095D89">
              <w:t>R2.1.1</w:t>
            </w:r>
          </w:p>
        </w:tc>
      </w:tr>
    </w:tbl>
    <w:p w14:paraId="495CFF4E" w14:textId="77777777" w:rsidR="00906E76" w:rsidRDefault="00906E76" w:rsidP="00906E76">
      <w:pPr>
        <w:autoSpaceDE w:val="0"/>
        <w:autoSpaceDN w:val="0"/>
        <w:adjustRightInd w:val="0"/>
      </w:pPr>
    </w:p>
    <w:p w14:paraId="0FBB2C47" w14:textId="77777777" w:rsidR="00906E76" w:rsidRDefault="00906E76" w:rsidP="00906E76">
      <w:pPr>
        <w:rPr>
          <w:b/>
        </w:rPr>
      </w:pPr>
    </w:p>
    <w:p w14:paraId="2F50265A" w14:textId="77777777" w:rsidR="00906E76" w:rsidRDefault="00906E76" w:rsidP="00906E76">
      <w:pPr>
        <w:rPr>
          <w:b/>
        </w:rPr>
      </w:pPr>
      <w:r w:rsidRPr="00BF7504">
        <w:rPr>
          <w:b/>
        </w:rPr>
        <w:t>Requirements of Learning Experience</w:t>
      </w:r>
      <w:r>
        <w:rPr>
          <w:b/>
        </w:rPr>
        <w:t>:</w:t>
      </w:r>
    </w:p>
    <w:p w14:paraId="79769E5E" w14:textId="77777777" w:rsidR="00267F41" w:rsidRPr="00267F41" w:rsidRDefault="00267F41" w:rsidP="00267F41">
      <w:pPr>
        <w:pStyle w:val="ListParagraph"/>
        <w:numPr>
          <w:ilvl w:val="0"/>
          <w:numId w:val="16"/>
        </w:numPr>
        <w:rPr>
          <w:color w:val="000000"/>
        </w:rPr>
      </w:pPr>
      <w:r w:rsidRPr="00267F41">
        <w:rPr>
          <w:color w:val="000000"/>
        </w:rPr>
        <w:t>Actively participate in discussions regarding potential projects</w:t>
      </w:r>
    </w:p>
    <w:p w14:paraId="56A672AF" w14:textId="77777777" w:rsidR="00267F41" w:rsidRPr="00267F41" w:rsidRDefault="00267F41" w:rsidP="00267F41">
      <w:pPr>
        <w:pStyle w:val="ListParagraph"/>
        <w:numPr>
          <w:ilvl w:val="0"/>
          <w:numId w:val="16"/>
        </w:numPr>
        <w:rPr>
          <w:color w:val="000000"/>
        </w:rPr>
      </w:pPr>
      <w:r w:rsidRPr="00267F41">
        <w:rPr>
          <w:color w:val="000000"/>
        </w:rPr>
        <w:t>Complete work prior to or in accordance to the project timeline</w:t>
      </w:r>
    </w:p>
    <w:p w14:paraId="4A8A8B33" w14:textId="77777777" w:rsidR="00267F41" w:rsidRPr="00267F41" w:rsidRDefault="00267F41" w:rsidP="00267F41">
      <w:pPr>
        <w:pStyle w:val="ListParagraph"/>
        <w:numPr>
          <w:ilvl w:val="0"/>
          <w:numId w:val="16"/>
        </w:numPr>
        <w:rPr>
          <w:color w:val="000000"/>
        </w:rPr>
      </w:pPr>
      <w:r w:rsidRPr="00267F41">
        <w:rPr>
          <w:color w:val="000000"/>
        </w:rPr>
        <w:t>Reach out to statistician prior to data collection to ensure correct data is being collected</w:t>
      </w:r>
    </w:p>
    <w:p w14:paraId="400B0562" w14:textId="77777777" w:rsidR="00267F41" w:rsidRPr="00267F41" w:rsidRDefault="00267F41" w:rsidP="00267F41">
      <w:pPr>
        <w:pStyle w:val="ListParagraph"/>
        <w:numPr>
          <w:ilvl w:val="0"/>
          <w:numId w:val="16"/>
        </w:numPr>
        <w:rPr>
          <w:color w:val="000000"/>
        </w:rPr>
      </w:pPr>
      <w:r w:rsidRPr="00267F41">
        <w:rPr>
          <w:color w:val="000000"/>
        </w:rPr>
        <w:t xml:space="preserve">Prepare a formal presentation for the Pharmacy and Therapeutics Committee with results from the medication-use evaluation </w:t>
      </w:r>
    </w:p>
    <w:p w14:paraId="1E9FBBD2" w14:textId="6D2AFCB2" w:rsidR="00267F41" w:rsidRPr="00267F41" w:rsidRDefault="00267F41" w:rsidP="00DF3D8A">
      <w:pPr>
        <w:pStyle w:val="ListParagraph"/>
        <w:numPr>
          <w:ilvl w:val="0"/>
          <w:numId w:val="16"/>
        </w:numPr>
        <w:rPr>
          <w:color w:val="000000"/>
        </w:rPr>
      </w:pPr>
      <w:r w:rsidRPr="00267F41">
        <w:rPr>
          <w:color w:val="000000"/>
        </w:rPr>
        <w:t xml:space="preserve">Complete all order set/policy/protocol tasks prior to June of residency year </w:t>
      </w:r>
    </w:p>
    <w:p w14:paraId="21FEC279" w14:textId="77777777" w:rsidR="00267F41" w:rsidRDefault="00267F41" w:rsidP="00DF3D8A">
      <w:pPr>
        <w:rPr>
          <w:u w:val="single"/>
        </w:rPr>
      </w:pPr>
    </w:p>
    <w:p w14:paraId="35540FEE" w14:textId="77777777" w:rsidR="00DF3D8A" w:rsidRDefault="00DF3D8A" w:rsidP="001869D9">
      <w:pPr>
        <w:ind w:firstLine="360"/>
      </w:pPr>
      <w:r w:rsidRPr="00AE236C">
        <w:rPr>
          <w:u w:val="single"/>
        </w:rPr>
        <w:t>Preceptor interaction</w:t>
      </w:r>
    </w:p>
    <w:p w14:paraId="417DA9FE" w14:textId="77777777" w:rsidR="00267F41" w:rsidRPr="00267F41" w:rsidRDefault="00267F41" w:rsidP="00267F41">
      <w:pPr>
        <w:pStyle w:val="ListParagraph"/>
        <w:numPr>
          <w:ilvl w:val="0"/>
          <w:numId w:val="17"/>
        </w:numPr>
        <w:rPr>
          <w:color w:val="000000"/>
        </w:rPr>
      </w:pPr>
      <w:r w:rsidRPr="00267F41">
        <w:rPr>
          <w:color w:val="000000"/>
        </w:rPr>
        <w:t>Review of project progress will be checked on a regular basis through brief monthly RPD/resident meetings and as needed.</w:t>
      </w:r>
    </w:p>
    <w:p w14:paraId="41044E13" w14:textId="77777777" w:rsidR="00906E76" w:rsidRPr="00F26E04" w:rsidRDefault="00906E76" w:rsidP="00F90171"/>
    <w:p w14:paraId="02D674AD" w14:textId="77777777" w:rsidR="00D31252" w:rsidRPr="00F26E04" w:rsidRDefault="00D31252" w:rsidP="001869D9">
      <w:r w:rsidRPr="00F26E04">
        <w:rPr>
          <w:b/>
        </w:rPr>
        <w:t>Method of evaluation</w:t>
      </w:r>
      <w:r w:rsidRPr="00F26E04">
        <w:t>:</w:t>
      </w:r>
    </w:p>
    <w:p w14:paraId="7846BC9A" w14:textId="77777777" w:rsidR="00D31252" w:rsidRPr="00F26E04" w:rsidRDefault="00D31252" w:rsidP="00D31252">
      <w:r w:rsidRPr="00F26E04">
        <w:t xml:space="preserve">Evaluation of the resident will be based on the ASHP activity learning experiences listed above. Each learning activity has a corresponding code following the experience which corresponds to the activity learning experience listed in </w:t>
      </w:r>
      <w:r w:rsidR="00366761" w:rsidRPr="00F26E04">
        <w:rPr>
          <w:color w:val="333333"/>
        </w:rPr>
        <w:t>PharmAcademic</w:t>
      </w:r>
      <w:r w:rsidRPr="00F26E04">
        <w:t xml:space="preserve">®. During the orientation to the </w:t>
      </w:r>
      <w:r w:rsidR="00337DFA" w:rsidRPr="00F26E04">
        <w:t>learning experience</w:t>
      </w:r>
      <w:r w:rsidRPr="00F26E04">
        <w:t xml:space="preserve">, the preceptor and the resident will review all </w:t>
      </w:r>
      <w:r w:rsidR="002009F3" w:rsidRPr="00F26E04">
        <w:t>the material contained in this learning experience</w:t>
      </w:r>
      <w:r w:rsidRPr="00F26E04">
        <w:t xml:space="preserve"> description and sign a copy to be retained in the residents file.</w:t>
      </w:r>
    </w:p>
    <w:p w14:paraId="4CBE6326" w14:textId="77777777" w:rsidR="00D31252" w:rsidRPr="00F26E04" w:rsidRDefault="00D31252" w:rsidP="00D31252"/>
    <w:p w14:paraId="3EEE754F" w14:textId="77777777" w:rsidR="00D31252" w:rsidRPr="00F26E04" w:rsidRDefault="00D31252" w:rsidP="00D31252">
      <w:r w:rsidRPr="00F26E04">
        <w:t xml:space="preserve">The preceptor will provide feedback </w:t>
      </w:r>
      <w:r w:rsidR="004C773E" w:rsidRPr="00F26E04">
        <w:t>verbally</w:t>
      </w:r>
      <w:r w:rsidRPr="00F26E04">
        <w:t xml:space="preserve"> (</w:t>
      </w:r>
      <w:r w:rsidR="004C773E" w:rsidRPr="00F26E04">
        <w:t xml:space="preserve">formative) throughout the course of the learning experience and electronically (summative) </w:t>
      </w:r>
      <w:r w:rsidRPr="00F26E04">
        <w:t xml:space="preserve">via </w:t>
      </w:r>
      <w:r w:rsidR="00366761" w:rsidRPr="00F26E04">
        <w:rPr>
          <w:color w:val="333333"/>
        </w:rPr>
        <w:t>PharmAcademic</w:t>
      </w:r>
      <w:r w:rsidR="00F87760" w:rsidRPr="00F26E04">
        <w:t>®</w:t>
      </w:r>
      <w:r w:rsidRPr="00F26E04">
        <w:t xml:space="preserve"> </w:t>
      </w:r>
      <w:r w:rsidR="004C773E" w:rsidRPr="00F26E04">
        <w:t>at the conclusion of the experience</w:t>
      </w:r>
      <w:r w:rsidRPr="00F26E04">
        <w:t>. Once the resident is finished with a</w:t>
      </w:r>
      <w:r w:rsidR="004C773E" w:rsidRPr="00F26E04">
        <w:t>ll of the requirements for the experience</w:t>
      </w:r>
      <w:r w:rsidRPr="00F26E04">
        <w:t xml:space="preserve">, the preceptor and the resident will discuss the </w:t>
      </w:r>
      <w:r w:rsidR="002009F3" w:rsidRPr="00F26E04">
        <w:t>learning experience</w:t>
      </w:r>
      <w:r w:rsidRPr="00F26E04">
        <w:t xml:space="preserve"> as a whole both formally and informally.</w:t>
      </w:r>
      <w:r w:rsidR="004C773E" w:rsidRPr="00F26E04">
        <w:t xml:space="preserve">  </w:t>
      </w:r>
      <w:r w:rsidRPr="00F26E04">
        <w:t>The resident will</w:t>
      </w:r>
      <w:r w:rsidR="004C773E" w:rsidRPr="00F26E04">
        <w:t xml:space="preserve"> </w:t>
      </w:r>
      <w:r w:rsidR="004C773E" w:rsidRPr="00F26E04">
        <w:lastRenderedPageBreak/>
        <w:t>also</w:t>
      </w:r>
      <w:r w:rsidRPr="00F26E04">
        <w:t xml:space="preserve"> be responsible for providing </w:t>
      </w:r>
      <w:r w:rsidR="004C773E" w:rsidRPr="00F26E04">
        <w:t>both formative and summative feedback at the conclusion of the experience.  All evaluations must be submitted by the conclusion of the learning experience.</w:t>
      </w:r>
    </w:p>
    <w:p w14:paraId="5D171CA2" w14:textId="77777777" w:rsidR="00D31252" w:rsidRPr="00F26E04" w:rsidRDefault="00D31252" w:rsidP="00D31252"/>
    <w:p w14:paraId="5AB250E3" w14:textId="46EEF2DC" w:rsidR="00D31252" w:rsidRDefault="00D31252" w:rsidP="00D31252">
      <w:pPr>
        <w:rPr>
          <w:i/>
        </w:rPr>
      </w:pPr>
      <w:r w:rsidRPr="00F26E04">
        <w:rPr>
          <w:i/>
        </w:rPr>
        <w:t xml:space="preserve">I have read and acknowledged </w:t>
      </w:r>
      <w:r w:rsidR="006F1B1C" w:rsidRPr="00F26E04">
        <w:rPr>
          <w:i/>
        </w:rPr>
        <w:t>the responsibilities of the learning experience</w:t>
      </w:r>
      <w:r w:rsidRPr="00F26E04">
        <w:rPr>
          <w:i/>
        </w:rPr>
        <w:t>.</w:t>
      </w:r>
    </w:p>
    <w:p w14:paraId="57E7B311" w14:textId="11A803FE" w:rsidR="00267F41" w:rsidRDefault="00267F41" w:rsidP="00D31252">
      <w:pPr>
        <w:rPr>
          <w:i/>
        </w:rPr>
      </w:pPr>
    </w:p>
    <w:p w14:paraId="75ADF4D2" w14:textId="77777777" w:rsidR="00267F41" w:rsidRPr="00F26E04" w:rsidRDefault="00267F41" w:rsidP="00D31252">
      <w:pPr>
        <w:rPr>
          <w:i/>
        </w:rPr>
      </w:pPr>
    </w:p>
    <w:p w14:paraId="05D5ECBC" w14:textId="77777777" w:rsidR="00D31252" w:rsidRPr="00F26E04" w:rsidRDefault="00D31252" w:rsidP="00D31252"/>
    <w:p w14:paraId="7AE79AB8" w14:textId="77777777" w:rsidR="00D31252" w:rsidRPr="00F26E04" w:rsidRDefault="00D31252" w:rsidP="00D31252"/>
    <w:p w14:paraId="22278E6A" w14:textId="77777777" w:rsidR="00D31252" w:rsidRPr="00F26E04" w:rsidRDefault="00D31252" w:rsidP="00D31252">
      <w:r w:rsidRPr="00F26E04">
        <w:t xml:space="preserve">______________________ </w:t>
      </w:r>
      <w:r w:rsidRPr="00F26E04">
        <w:tab/>
      </w:r>
      <w:r w:rsidRPr="00F26E04">
        <w:tab/>
        <w:t>_____________________</w:t>
      </w:r>
    </w:p>
    <w:p w14:paraId="628F3EDD" w14:textId="77777777" w:rsidR="00EE01E8" w:rsidRPr="00F26E04" w:rsidRDefault="0050749E">
      <w:r w:rsidRPr="00F26E04">
        <w:t>Pharmacy Resident</w:t>
      </w:r>
      <w:r w:rsidRPr="00F26E04">
        <w:tab/>
      </w:r>
      <w:r w:rsidRPr="00F26E04">
        <w:tab/>
      </w:r>
      <w:r w:rsidRPr="00F26E04">
        <w:tab/>
      </w:r>
      <w:r w:rsidR="00D31252" w:rsidRPr="00F26E04">
        <w:t>Primary Preceptor</w:t>
      </w:r>
    </w:p>
    <w:sectPr w:rsidR="00EE01E8" w:rsidRPr="00F26E04" w:rsidSect="00DB45CB">
      <w:footerReference w:type="default" r:id="rId8"/>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5886E432" w:rsidR="00501B90" w:rsidRPr="00501B90" w:rsidRDefault="00267F41">
          <w:pPr>
            <w:pStyle w:val="Footer"/>
            <w:tabs>
              <w:tab w:val="clear" w:pos="4680"/>
              <w:tab w:val="clear" w:pos="9360"/>
            </w:tabs>
            <w:rPr>
              <w:b/>
              <w:sz w:val="18"/>
              <w:szCs w:val="18"/>
            </w:rPr>
          </w:pPr>
          <w:r>
            <w:rPr>
              <w:b/>
              <w:sz w:val="18"/>
              <w:szCs w:val="18"/>
            </w:rPr>
            <w:t xml:space="preserve">Research </w:t>
          </w:r>
          <w:r w:rsidR="00501B90" w:rsidRPr="00501B90">
            <w:rPr>
              <w:b/>
              <w:sz w:val="18"/>
              <w:szCs w:val="18"/>
            </w:rPr>
            <w:t xml:space="preserve"> (PGY-2)</w:t>
          </w:r>
        </w:p>
        <w:p w14:paraId="76C8A834" w14:textId="044A177C" w:rsidR="00C303AB" w:rsidRPr="00C303AB" w:rsidRDefault="00501B90" w:rsidP="00123296">
          <w:pPr>
            <w:pStyle w:val="Footer"/>
            <w:tabs>
              <w:tab w:val="clear" w:pos="4680"/>
              <w:tab w:val="clear" w:pos="9360"/>
            </w:tabs>
            <w:rPr>
              <w:b/>
              <w:sz w:val="18"/>
              <w:szCs w:val="18"/>
            </w:rPr>
          </w:pPr>
          <w:r w:rsidRPr="00501B90">
            <w:rPr>
              <w:b/>
              <w:sz w:val="18"/>
              <w:szCs w:val="18"/>
            </w:rPr>
            <w:t xml:space="preserve">Updated </w:t>
          </w:r>
          <w:r w:rsidR="00123296">
            <w:rPr>
              <w:b/>
              <w:sz w:val="18"/>
              <w:szCs w:val="18"/>
            </w:rPr>
            <w:t>June</w:t>
          </w:r>
          <w:r w:rsidR="00EB30E9">
            <w:rPr>
              <w:b/>
              <w:sz w:val="18"/>
              <w:szCs w:val="18"/>
            </w:rPr>
            <w:t xml:space="preserve"> 2020</w:t>
          </w:r>
        </w:p>
      </w:tc>
      <w:tc>
        <w:tcPr>
          <w:tcW w:w="4674" w:type="dxa"/>
          <w:shd w:val="clear" w:color="auto" w:fill="auto"/>
          <w:vAlign w:val="center"/>
        </w:tcPr>
        <w:p w14:paraId="0AE9BABF" w14:textId="340F59B4"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123296">
            <w:rPr>
              <w:b/>
              <w:caps/>
              <w:noProof/>
              <w:sz w:val="18"/>
              <w:szCs w:val="18"/>
            </w:rPr>
            <w:t>1</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B1F8B"/>
    <w:multiLevelType w:val="hybridMultilevel"/>
    <w:tmpl w:val="9A86B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849FD"/>
    <w:multiLevelType w:val="hybridMultilevel"/>
    <w:tmpl w:val="5004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5522F9F"/>
    <w:multiLevelType w:val="hybridMultilevel"/>
    <w:tmpl w:val="7668E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3"/>
  </w:num>
  <w:num w:numId="4">
    <w:abstractNumId w:val="8"/>
  </w:num>
  <w:num w:numId="5">
    <w:abstractNumId w:val="10"/>
  </w:num>
  <w:num w:numId="6">
    <w:abstractNumId w:val="16"/>
  </w:num>
  <w:num w:numId="7">
    <w:abstractNumId w:val="5"/>
  </w:num>
  <w:num w:numId="8">
    <w:abstractNumId w:val="15"/>
  </w:num>
  <w:num w:numId="9">
    <w:abstractNumId w:val="7"/>
  </w:num>
  <w:num w:numId="10">
    <w:abstractNumId w:val="11"/>
  </w:num>
  <w:num w:numId="11">
    <w:abstractNumId w:val="13"/>
  </w:num>
  <w:num w:numId="12">
    <w:abstractNumId w:val="6"/>
  </w:num>
  <w:num w:numId="13">
    <w:abstractNumId w:val="2"/>
  </w:num>
  <w:num w:numId="14">
    <w:abstractNumId w:val="12"/>
  </w:num>
  <w:num w:numId="15">
    <w:abstractNumId w:val="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23296"/>
    <w:rsid w:val="0013683D"/>
    <w:rsid w:val="001869D9"/>
    <w:rsid w:val="00186C31"/>
    <w:rsid w:val="0019727D"/>
    <w:rsid w:val="001D0C13"/>
    <w:rsid w:val="001D2201"/>
    <w:rsid w:val="001E660E"/>
    <w:rsid w:val="001F0BE5"/>
    <w:rsid w:val="002009F3"/>
    <w:rsid w:val="00200E47"/>
    <w:rsid w:val="002311A0"/>
    <w:rsid w:val="0025596B"/>
    <w:rsid w:val="00267F41"/>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268C4"/>
    <w:rsid w:val="0074666E"/>
    <w:rsid w:val="0084279C"/>
    <w:rsid w:val="0086418B"/>
    <w:rsid w:val="008B756F"/>
    <w:rsid w:val="008B7644"/>
    <w:rsid w:val="008C381F"/>
    <w:rsid w:val="00906E76"/>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469EC"/>
    <w:rsid w:val="00B84E5F"/>
    <w:rsid w:val="00B94451"/>
    <w:rsid w:val="00BB30DB"/>
    <w:rsid w:val="00C142FE"/>
    <w:rsid w:val="00C303AB"/>
    <w:rsid w:val="00C6621F"/>
    <w:rsid w:val="00C943FA"/>
    <w:rsid w:val="00CA78D6"/>
    <w:rsid w:val="00D31252"/>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2DD7108"/>
  <w15:docId w15:val="{FF299752-9882-42BE-89D0-B23CD228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4975E-5642-4F89-9AE6-6ED3A1036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2020-06-27T21:26:00Z</dcterms:created>
  <dcterms:modified xsi:type="dcterms:W3CDTF">2020-06-27T21:26:00Z</dcterms:modified>
</cp:coreProperties>
</file>