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CE1CE" w14:textId="77777777" w:rsidR="00D9522A" w:rsidRPr="002C6F39" w:rsidRDefault="00D9522A" w:rsidP="00D9522A">
      <w:pPr>
        <w:jc w:val="center"/>
        <w:rPr>
          <w:b/>
        </w:rPr>
      </w:pPr>
      <w:r w:rsidRPr="002C6F39">
        <w:rPr>
          <w:b/>
        </w:rPr>
        <w:t>PGY 2 Critical Care Pharmacy Residency Course Description</w:t>
      </w:r>
    </w:p>
    <w:p w14:paraId="5CFF9944" w14:textId="77777777" w:rsidR="00D9522A" w:rsidRDefault="00D9522A" w:rsidP="00D9522A">
      <w:pPr>
        <w:spacing w:before="100" w:beforeAutospacing="1"/>
        <w:rPr>
          <w:b/>
          <w:bCs/>
          <w:color w:val="000000"/>
        </w:rPr>
      </w:pPr>
      <w:r>
        <w:rPr>
          <w:b/>
          <w:bCs/>
          <w:color w:val="000000"/>
        </w:rPr>
        <w:t>Learning Experience Title:  Orientation</w:t>
      </w:r>
    </w:p>
    <w:p w14:paraId="54A7A217" w14:textId="77777777" w:rsidR="00D9522A" w:rsidRPr="00A24E2C" w:rsidRDefault="00D9522A" w:rsidP="00D9522A">
      <w:pPr>
        <w:spacing w:before="100" w:beforeAutospacing="1"/>
        <w:rPr>
          <w:color w:val="000000"/>
        </w:rPr>
      </w:pPr>
      <w:r w:rsidRPr="00A24E2C">
        <w:rPr>
          <w:b/>
          <w:bCs/>
          <w:color w:val="000000"/>
        </w:rPr>
        <w:t>Preceptors:</w:t>
      </w:r>
    </w:p>
    <w:p w14:paraId="3E0224C5" w14:textId="77777777" w:rsidR="00D9522A" w:rsidRDefault="00D9522A" w:rsidP="00D9522A">
      <w:pPr>
        <w:rPr>
          <w:color w:val="000000"/>
        </w:rPr>
      </w:pPr>
      <w:r>
        <w:rPr>
          <w:color w:val="000000"/>
        </w:rPr>
        <w:t>Teri Fanizza,</w:t>
      </w:r>
      <w:r w:rsidRPr="005A071F">
        <w:rPr>
          <w:color w:val="000000"/>
        </w:rPr>
        <w:t xml:space="preserve"> Pharm.D., BCPS (Primary)</w:t>
      </w:r>
    </w:p>
    <w:p w14:paraId="7349804A" w14:textId="77777777" w:rsidR="00D9522A" w:rsidRDefault="00D9522A" w:rsidP="00D9522A">
      <w:pPr>
        <w:rPr>
          <w:color w:val="000000"/>
        </w:rPr>
      </w:pPr>
      <w:r>
        <w:rPr>
          <w:color w:val="000000"/>
        </w:rPr>
        <w:t>Clinical Lead Pharmacist Internal Medicine, Pharmacy Residency Coordinator</w:t>
      </w:r>
    </w:p>
    <w:p w14:paraId="65CB9835" w14:textId="77777777" w:rsidR="00D9522A" w:rsidRPr="00A24E2C" w:rsidRDefault="00D9522A" w:rsidP="00D9522A">
      <w:pPr>
        <w:rPr>
          <w:color w:val="000000"/>
        </w:rPr>
      </w:pPr>
      <w:r w:rsidRPr="00A24E2C">
        <w:rPr>
          <w:color w:val="000000"/>
        </w:rPr>
        <w:t>Truman Medical Center Hospital Hill</w:t>
      </w:r>
    </w:p>
    <w:p w14:paraId="4E9B16E0" w14:textId="77777777" w:rsidR="00D9522A" w:rsidRPr="00A24E2C" w:rsidRDefault="00D9522A" w:rsidP="00D9522A">
      <w:pPr>
        <w:rPr>
          <w:color w:val="000000"/>
        </w:rPr>
      </w:pPr>
      <w:r w:rsidRPr="00A24E2C">
        <w:rPr>
          <w:color w:val="000000"/>
        </w:rPr>
        <w:t>2301 Holmes Rd.</w:t>
      </w:r>
    </w:p>
    <w:p w14:paraId="2EC95F40" w14:textId="77777777" w:rsidR="00D9522A" w:rsidRPr="00A24E2C" w:rsidRDefault="00D9522A" w:rsidP="00D9522A">
      <w:pPr>
        <w:rPr>
          <w:color w:val="000000"/>
        </w:rPr>
      </w:pPr>
      <w:r w:rsidRPr="00A24E2C">
        <w:rPr>
          <w:color w:val="000000"/>
        </w:rPr>
        <w:t>Kansas City, MO 64108</w:t>
      </w:r>
    </w:p>
    <w:p w14:paraId="7E57E5D9" w14:textId="703FF52E" w:rsidR="00D9522A" w:rsidRPr="00A24E2C" w:rsidRDefault="00D9522A" w:rsidP="00D9522A">
      <w:pPr>
        <w:rPr>
          <w:color w:val="000000"/>
        </w:rPr>
      </w:pPr>
      <w:r w:rsidRPr="00A24E2C">
        <w:rPr>
          <w:color w:val="000000"/>
        </w:rPr>
        <w:t>Phone: (816) 404-</w:t>
      </w:r>
      <w:r w:rsidR="004E4C0D">
        <w:rPr>
          <w:color w:val="000000"/>
        </w:rPr>
        <w:t>4178</w:t>
      </w:r>
    </w:p>
    <w:p w14:paraId="0D19C09A" w14:textId="77777777" w:rsidR="00D9522A" w:rsidRPr="00A24E2C" w:rsidRDefault="00D9522A" w:rsidP="00D9522A">
      <w:pPr>
        <w:rPr>
          <w:color w:val="000000"/>
        </w:rPr>
      </w:pPr>
      <w:r>
        <w:rPr>
          <w:color w:val="000000"/>
        </w:rPr>
        <w:t>Pager: (816) 374-4815</w:t>
      </w:r>
    </w:p>
    <w:p w14:paraId="2FFE96B5" w14:textId="77777777" w:rsidR="00D9522A" w:rsidRPr="005A071F" w:rsidRDefault="00D9522A" w:rsidP="00D9522A">
      <w:pPr>
        <w:rPr>
          <w:color w:val="000000"/>
        </w:rPr>
      </w:pPr>
      <w:r w:rsidRPr="00A24E2C">
        <w:rPr>
          <w:color w:val="000000"/>
        </w:rPr>
        <w:t xml:space="preserve">Email: </w:t>
      </w:r>
      <w:r>
        <w:rPr>
          <w:color w:val="000000"/>
        </w:rPr>
        <w:t>Teri.Fanizza</w:t>
      </w:r>
      <w:r w:rsidRPr="00A24E2C">
        <w:rPr>
          <w:color w:val="000000"/>
        </w:rPr>
        <w:t>@tmcmed.org</w:t>
      </w:r>
    </w:p>
    <w:p w14:paraId="54E87186" w14:textId="77777777" w:rsidR="00D9522A" w:rsidRPr="005A071F" w:rsidRDefault="00D9522A" w:rsidP="00D9522A">
      <w:pPr>
        <w:rPr>
          <w:color w:val="000000"/>
        </w:rPr>
      </w:pPr>
    </w:p>
    <w:p w14:paraId="3A9A2ECC" w14:textId="77777777" w:rsidR="004E4C0D" w:rsidRDefault="004E4C0D" w:rsidP="004E4C0D">
      <w:r>
        <w:t>Abby Hughes, PharmD, BCCCP</w:t>
      </w:r>
    </w:p>
    <w:p w14:paraId="48020F54" w14:textId="77777777" w:rsidR="004E4C0D" w:rsidRDefault="004E4C0D" w:rsidP="004E4C0D">
      <w:r>
        <w:t>Clinical Lead Pharmacist-Critical Care</w:t>
      </w:r>
    </w:p>
    <w:p w14:paraId="1212E921" w14:textId="77777777" w:rsidR="004E4C0D" w:rsidRDefault="004E4C0D" w:rsidP="004E4C0D">
      <w:r>
        <w:t xml:space="preserve">PGY2 Critical Care Residency Program Director </w:t>
      </w:r>
    </w:p>
    <w:p w14:paraId="7A8641C5" w14:textId="77777777" w:rsidR="004E4C0D" w:rsidRDefault="004E4C0D" w:rsidP="004E4C0D">
      <w:r>
        <w:t xml:space="preserve">816-404-6008(office) 913-972-1091 (cell) 816-374-8403 (pager) </w:t>
      </w:r>
    </w:p>
    <w:p w14:paraId="0B9617E8" w14:textId="77777777" w:rsidR="004E4C0D" w:rsidRDefault="004E4C0D" w:rsidP="004E4C0D">
      <w:r>
        <w:t>Abigail.hughes@tmcmed.org</w:t>
      </w:r>
    </w:p>
    <w:p w14:paraId="165FD379" w14:textId="77777777" w:rsidR="00D9522A" w:rsidRPr="00A24E2C" w:rsidRDefault="00D9522A" w:rsidP="00D9522A">
      <w:pPr>
        <w:spacing w:before="100" w:beforeAutospacing="1"/>
        <w:rPr>
          <w:color w:val="000000"/>
        </w:rPr>
      </w:pPr>
      <w:r>
        <w:rPr>
          <w:b/>
          <w:bCs/>
          <w:color w:val="000000"/>
        </w:rPr>
        <w:t>Purpose:</w:t>
      </w:r>
    </w:p>
    <w:p w14:paraId="75407E4E" w14:textId="77777777" w:rsidR="00D9522A" w:rsidRDefault="00D9522A" w:rsidP="00D9522A">
      <w:pPr>
        <w:rPr>
          <w:color w:val="000000"/>
        </w:rPr>
      </w:pPr>
    </w:p>
    <w:p w14:paraId="463A5CC3" w14:textId="77777777" w:rsidR="00D9522A" w:rsidRPr="005A071F" w:rsidRDefault="00D9522A" w:rsidP="00D9522A">
      <w:pPr>
        <w:rPr>
          <w:color w:val="000000"/>
        </w:rPr>
      </w:pPr>
      <w:r>
        <w:rPr>
          <w:color w:val="000000"/>
        </w:rPr>
        <w:t xml:space="preserve">The Orientation learning experience at Truman Medical Centers is a 4 week core rotation that will take place during the first month of residency. The rotation will be required for all PGY2 residents without prior experience at Truman Medical Center. Residents with prior experience will be eligible for a modified two week orientation. </w:t>
      </w:r>
      <w:r w:rsidRPr="005A071F">
        <w:rPr>
          <w:color w:val="000000"/>
        </w:rPr>
        <w:t xml:space="preserve">The resident will </w:t>
      </w:r>
      <w:r>
        <w:rPr>
          <w:color w:val="000000"/>
        </w:rPr>
        <w:t xml:space="preserve">attend scheduled hospital orientation prior to </w:t>
      </w:r>
      <w:r w:rsidRPr="005A071F">
        <w:rPr>
          <w:color w:val="000000"/>
        </w:rPr>
        <w:t xml:space="preserve">residency </w:t>
      </w:r>
      <w:r>
        <w:rPr>
          <w:color w:val="000000"/>
        </w:rPr>
        <w:t xml:space="preserve">and pharmacy department </w:t>
      </w:r>
      <w:r w:rsidRPr="005A071F">
        <w:rPr>
          <w:color w:val="000000"/>
        </w:rPr>
        <w:t>orientation.  </w:t>
      </w:r>
      <w:r>
        <w:rPr>
          <w:color w:val="000000"/>
        </w:rPr>
        <w:t xml:space="preserve">This experience will provide an opportunity for the residents to observe and learn the different roles of each staff member.  The resident pharmacist in this role will develop baseline knowledge of each pharmacist role and how they interact with each other to perform daily activities, as well as the clinical skills needed to perform each role.  </w:t>
      </w:r>
      <w:r w:rsidRPr="005A071F">
        <w:rPr>
          <w:color w:val="000000"/>
        </w:rPr>
        <w:t>The resident will interact with hospital pharmacist</w:t>
      </w:r>
      <w:r>
        <w:rPr>
          <w:color w:val="000000"/>
        </w:rPr>
        <w:t>s</w:t>
      </w:r>
      <w:r w:rsidRPr="005A071F">
        <w:rPr>
          <w:color w:val="000000"/>
        </w:rPr>
        <w:t>, pharmacy technicians</w:t>
      </w:r>
      <w:r>
        <w:rPr>
          <w:color w:val="000000"/>
        </w:rPr>
        <w:t xml:space="preserve"> and interns</w:t>
      </w:r>
      <w:r w:rsidRPr="005A071F">
        <w:rPr>
          <w:color w:val="000000"/>
        </w:rPr>
        <w:t>, attending physicians, medical residents and nursing staff.</w:t>
      </w:r>
    </w:p>
    <w:p w14:paraId="48058A5E" w14:textId="77777777" w:rsidR="00D9522A" w:rsidRPr="006D5E53" w:rsidRDefault="00D9522A" w:rsidP="00D9522A">
      <w:pPr>
        <w:spacing w:before="100" w:beforeAutospacing="1"/>
        <w:rPr>
          <w:color w:val="000000"/>
        </w:rPr>
      </w:pPr>
      <w:r>
        <w:rPr>
          <w:b/>
          <w:bCs/>
          <w:color w:val="000000"/>
        </w:rPr>
        <w:t>Learning Experience</w:t>
      </w:r>
      <w:r w:rsidRPr="006D5E53">
        <w:rPr>
          <w:b/>
          <w:bCs/>
          <w:color w:val="000000"/>
        </w:rPr>
        <w:t xml:space="preserve"> </w:t>
      </w:r>
      <w:r>
        <w:rPr>
          <w:b/>
          <w:bCs/>
          <w:color w:val="000000"/>
        </w:rPr>
        <w:t>Responsibilities (if applicable):</w:t>
      </w:r>
    </w:p>
    <w:p w14:paraId="179A16B6" w14:textId="77777777" w:rsidR="00D9522A" w:rsidRDefault="00D9522A" w:rsidP="00D9522A">
      <w:pPr>
        <w:pStyle w:val="ListParagraph"/>
        <w:numPr>
          <w:ilvl w:val="0"/>
          <w:numId w:val="15"/>
        </w:numPr>
        <w:rPr>
          <w:color w:val="000000"/>
        </w:rPr>
      </w:pPr>
      <w:r>
        <w:rPr>
          <w:color w:val="000000"/>
        </w:rPr>
        <w:t>Attend TMC Corporate Hospital Orientation</w:t>
      </w:r>
    </w:p>
    <w:p w14:paraId="0D660070" w14:textId="77777777" w:rsidR="00D9522A" w:rsidRDefault="00D9522A" w:rsidP="00D9522A">
      <w:pPr>
        <w:pStyle w:val="ListParagraph"/>
        <w:numPr>
          <w:ilvl w:val="0"/>
          <w:numId w:val="15"/>
        </w:numPr>
        <w:rPr>
          <w:color w:val="000000"/>
        </w:rPr>
      </w:pPr>
      <w:r>
        <w:rPr>
          <w:color w:val="000000"/>
        </w:rPr>
        <w:t>Attend full day department orientation with RPD</w:t>
      </w:r>
    </w:p>
    <w:p w14:paraId="1D2B84A2" w14:textId="77777777" w:rsidR="00D9522A" w:rsidRPr="005A071F" w:rsidRDefault="00D9522A" w:rsidP="00D9522A">
      <w:pPr>
        <w:pStyle w:val="ListParagraph"/>
        <w:numPr>
          <w:ilvl w:val="0"/>
          <w:numId w:val="15"/>
        </w:numPr>
        <w:rPr>
          <w:color w:val="000000"/>
        </w:rPr>
      </w:pPr>
      <w:r w:rsidRPr="005A071F">
        <w:rPr>
          <w:color w:val="000000"/>
        </w:rPr>
        <w:t xml:space="preserve">Arrive on time to designated work area and check in with </w:t>
      </w:r>
      <w:r>
        <w:rPr>
          <w:color w:val="000000"/>
        </w:rPr>
        <w:t xml:space="preserve">assigned training </w:t>
      </w:r>
      <w:r w:rsidRPr="005A071F">
        <w:rPr>
          <w:color w:val="000000"/>
        </w:rPr>
        <w:t>staff me</w:t>
      </w:r>
      <w:r>
        <w:rPr>
          <w:color w:val="000000"/>
        </w:rPr>
        <w:t>mber</w:t>
      </w:r>
    </w:p>
    <w:p w14:paraId="298BFA51" w14:textId="77777777" w:rsidR="00D9522A" w:rsidRDefault="00D9522A" w:rsidP="00D9522A">
      <w:pPr>
        <w:pStyle w:val="ListParagraph"/>
        <w:numPr>
          <w:ilvl w:val="0"/>
          <w:numId w:val="15"/>
        </w:numPr>
        <w:rPr>
          <w:color w:val="000000"/>
        </w:rPr>
      </w:pPr>
      <w:r w:rsidRPr="005A071F">
        <w:rPr>
          <w:color w:val="000000"/>
        </w:rPr>
        <w:t xml:space="preserve">Actively participate in tasks that are in alignment with the staff member you are </w:t>
      </w:r>
      <w:r>
        <w:rPr>
          <w:color w:val="000000"/>
        </w:rPr>
        <w:t>training,</w:t>
      </w:r>
      <w:r w:rsidRPr="005A071F">
        <w:rPr>
          <w:color w:val="000000"/>
        </w:rPr>
        <w:t xml:space="preserve"> e.g. pulling medications from the Carousel if with the Carousel technician, verifying orders if with a pharmacist</w:t>
      </w:r>
      <w:r>
        <w:rPr>
          <w:color w:val="000000"/>
        </w:rPr>
        <w:t>.</w:t>
      </w:r>
    </w:p>
    <w:p w14:paraId="7A0EC97E" w14:textId="77777777" w:rsidR="00D9522A" w:rsidRDefault="00D9522A" w:rsidP="00D9522A">
      <w:pPr>
        <w:pStyle w:val="ListParagraph"/>
        <w:numPr>
          <w:ilvl w:val="0"/>
          <w:numId w:val="15"/>
        </w:numPr>
        <w:rPr>
          <w:color w:val="000000"/>
        </w:rPr>
      </w:pPr>
      <w:r>
        <w:rPr>
          <w:color w:val="000000"/>
        </w:rPr>
        <w:t>Document all clinical interventions if training in a role where this is applicable</w:t>
      </w:r>
    </w:p>
    <w:p w14:paraId="2454DF56" w14:textId="77777777" w:rsidR="00D9522A" w:rsidRDefault="00D9522A" w:rsidP="00D9522A">
      <w:pPr>
        <w:pStyle w:val="ListParagraph"/>
        <w:numPr>
          <w:ilvl w:val="0"/>
          <w:numId w:val="15"/>
        </w:numPr>
        <w:rPr>
          <w:color w:val="000000"/>
        </w:rPr>
      </w:pPr>
      <w:r>
        <w:rPr>
          <w:color w:val="000000"/>
        </w:rPr>
        <w:t>Complete TMC competencies through MC Strategies</w:t>
      </w:r>
    </w:p>
    <w:p w14:paraId="6708A3C2" w14:textId="77777777" w:rsidR="00D9522A" w:rsidRDefault="00D9522A" w:rsidP="00D9522A">
      <w:pPr>
        <w:pStyle w:val="ListParagraph"/>
        <w:numPr>
          <w:ilvl w:val="0"/>
          <w:numId w:val="15"/>
        </w:numPr>
        <w:rPr>
          <w:color w:val="000000"/>
        </w:rPr>
      </w:pPr>
      <w:r>
        <w:rPr>
          <w:color w:val="000000"/>
        </w:rPr>
        <w:t>Complete Orientation Checklist by end of the experience</w:t>
      </w:r>
    </w:p>
    <w:p w14:paraId="517F282F" w14:textId="77777777" w:rsidR="00D9522A" w:rsidRDefault="00D9522A" w:rsidP="00D9522A">
      <w:pPr>
        <w:pStyle w:val="ListParagraph"/>
        <w:numPr>
          <w:ilvl w:val="0"/>
          <w:numId w:val="15"/>
        </w:numPr>
        <w:rPr>
          <w:color w:val="000000"/>
        </w:rPr>
      </w:pPr>
      <w:r>
        <w:rPr>
          <w:color w:val="000000"/>
        </w:rPr>
        <w:t>Complete CITI training in preparation for research project</w:t>
      </w:r>
    </w:p>
    <w:p w14:paraId="163583B2" w14:textId="77777777" w:rsidR="00D9522A" w:rsidRDefault="00D9522A" w:rsidP="00D9522A">
      <w:pPr>
        <w:pStyle w:val="ListParagraph"/>
        <w:numPr>
          <w:ilvl w:val="0"/>
          <w:numId w:val="15"/>
        </w:numPr>
        <w:rPr>
          <w:color w:val="000000"/>
        </w:rPr>
      </w:pPr>
      <w:r>
        <w:rPr>
          <w:color w:val="000000"/>
        </w:rPr>
        <w:t>Complete BLS, ACLS and ATLS certification</w:t>
      </w:r>
    </w:p>
    <w:p w14:paraId="1E09F75E" w14:textId="77777777" w:rsidR="00D9522A" w:rsidRDefault="00D9522A" w:rsidP="00D9522A">
      <w:pPr>
        <w:pStyle w:val="ListParagraph"/>
        <w:numPr>
          <w:ilvl w:val="0"/>
          <w:numId w:val="15"/>
        </w:numPr>
        <w:rPr>
          <w:color w:val="000000"/>
        </w:rPr>
      </w:pPr>
      <w:r>
        <w:rPr>
          <w:color w:val="000000"/>
        </w:rPr>
        <w:t>At</w:t>
      </w:r>
      <w:bookmarkStart w:id="0" w:name="_GoBack"/>
      <w:bookmarkEnd w:id="0"/>
      <w:r>
        <w:rPr>
          <w:color w:val="000000"/>
        </w:rPr>
        <w:t>tend and participate in Resident Research Project Idea meeting</w:t>
      </w:r>
    </w:p>
    <w:p w14:paraId="7F63915C" w14:textId="77777777" w:rsidR="00D9522A" w:rsidRDefault="00D9522A" w:rsidP="00D9522A">
      <w:pPr>
        <w:pStyle w:val="ListParagraph"/>
        <w:numPr>
          <w:ilvl w:val="0"/>
          <w:numId w:val="15"/>
        </w:numPr>
        <w:rPr>
          <w:color w:val="000000"/>
        </w:rPr>
      </w:pPr>
      <w:r>
        <w:rPr>
          <w:color w:val="000000"/>
        </w:rPr>
        <w:t>Attend all Boot camps – Antibiotic, Residency things you need to know, and others as assigned</w:t>
      </w:r>
    </w:p>
    <w:p w14:paraId="29CC69D0" w14:textId="77777777" w:rsidR="00D9522A" w:rsidRPr="005A071F" w:rsidRDefault="00D9522A" w:rsidP="00D9522A">
      <w:pPr>
        <w:pStyle w:val="ListParagraph"/>
        <w:rPr>
          <w:color w:val="000000"/>
        </w:rPr>
      </w:pPr>
    </w:p>
    <w:p w14:paraId="22041FEA" w14:textId="77777777" w:rsidR="00D9522A" w:rsidRPr="00811B45" w:rsidRDefault="00D9522A" w:rsidP="00D9522A">
      <w:pPr>
        <w:rPr>
          <w:b/>
        </w:rPr>
      </w:pPr>
      <w:r>
        <w:rPr>
          <w:b/>
        </w:rPr>
        <w:t>Resident Progression</w:t>
      </w:r>
      <w:r w:rsidRPr="00811B45">
        <w:rPr>
          <w:b/>
        </w:rPr>
        <w:t>:</w:t>
      </w:r>
    </w:p>
    <w:p w14:paraId="13491533" w14:textId="77777777" w:rsidR="00D9522A" w:rsidRPr="00811B45" w:rsidRDefault="00D9522A" w:rsidP="00D9522A">
      <w:pPr>
        <w:pStyle w:val="ListParagraph"/>
        <w:numPr>
          <w:ilvl w:val="0"/>
          <w:numId w:val="15"/>
        </w:numPr>
      </w:pPr>
      <w:r w:rsidRPr="00811B45">
        <w:t>Weeks 1-4: Resident will be with an assigned staff member each day during orientation to train the resident on their respective area of practice.</w:t>
      </w:r>
    </w:p>
    <w:p w14:paraId="75BEFA0D" w14:textId="77777777" w:rsidR="00D9522A" w:rsidRPr="00811B45" w:rsidRDefault="00D9522A" w:rsidP="00D9522A">
      <w:pPr>
        <w:pStyle w:val="ListParagraph"/>
        <w:numPr>
          <w:ilvl w:val="0"/>
          <w:numId w:val="15"/>
        </w:numPr>
      </w:pPr>
      <w:r w:rsidRPr="00811B45">
        <w:t>Week 2 or 3: After Missouri licensure (if applicable), residents will be expected to perform some operational and clinical functions independently.</w:t>
      </w:r>
    </w:p>
    <w:p w14:paraId="3A8BAB3A" w14:textId="77777777" w:rsidR="00D9522A" w:rsidRDefault="00D9522A" w:rsidP="00D9522A">
      <w:pPr>
        <w:pStyle w:val="ListParagraph"/>
        <w:numPr>
          <w:ilvl w:val="0"/>
          <w:numId w:val="15"/>
        </w:numPr>
      </w:pPr>
      <w:r w:rsidRPr="00811B45">
        <w:t>Week 4: Licensed resident is expected to perform operational and clinical functions independently.</w:t>
      </w:r>
    </w:p>
    <w:p w14:paraId="1B349621" w14:textId="77777777" w:rsidR="00D9522A" w:rsidRPr="00CB57EA" w:rsidRDefault="00D9522A" w:rsidP="00D9522A">
      <w:pPr>
        <w:ind w:left="360"/>
      </w:pPr>
    </w:p>
    <w:p w14:paraId="22BA3D56" w14:textId="7CEEEFA7" w:rsidR="00D9522A" w:rsidRDefault="00D9522A" w:rsidP="00D9522A">
      <w:pPr>
        <w:rPr>
          <w:b/>
        </w:rPr>
      </w:pPr>
      <w:r>
        <w:rPr>
          <w:b/>
        </w:rPr>
        <w:t xml:space="preserve">Goals and </w:t>
      </w:r>
      <w:r w:rsidRPr="00CB57EA">
        <w:rPr>
          <w:b/>
        </w:rPr>
        <w:t xml:space="preserve">Objectives to be </w:t>
      </w:r>
      <w:r>
        <w:rPr>
          <w:b/>
        </w:rPr>
        <w:t xml:space="preserve">covered and </w:t>
      </w:r>
      <w:r w:rsidRPr="00CB57EA">
        <w:rPr>
          <w:b/>
        </w:rPr>
        <w:t>evaluated:</w:t>
      </w:r>
    </w:p>
    <w:p w14:paraId="756CDBAA" w14:textId="77777777" w:rsidR="00D9522A" w:rsidRPr="00CB57EA" w:rsidRDefault="00D9522A" w:rsidP="00D9522A">
      <w:pPr>
        <w:rPr>
          <w:b/>
        </w:rPr>
      </w:pPr>
    </w:p>
    <w:tbl>
      <w:tblPr>
        <w:tblW w:w="0" w:type="auto"/>
        <w:tblCellMar>
          <w:left w:w="0" w:type="dxa"/>
          <w:right w:w="0" w:type="dxa"/>
        </w:tblCellMar>
        <w:tblLook w:val="04A0" w:firstRow="1" w:lastRow="0" w:firstColumn="1" w:lastColumn="0" w:noHBand="0" w:noVBand="1"/>
      </w:tblPr>
      <w:tblGrid>
        <w:gridCol w:w="6318"/>
        <w:gridCol w:w="2538"/>
      </w:tblGrid>
      <w:tr w:rsidR="00D9522A" w:rsidRPr="005A071F" w14:paraId="41994145" w14:textId="77777777" w:rsidTr="002D2FC5">
        <w:trPr>
          <w:trHeight w:val="368"/>
        </w:trPr>
        <w:tc>
          <w:tcPr>
            <w:tcW w:w="63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CFC5EF" w14:textId="77777777" w:rsidR="00D9522A" w:rsidRPr="005A071F" w:rsidRDefault="00D9522A" w:rsidP="002D2FC5">
            <w:pPr>
              <w:spacing w:before="100" w:beforeAutospacing="1"/>
              <w:jc w:val="center"/>
              <w:rPr>
                <w:sz w:val="20"/>
                <w:szCs w:val="20"/>
              </w:rPr>
            </w:pPr>
            <w:r w:rsidRPr="005A071F">
              <w:rPr>
                <w:b/>
                <w:bCs/>
              </w:rPr>
              <w:t>Activity</w:t>
            </w:r>
          </w:p>
        </w:tc>
        <w:tc>
          <w:tcPr>
            <w:tcW w:w="253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6E95CC9" w14:textId="77777777" w:rsidR="00D9522A" w:rsidRPr="005A071F" w:rsidRDefault="00D9522A" w:rsidP="002D2FC5">
            <w:pPr>
              <w:spacing w:before="100" w:beforeAutospacing="1"/>
              <w:jc w:val="center"/>
              <w:rPr>
                <w:sz w:val="20"/>
                <w:szCs w:val="20"/>
              </w:rPr>
            </w:pPr>
            <w:r w:rsidRPr="005A071F">
              <w:rPr>
                <w:b/>
                <w:bCs/>
              </w:rPr>
              <w:t>Objectives Covered</w:t>
            </w:r>
          </w:p>
        </w:tc>
      </w:tr>
      <w:tr w:rsidR="00D9522A" w:rsidRPr="005A071F" w14:paraId="43348E09"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69BB06" w14:textId="77777777" w:rsidR="00D9522A" w:rsidRPr="00035149" w:rsidRDefault="00D9522A" w:rsidP="002D2FC5">
            <w:pPr>
              <w:spacing w:before="100" w:beforeAutospacing="1" w:line="20" w:lineRule="atLeast"/>
            </w:pPr>
            <w:r>
              <w:t>Identify pertinent information in the electronic medical record used when verifying medication orders</w:t>
            </w:r>
          </w:p>
        </w:tc>
        <w:tc>
          <w:tcPr>
            <w:tcW w:w="2538" w:type="dxa"/>
            <w:tcBorders>
              <w:top w:val="nil"/>
              <w:left w:val="nil"/>
              <w:bottom w:val="single" w:sz="8" w:space="0" w:color="auto"/>
              <w:right w:val="single" w:sz="8" w:space="0" w:color="auto"/>
            </w:tcBorders>
            <w:tcMar>
              <w:top w:w="0" w:type="dxa"/>
              <w:left w:w="108" w:type="dxa"/>
              <w:bottom w:w="0" w:type="dxa"/>
              <w:right w:w="108" w:type="dxa"/>
            </w:tcMar>
            <w:hideMark/>
          </w:tcPr>
          <w:p w14:paraId="0638AF8C" w14:textId="77777777" w:rsidR="00D9522A" w:rsidRPr="00035149" w:rsidRDefault="00D9522A" w:rsidP="002D2FC5">
            <w:pPr>
              <w:spacing w:line="20" w:lineRule="atLeast"/>
            </w:pPr>
            <w:r w:rsidRPr="00035149">
              <w:t>R1.1.3</w:t>
            </w:r>
          </w:p>
          <w:p w14:paraId="47B34395" w14:textId="77777777" w:rsidR="00D9522A" w:rsidRPr="00035149" w:rsidRDefault="00D9522A" w:rsidP="002D2FC5">
            <w:pPr>
              <w:spacing w:line="20" w:lineRule="atLeast"/>
              <w:rPr>
                <w:sz w:val="20"/>
                <w:szCs w:val="20"/>
              </w:rPr>
            </w:pPr>
          </w:p>
        </w:tc>
      </w:tr>
      <w:tr w:rsidR="00D9522A" w:rsidRPr="005A071F" w14:paraId="758F7CFA"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39C01E" w14:textId="77777777" w:rsidR="00D9522A" w:rsidRDefault="00D9522A" w:rsidP="002D2FC5">
            <w:pPr>
              <w:spacing w:before="100" w:beforeAutospacing="1" w:line="20" w:lineRule="atLeast"/>
            </w:pPr>
            <w:r>
              <w:t>Evaluate pertinent patient and medication specific information when verifying medication orders</w:t>
            </w:r>
          </w:p>
        </w:tc>
        <w:tc>
          <w:tcPr>
            <w:tcW w:w="2538" w:type="dxa"/>
            <w:tcBorders>
              <w:top w:val="nil"/>
              <w:left w:val="nil"/>
              <w:bottom w:val="single" w:sz="8" w:space="0" w:color="auto"/>
              <w:right w:val="single" w:sz="8" w:space="0" w:color="auto"/>
            </w:tcBorders>
            <w:tcMar>
              <w:top w:w="0" w:type="dxa"/>
              <w:left w:w="108" w:type="dxa"/>
              <w:bottom w:w="0" w:type="dxa"/>
              <w:right w:w="108" w:type="dxa"/>
            </w:tcMar>
          </w:tcPr>
          <w:p w14:paraId="0C8C185E" w14:textId="77777777" w:rsidR="00D9522A" w:rsidRPr="00035149" w:rsidRDefault="00D9522A" w:rsidP="002D2FC5">
            <w:pPr>
              <w:spacing w:line="20" w:lineRule="atLeast"/>
            </w:pPr>
            <w:r w:rsidRPr="00035149">
              <w:t>R1.1.4</w:t>
            </w:r>
          </w:p>
        </w:tc>
      </w:tr>
      <w:tr w:rsidR="00D9522A" w:rsidRPr="005A071F" w14:paraId="49A45727"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BA70D1" w14:textId="77777777" w:rsidR="00D9522A" w:rsidRDefault="00D9522A" w:rsidP="002D2FC5">
            <w:pPr>
              <w:spacing w:line="20" w:lineRule="atLeast"/>
            </w:pPr>
            <w:r>
              <w:t>Perform clinical and pharmacokinetic monitoring for patients in the central and decentralized pharmacies</w:t>
            </w:r>
          </w:p>
        </w:tc>
        <w:tc>
          <w:tcPr>
            <w:tcW w:w="2538" w:type="dxa"/>
            <w:tcBorders>
              <w:top w:val="nil"/>
              <w:left w:val="nil"/>
              <w:bottom w:val="single" w:sz="8" w:space="0" w:color="auto"/>
              <w:right w:val="single" w:sz="8" w:space="0" w:color="auto"/>
            </w:tcBorders>
            <w:tcMar>
              <w:top w:w="0" w:type="dxa"/>
              <w:left w:w="108" w:type="dxa"/>
              <w:bottom w:w="0" w:type="dxa"/>
              <w:right w:w="108" w:type="dxa"/>
            </w:tcMar>
          </w:tcPr>
          <w:p w14:paraId="3786CE47" w14:textId="77777777" w:rsidR="00D9522A" w:rsidRPr="00035149" w:rsidRDefault="00D9522A" w:rsidP="002D2FC5">
            <w:pPr>
              <w:spacing w:line="20" w:lineRule="atLeast"/>
            </w:pPr>
            <w:r w:rsidRPr="00035149">
              <w:t>R1.1.5</w:t>
            </w:r>
          </w:p>
        </w:tc>
      </w:tr>
      <w:tr w:rsidR="00D9522A" w:rsidRPr="005A071F" w14:paraId="4942274B"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B05972" w14:textId="77777777" w:rsidR="00D9522A" w:rsidRDefault="00D9522A" w:rsidP="002D2FC5">
            <w:pPr>
              <w:spacing w:before="100" w:beforeAutospacing="1" w:line="20" w:lineRule="atLeast"/>
            </w:pPr>
            <w:r>
              <w:t>Assess patients clinical status on a daily basis and follow-up as necessary</w:t>
            </w:r>
          </w:p>
        </w:tc>
        <w:tc>
          <w:tcPr>
            <w:tcW w:w="2538" w:type="dxa"/>
            <w:tcBorders>
              <w:top w:val="nil"/>
              <w:left w:val="nil"/>
              <w:bottom w:val="single" w:sz="8" w:space="0" w:color="auto"/>
              <w:right w:val="single" w:sz="8" w:space="0" w:color="auto"/>
            </w:tcBorders>
            <w:tcMar>
              <w:top w:w="0" w:type="dxa"/>
              <w:left w:w="108" w:type="dxa"/>
              <w:bottom w:w="0" w:type="dxa"/>
              <w:right w:w="108" w:type="dxa"/>
            </w:tcMar>
          </w:tcPr>
          <w:p w14:paraId="486441EE" w14:textId="77777777" w:rsidR="00D9522A" w:rsidRPr="005A071F" w:rsidRDefault="00D9522A" w:rsidP="002D2FC5">
            <w:pPr>
              <w:spacing w:before="100" w:beforeAutospacing="1" w:line="20" w:lineRule="atLeast"/>
            </w:pPr>
            <w:r>
              <w:t>R1.1.6</w:t>
            </w:r>
          </w:p>
        </w:tc>
      </w:tr>
      <w:tr w:rsidR="00D9522A" w:rsidRPr="005A071F" w14:paraId="04CC1A54"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EA4E4D" w14:textId="77777777" w:rsidR="00D9522A" w:rsidRDefault="00D9522A" w:rsidP="002D2FC5">
            <w:pPr>
              <w:spacing w:before="100" w:beforeAutospacing="1" w:line="20" w:lineRule="atLeast"/>
            </w:pPr>
            <w:r>
              <w:t>Document clinical and pharmacokinetic monitoring using clinical consults and interventions</w:t>
            </w:r>
          </w:p>
        </w:tc>
        <w:tc>
          <w:tcPr>
            <w:tcW w:w="2538" w:type="dxa"/>
            <w:tcBorders>
              <w:top w:val="nil"/>
              <w:left w:val="nil"/>
              <w:bottom w:val="single" w:sz="8" w:space="0" w:color="auto"/>
              <w:right w:val="single" w:sz="8" w:space="0" w:color="auto"/>
            </w:tcBorders>
            <w:tcMar>
              <w:top w:w="0" w:type="dxa"/>
              <w:left w:w="108" w:type="dxa"/>
              <w:bottom w:w="0" w:type="dxa"/>
              <w:right w:w="108" w:type="dxa"/>
            </w:tcMar>
          </w:tcPr>
          <w:p w14:paraId="7CCAA295" w14:textId="77777777" w:rsidR="00D9522A" w:rsidRDefault="00D9522A" w:rsidP="002D2FC5">
            <w:pPr>
              <w:spacing w:before="100" w:beforeAutospacing="1" w:line="20" w:lineRule="atLeast"/>
            </w:pPr>
            <w:r>
              <w:t>R1.1.7</w:t>
            </w:r>
          </w:p>
        </w:tc>
      </w:tr>
      <w:tr w:rsidR="00D9522A" w:rsidRPr="005A071F" w14:paraId="2DD3E520"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1AC715" w14:textId="77777777" w:rsidR="00D9522A" w:rsidRPr="005A071F" w:rsidRDefault="00D9522A" w:rsidP="002D2FC5">
            <w:pPr>
              <w:spacing w:before="100" w:beforeAutospacing="1" w:line="20" w:lineRule="atLeast"/>
              <w:rPr>
                <w:sz w:val="20"/>
                <w:szCs w:val="20"/>
              </w:rPr>
            </w:pPr>
            <w:r>
              <w:t>Understand Pyxis functions and p</w:t>
            </w:r>
            <w:r w:rsidRPr="005A071F">
              <w:t xml:space="preserve">articipate in Pyxis </w:t>
            </w:r>
            <w:r>
              <w:t>operations</w:t>
            </w:r>
          </w:p>
        </w:tc>
        <w:tc>
          <w:tcPr>
            <w:tcW w:w="2538" w:type="dxa"/>
            <w:tcBorders>
              <w:top w:val="nil"/>
              <w:left w:val="nil"/>
              <w:bottom w:val="single" w:sz="8" w:space="0" w:color="auto"/>
              <w:right w:val="single" w:sz="8" w:space="0" w:color="auto"/>
            </w:tcBorders>
            <w:tcMar>
              <w:top w:w="0" w:type="dxa"/>
              <w:left w:w="108" w:type="dxa"/>
              <w:bottom w:w="0" w:type="dxa"/>
              <w:right w:w="108" w:type="dxa"/>
            </w:tcMar>
            <w:hideMark/>
          </w:tcPr>
          <w:p w14:paraId="0F543DCF" w14:textId="77777777" w:rsidR="00D9522A" w:rsidRPr="005A071F" w:rsidRDefault="00D9522A" w:rsidP="002D2FC5">
            <w:pPr>
              <w:spacing w:before="100" w:beforeAutospacing="1" w:line="20" w:lineRule="atLeast"/>
              <w:rPr>
                <w:sz w:val="20"/>
                <w:szCs w:val="20"/>
              </w:rPr>
            </w:pPr>
            <w:r w:rsidRPr="005A071F">
              <w:t>R1.3.1</w:t>
            </w:r>
          </w:p>
        </w:tc>
      </w:tr>
      <w:tr w:rsidR="00D9522A" w:rsidRPr="005A071F" w14:paraId="78ED354E"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09B592" w14:textId="77777777" w:rsidR="00D9522A" w:rsidRDefault="00D9522A" w:rsidP="002D2FC5">
            <w:pPr>
              <w:spacing w:before="100" w:beforeAutospacing="1" w:line="20" w:lineRule="atLeast"/>
            </w:pPr>
            <w:r>
              <w:t>Provide oversight of all medication related processes performed by pharmacy technicians, clerical personnel, pharmacy students, and others</w:t>
            </w:r>
          </w:p>
        </w:tc>
        <w:tc>
          <w:tcPr>
            <w:tcW w:w="2538" w:type="dxa"/>
            <w:tcBorders>
              <w:top w:val="nil"/>
              <w:left w:val="nil"/>
              <w:bottom w:val="single" w:sz="8" w:space="0" w:color="auto"/>
              <w:right w:val="single" w:sz="8" w:space="0" w:color="auto"/>
            </w:tcBorders>
            <w:tcMar>
              <w:top w:w="0" w:type="dxa"/>
              <w:left w:w="108" w:type="dxa"/>
              <w:bottom w:w="0" w:type="dxa"/>
              <w:right w:w="108" w:type="dxa"/>
            </w:tcMar>
          </w:tcPr>
          <w:p w14:paraId="50877DAD" w14:textId="77777777" w:rsidR="00D9522A" w:rsidRPr="005A071F" w:rsidRDefault="00D9522A" w:rsidP="002D2FC5">
            <w:pPr>
              <w:spacing w:before="100" w:beforeAutospacing="1" w:line="20" w:lineRule="atLeast"/>
            </w:pPr>
            <w:r>
              <w:t>R1.3.3</w:t>
            </w:r>
          </w:p>
        </w:tc>
      </w:tr>
      <w:tr w:rsidR="00D9522A" w:rsidRPr="005A071F" w14:paraId="057F091F"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22DAE9" w14:textId="77777777" w:rsidR="00D9522A" w:rsidRPr="005A071F" w:rsidRDefault="00D9522A" w:rsidP="002D2FC5">
            <w:pPr>
              <w:spacing w:before="100" w:beforeAutospacing="1" w:line="20" w:lineRule="atLeast"/>
              <w:rPr>
                <w:sz w:val="20"/>
                <w:szCs w:val="20"/>
              </w:rPr>
            </w:pPr>
            <w:r w:rsidRPr="005A071F">
              <w:t>Prepare and dispense medications</w:t>
            </w:r>
          </w:p>
        </w:tc>
        <w:tc>
          <w:tcPr>
            <w:tcW w:w="2538" w:type="dxa"/>
            <w:tcBorders>
              <w:top w:val="nil"/>
              <w:left w:val="nil"/>
              <w:bottom w:val="single" w:sz="8" w:space="0" w:color="auto"/>
              <w:right w:val="single" w:sz="8" w:space="0" w:color="auto"/>
            </w:tcBorders>
            <w:tcMar>
              <w:top w:w="0" w:type="dxa"/>
              <w:left w:w="108" w:type="dxa"/>
              <w:bottom w:w="0" w:type="dxa"/>
              <w:right w:w="108" w:type="dxa"/>
            </w:tcMar>
            <w:hideMark/>
          </w:tcPr>
          <w:p w14:paraId="3734F3F0" w14:textId="77777777" w:rsidR="00D9522A" w:rsidRPr="005A071F" w:rsidRDefault="00D9522A" w:rsidP="002D2FC5">
            <w:pPr>
              <w:spacing w:before="100" w:beforeAutospacing="1" w:line="20" w:lineRule="atLeast"/>
              <w:rPr>
                <w:sz w:val="20"/>
                <w:szCs w:val="20"/>
              </w:rPr>
            </w:pPr>
            <w:r w:rsidRPr="005A071F">
              <w:t>R1.3.1</w:t>
            </w:r>
          </w:p>
        </w:tc>
      </w:tr>
      <w:tr w:rsidR="00D9522A" w:rsidRPr="005A071F" w14:paraId="4DE0D389"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D8FF3" w14:textId="77777777" w:rsidR="00D9522A" w:rsidRPr="005A071F" w:rsidRDefault="00D9522A" w:rsidP="002D2FC5">
            <w:pPr>
              <w:spacing w:before="100" w:beforeAutospacing="1" w:line="20" w:lineRule="atLeast"/>
              <w:rPr>
                <w:sz w:val="20"/>
                <w:szCs w:val="20"/>
              </w:rPr>
            </w:pPr>
            <w:r w:rsidRPr="005A071F">
              <w:t>Observe and learn role of pharmacy buyer</w:t>
            </w:r>
          </w:p>
        </w:tc>
        <w:tc>
          <w:tcPr>
            <w:tcW w:w="2538" w:type="dxa"/>
            <w:tcBorders>
              <w:top w:val="nil"/>
              <w:left w:val="nil"/>
              <w:bottom w:val="single" w:sz="8" w:space="0" w:color="auto"/>
              <w:right w:val="single" w:sz="8" w:space="0" w:color="auto"/>
            </w:tcBorders>
            <w:tcMar>
              <w:top w:w="0" w:type="dxa"/>
              <w:left w:w="108" w:type="dxa"/>
              <w:bottom w:w="0" w:type="dxa"/>
              <w:right w:w="108" w:type="dxa"/>
            </w:tcMar>
            <w:hideMark/>
          </w:tcPr>
          <w:p w14:paraId="52D84521" w14:textId="77777777" w:rsidR="00D9522A" w:rsidRPr="00564F84" w:rsidRDefault="00D9522A" w:rsidP="002D2FC5">
            <w:pPr>
              <w:spacing w:before="100" w:beforeAutospacing="1" w:line="20" w:lineRule="atLeast"/>
            </w:pPr>
            <w:r>
              <w:t>R1.3.2</w:t>
            </w:r>
          </w:p>
        </w:tc>
      </w:tr>
      <w:tr w:rsidR="00D9522A" w:rsidRPr="005A071F" w14:paraId="61DC5299" w14:textId="77777777" w:rsidTr="002D2FC5">
        <w:trPr>
          <w:trHeight w:val="20"/>
        </w:trPr>
        <w:tc>
          <w:tcPr>
            <w:tcW w:w="63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2012B9" w14:textId="77777777" w:rsidR="00D9522A" w:rsidRPr="005A071F" w:rsidRDefault="00D9522A" w:rsidP="002D2FC5">
            <w:pPr>
              <w:spacing w:before="100" w:beforeAutospacing="1" w:line="20" w:lineRule="atLeast"/>
              <w:rPr>
                <w:sz w:val="20"/>
                <w:szCs w:val="20"/>
              </w:rPr>
            </w:pPr>
            <w:r w:rsidRPr="005A071F">
              <w:t>Review Medication Event Reporting</w:t>
            </w:r>
          </w:p>
        </w:tc>
        <w:tc>
          <w:tcPr>
            <w:tcW w:w="2538" w:type="dxa"/>
            <w:tcBorders>
              <w:top w:val="nil"/>
              <w:left w:val="nil"/>
              <w:bottom w:val="single" w:sz="8" w:space="0" w:color="auto"/>
              <w:right w:val="single" w:sz="8" w:space="0" w:color="auto"/>
            </w:tcBorders>
            <w:tcMar>
              <w:top w:w="0" w:type="dxa"/>
              <w:left w:w="108" w:type="dxa"/>
              <w:bottom w:w="0" w:type="dxa"/>
              <w:right w:w="108" w:type="dxa"/>
            </w:tcMar>
            <w:hideMark/>
          </w:tcPr>
          <w:p w14:paraId="7A7B28E2" w14:textId="77777777" w:rsidR="00D9522A" w:rsidRPr="005A071F" w:rsidRDefault="00D9522A" w:rsidP="002D2FC5">
            <w:pPr>
              <w:spacing w:before="100" w:beforeAutospacing="1" w:line="20" w:lineRule="atLeast"/>
              <w:rPr>
                <w:sz w:val="20"/>
                <w:szCs w:val="20"/>
              </w:rPr>
            </w:pPr>
            <w:r w:rsidRPr="005A071F">
              <w:t>R2.</w:t>
            </w:r>
            <w:r>
              <w:t>1.3</w:t>
            </w:r>
          </w:p>
        </w:tc>
      </w:tr>
    </w:tbl>
    <w:p w14:paraId="5C599205" w14:textId="77777777" w:rsidR="00D9522A" w:rsidRPr="005A071F" w:rsidRDefault="00D9522A" w:rsidP="00D9522A">
      <w:pPr>
        <w:rPr>
          <w:vanish/>
        </w:rPr>
      </w:pPr>
    </w:p>
    <w:p w14:paraId="7343ACDE" w14:textId="77777777" w:rsidR="00D9522A" w:rsidRDefault="00D9522A" w:rsidP="00D9522A">
      <w:pPr>
        <w:spacing w:before="100" w:beforeAutospacing="1"/>
        <w:rPr>
          <w:bCs/>
          <w:color w:val="000000"/>
        </w:rPr>
      </w:pPr>
      <w:r>
        <w:rPr>
          <w:b/>
          <w:bCs/>
          <w:color w:val="000000"/>
        </w:rPr>
        <w:t>Requirements of Learning Experience:</w:t>
      </w:r>
    </w:p>
    <w:p w14:paraId="064BC5CD" w14:textId="77777777" w:rsidR="00D9522A" w:rsidRDefault="00D9522A" w:rsidP="00D9522A">
      <w:pPr>
        <w:rPr>
          <w:bCs/>
          <w:color w:val="000000"/>
        </w:rPr>
      </w:pPr>
      <w:r w:rsidRPr="001754A4">
        <w:rPr>
          <w:bCs/>
          <w:color w:val="000000"/>
          <w:u w:val="single"/>
        </w:rPr>
        <w:t>Expected hours</w:t>
      </w:r>
    </w:p>
    <w:p w14:paraId="23EFF469" w14:textId="77777777" w:rsidR="00D9522A" w:rsidRPr="00B22EE7" w:rsidRDefault="00D9522A" w:rsidP="00D9522A">
      <w:pPr>
        <w:pStyle w:val="ListParagraph"/>
        <w:numPr>
          <w:ilvl w:val="0"/>
          <w:numId w:val="17"/>
        </w:numPr>
        <w:rPr>
          <w:bCs/>
          <w:color w:val="000000"/>
        </w:rPr>
      </w:pPr>
      <w:r w:rsidRPr="00B22EE7">
        <w:rPr>
          <w:bCs/>
          <w:color w:val="000000"/>
        </w:rPr>
        <w:t>0700-1600, times may vary based on orientation requirements</w:t>
      </w:r>
    </w:p>
    <w:p w14:paraId="478016B1" w14:textId="77777777" w:rsidR="00D9522A" w:rsidRDefault="00D9522A" w:rsidP="00D9522A">
      <w:pPr>
        <w:rPr>
          <w:bCs/>
          <w:color w:val="000000"/>
          <w:u w:val="single"/>
        </w:rPr>
      </w:pPr>
    </w:p>
    <w:p w14:paraId="17F36722" w14:textId="77777777" w:rsidR="00D9522A" w:rsidRDefault="00D9522A" w:rsidP="00D9522A">
      <w:pPr>
        <w:rPr>
          <w:bCs/>
          <w:color w:val="000000"/>
        </w:rPr>
      </w:pPr>
      <w:r w:rsidRPr="001754A4">
        <w:rPr>
          <w:bCs/>
          <w:color w:val="000000"/>
          <w:u w:val="single"/>
        </w:rPr>
        <w:t>Preceptor Interaction</w:t>
      </w:r>
    </w:p>
    <w:p w14:paraId="6FC84D3A" w14:textId="77777777" w:rsidR="00D9522A" w:rsidRPr="00B22EE7" w:rsidRDefault="00D9522A" w:rsidP="00D9522A">
      <w:pPr>
        <w:pStyle w:val="ListParagraph"/>
        <w:numPr>
          <w:ilvl w:val="0"/>
          <w:numId w:val="17"/>
        </w:numPr>
        <w:rPr>
          <w:color w:val="000000"/>
        </w:rPr>
      </w:pPr>
      <w:r w:rsidRPr="00B22EE7">
        <w:rPr>
          <w:bCs/>
          <w:color w:val="000000"/>
        </w:rPr>
        <w:t xml:space="preserve">Hospital Orientation will take place on Day 1.  On subsequent days, resident will be assigned with pharmacy staff to </w:t>
      </w:r>
      <w:r w:rsidRPr="00B22EE7">
        <w:rPr>
          <w:color w:val="000000"/>
        </w:rPr>
        <w:t>allow for adequate exposure in all areas.  Preceptor will interact with resident on a routine basis to assure that all learning needs are being achieved and necessary progress is being made.</w:t>
      </w:r>
    </w:p>
    <w:p w14:paraId="7247AE04" w14:textId="77777777" w:rsidR="00D9522A" w:rsidRDefault="00D9522A" w:rsidP="00D9522A">
      <w:pPr>
        <w:rPr>
          <w:color w:val="000000"/>
          <w:u w:val="single"/>
        </w:rPr>
      </w:pPr>
    </w:p>
    <w:p w14:paraId="42EBCAB6" w14:textId="77777777" w:rsidR="00D9522A" w:rsidRDefault="00D9522A" w:rsidP="00D9522A">
      <w:pPr>
        <w:rPr>
          <w:color w:val="000000"/>
        </w:rPr>
      </w:pPr>
      <w:r w:rsidRPr="001754A4">
        <w:rPr>
          <w:color w:val="000000"/>
          <w:u w:val="single"/>
        </w:rPr>
        <w:t>Communication</w:t>
      </w:r>
      <w:r>
        <w:rPr>
          <w:color w:val="000000"/>
        </w:rPr>
        <w:t>:</w:t>
      </w:r>
    </w:p>
    <w:p w14:paraId="6ACC7A50" w14:textId="77777777" w:rsidR="00D9522A" w:rsidRPr="001754A4" w:rsidRDefault="00D9522A" w:rsidP="00D9522A">
      <w:pPr>
        <w:numPr>
          <w:ilvl w:val="0"/>
          <w:numId w:val="16"/>
        </w:numPr>
      </w:pPr>
      <w:r w:rsidRPr="001754A4">
        <w:t>Daily scheduled meeting times – resident is to prioritize questions and problems to discuss during scheduled meeting times</w:t>
      </w:r>
    </w:p>
    <w:p w14:paraId="417D32DE" w14:textId="77777777" w:rsidR="00D9522A" w:rsidRPr="001754A4" w:rsidRDefault="00D9522A" w:rsidP="00D9522A">
      <w:pPr>
        <w:numPr>
          <w:ilvl w:val="0"/>
          <w:numId w:val="16"/>
        </w:numPr>
      </w:pPr>
      <w:r w:rsidRPr="001754A4">
        <w:t>E-mail – at a minimum, residents are expected to read email at the beginning, middle, and end of each day to facilitate communication.</w:t>
      </w:r>
    </w:p>
    <w:p w14:paraId="7B154663" w14:textId="77777777" w:rsidR="00D9522A" w:rsidRPr="001754A4" w:rsidRDefault="00D9522A" w:rsidP="00D9522A">
      <w:pPr>
        <w:numPr>
          <w:ilvl w:val="0"/>
          <w:numId w:val="16"/>
        </w:numPr>
      </w:pPr>
      <w:r w:rsidRPr="001754A4">
        <w:t>Office extension – this is appropriate for urgent questions.</w:t>
      </w:r>
    </w:p>
    <w:p w14:paraId="7A3A38B3" w14:textId="77777777" w:rsidR="00D9522A" w:rsidRDefault="00D9522A" w:rsidP="00D9522A">
      <w:pPr>
        <w:numPr>
          <w:ilvl w:val="0"/>
          <w:numId w:val="16"/>
        </w:numPr>
      </w:pPr>
      <w:r w:rsidRPr="001754A4">
        <w:lastRenderedPageBreak/>
        <w:t>Pager – this is appropriate for urgent/emergent situations.</w:t>
      </w:r>
    </w:p>
    <w:p w14:paraId="269E2B3B" w14:textId="77777777" w:rsidR="00D9522A" w:rsidRDefault="00D9522A" w:rsidP="00D9522A"/>
    <w:p w14:paraId="5B06A711" w14:textId="77777777" w:rsidR="00D9522A" w:rsidRPr="001754A4" w:rsidRDefault="00D9522A" w:rsidP="00D9522A">
      <w:pPr>
        <w:rPr>
          <w:b/>
        </w:rPr>
      </w:pPr>
      <w:r w:rsidRPr="001754A4">
        <w:rPr>
          <w:b/>
        </w:rPr>
        <w:t>Method of Evaluation:</w:t>
      </w:r>
    </w:p>
    <w:p w14:paraId="294425FF" w14:textId="77777777" w:rsidR="00D9522A" w:rsidRPr="00E42E57" w:rsidRDefault="00D9522A" w:rsidP="00D9522A">
      <w:r w:rsidRPr="00E42E57">
        <w:t xml:space="preserve">Evaluation of the resident will be based on the ASHP activity learning experiences listed above. Each learning activity has a corresponding code following the experience which corresponds to the activity learning experience listed in </w:t>
      </w:r>
      <w:r w:rsidRPr="00E42E57">
        <w:rPr>
          <w:color w:val="333333"/>
        </w:rPr>
        <w:t>PharmAcademic</w:t>
      </w:r>
      <w:r w:rsidRPr="00E42E57">
        <w:t>®. During the orientation to the learning experience, the preceptor and the resident will review all the material contained in this learning experience description and sign a copy to be retained in the residents file.</w:t>
      </w:r>
    </w:p>
    <w:p w14:paraId="367273EA" w14:textId="77777777" w:rsidR="00D9522A" w:rsidRPr="00E42E57" w:rsidRDefault="00D9522A" w:rsidP="00D9522A"/>
    <w:p w14:paraId="5FD5AE66" w14:textId="77777777" w:rsidR="00D9522A" w:rsidRPr="00E42E57" w:rsidRDefault="00D9522A" w:rsidP="00D9522A">
      <w:r w:rsidRPr="00E42E57">
        <w:t xml:space="preserve">Immediate feedback on resident performance will be given as appropriate (i.e., student patient presentations and topic discussions).  As areas for improvement are identified, the primary preceptor may choose to customize the assessment strategy to assure appropriate follow-up in those areas.  </w:t>
      </w:r>
    </w:p>
    <w:p w14:paraId="23906974" w14:textId="77777777" w:rsidR="00D9522A" w:rsidRPr="00E42E57" w:rsidRDefault="00D9522A" w:rsidP="00D9522A">
      <w:pPr>
        <w:rPr>
          <w:rFonts w:ascii="Calibri" w:hAnsi="Calibri" w:cs="Calibri"/>
        </w:rPr>
      </w:pPr>
    </w:p>
    <w:p w14:paraId="762A5E47" w14:textId="77777777" w:rsidR="00D9522A" w:rsidRPr="00E42E57" w:rsidRDefault="00D9522A" w:rsidP="00D9522A">
      <w:r w:rsidRPr="00E42E57">
        <w:t xml:space="preserve">The preceptor will provide feedback verbally (formative) throughout the course of the learning experience and electronically (summative) via </w:t>
      </w:r>
      <w:r w:rsidRPr="00E42E57">
        <w:rPr>
          <w:color w:val="333333"/>
        </w:rPr>
        <w:t>PharmAcademic</w:t>
      </w:r>
      <w:r w:rsidRPr="00E42E57">
        <w:t>® at the conclusion of the experience. Once the resident is finished with all of the requirements for the experience, the preceptor and the resident will discuss the learning experience as a whole both formally and informally.  The resident will also be responsible for providing both formative and summative feedback at the conclusion of the experience.  All evaluations must be submitted by the conclusion of the learning experience.</w:t>
      </w:r>
    </w:p>
    <w:p w14:paraId="526FD383" w14:textId="77777777" w:rsidR="00D9522A" w:rsidRPr="00E42E57" w:rsidRDefault="00D9522A" w:rsidP="00D9522A"/>
    <w:p w14:paraId="27121D09" w14:textId="77777777" w:rsidR="00D9522A" w:rsidRPr="00E42E57" w:rsidRDefault="00D9522A" w:rsidP="00D9522A"/>
    <w:p w14:paraId="7CF0B0F1" w14:textId="7B547B4C" w:rsidR="00D9522A" w:rsidRDefault="00D9522A" w:rsidP="00D9522A">
      <w:pPr>
        <w:rPr>
          <w:i/>
        </w:rPr>
      </w:pPr>
      <w:r w:rsidRPr="00E42E57">
        <w:rPr>
          <w:i/>
        </w:rPr>
        <w:t>I have read and acknowledged the responsibilities of the learning experience.</w:t>
      </w:r>
    </w:p>
    <w:p w14:paraId="730AFD61" w14:textId="4173C83B" w:rsidR="00D9522A" w:rsidRDefault="00D9522A" w:rsidP="00D9522A">
      <w:pPr>
        <w:rPr>
          <w:i/>
        </w:rPr>
      </w:pPr>
    </w:p>
    <w:p w14:paraId="11D55D8C" w14:textId="77777777" w:rsidR="00D9522A" w:rsidRPr="00E42E57" w:rsidRDefault="00D9522A" w:rsidP="00D9522A">
      <w:pPr>
        <w:rPr>
          <w:i/>
        </w:rPr>
      </w:pPr>
    </w:p>
    <w:p w14:paraId="38C1031D" w14:textId="77777777" w:rsidR="00D9522A" w:rsidRPr="00E42E57" w:rsidRDefault="00D9522A" w:rsidP="00D9522A"/>
    <w:p w14:paraId="5FA14939" w14:textId="77777777" w:rsidR="00D9522A" w:rsidRPr="00E42E57" w:rsidRDefault="00D9522A" w:rsidP="00D9522A"/>
    <w:p w14:paraId="4982F9CE" w14:textId="77777777" w:rsidR="00D9522A" w:rsidRPr="00E42E57" w:rsidRDefault="00D9522A" w:rsidP="00D9522A"/>
    <w:p w14:paraId="40B63578" w14:textId="77777777" w:rsidR="00D9522A" w:rsidRPr="00E42E57" w:rsidRDefault="00D9522A" w:rsidP="00D9522A">
      <w:r w:rsidRPr="00E42E57">
        <w:t>______________________</w:t>
      </w:r>
      <w:r w:rsidRPr="00E42E57">
        <w:tab/>
      </w:r>
      <w:r w:rsidRPr="00E42E57">
        <w:tab/>
      </w:r>
      <w:r w:rsidRPr="00E42E57">
        <w:tab/>
      </w:r>
      <w:r w:rsidRPr="00E42E57">
        <w:tab/>
      </w:r>
      <w:r w:rsidRPr="00E42E57">
        <w:tab/>
        <w:t>______________________</w:t>
      </w:r>
    </w:p>
    <w:p w14:paraId="292E0A12" w14:textId="77777777" w:rsidR="00D9522A" w:rsidRDefault="00D9522A" w:rsidP="00D9522A">
      <w:r w:rsidRPr="00E42E57">
        <w:t>Pharmacy Resident</w:t>
      </w:r>
      <w:r w:rsidRPr="00E42E57">
        <w:tab/>
      </w:r>
      <w:r w:rsidRPr="00E42E57">
        <w:tab/>
      </w:r>
      <w:r w:rsidRPr="00E42E57">
        <w:tab/>
      </w:r>
      <w:r w:rsidRPr="00E42E57">
        <w:tab/>
      </w:r>
      <w:r w:rsidRPr="00E42E57">
        <w:tab/>
      </w:r>
      <w:r w:rsidRPr="00E42E57">
        <w:tab/>
        <w:t>Primary Preceptor</w:t>
      </w:r>
    </w:p>
    <w:p w14:paraId="628F3EDD" w14:textId="126C7B8F" w:rsidR="00EE01E8" w:rsidRPr="00D9522A" w:rsidRDefault="00EE01E8" w:rsidP="00D9522A"/>
    <w:sectPr w:rsidR="00EE01E8" w:rsidRPr="00D9522A"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057792B8" w:rsidR="00501B90" w:rsidRPr="00501B90" w:rsidRDefault="00D9522A">
          <w:pPr>
            <w:pStyle w:val="Footer"/>
            <w:tabs>
              <w:tab w:val="clear" w:pos="4680"/>
              <w:tab w:val="clear" w:pos="9360"/>
            </w:tabs>
            <w:rPr>
              <w:b/>
              <w:sz w:val="18"/>
              <w:szCs w:val="18"/>
            </w:rPr>
          </w:pPr>
          <w:r>
            <w:rPr>
              <w:b/>
              <w:sz w:val="18"/>
              <w:szCs w:val="18"/>
            </w:rPr>
            <w:t xml:space="preserve">Orientation </w:t>
          </w:r>
          <w:r w:rsidR="00501B90" w:rsidRPr="00501B90">
            <w:rPr>
              <w:b/>
              <w:sz w:val="18"/>
              <w:szCs w:val="18"/>
            </w:rPr>
            <w:t xml:space="preserve"> (PGY-2)</w:t>
          </w:r>
        </w:p>
        <w:p w14:paraId="76C8A834" w14:textId="3D9CC32E" w:rsidR="00C303AB" w:rsidRPr="00C303AB" w:rsidRDefault="00501B90" w:rsidP="000E4C7C">
          <w:pPr>
            <w:pStyle w:val="Footer"/>
            <w:tabs>
              <w:tab w:val="clear" w:pos="4680"/>
              <w:tab w:val="clear" w:pos="9360"/>
            </w:tabs>
            <w:rPr>
              <w:b/>
              <w:sz w:val="18"/>
              <w:szCs w:val="18"/>
            </w:rPr>
          </w:pPr>
          <w:r w:rsidRPr="00501B90">
            <w:rPr>
              <w:b/>
              <w:sz w:val="18"/>
              <w:szCs w:val="18"/>
            </w:rPr>
            <w:t xml:space="preserve">Updated </w:t>
          </w:r>
          <w:r w:rsidR="000E4C7C">
            <w:rPr>
              <w:b/>
              <w:sz w:val="18"/>
              <w:szCs w:val="18"/>
            </w:rPr>
            <w:t>June</w:t>
          </w:r>
          <w:r w:rsidR="00EB30E9">
            <w:rPr>
              <w:b/>
              <w:sz w:val="18"/>
              <w:szCs w:val="18"/>
            </w:rPr>
            <w:t xml:space="preserve"> 2020</w:t>
          </w:r>
        </w:p>
      </w:tc>
      <w:tc>
        <w:tcPr>
          <w:tcW w:w="4674" w:type="dxa"/>
          <w:shd w:val="clear" w:color="auto" w:fill="auto"/>
          <w:vAlign w:val="center"/>
        </w:tcPr>
        <w:p w14:paraId="0AE9BABF" w14:textId="6A6EC65B"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0E4C7C">
            <w:rPr>
              <w:b/>
              <w:caps/>
              <w:noProof/>
              <w:sz w:val="18"/>
              <w:szCs w:val="18"/>
            </w:rPr>
            <w:t>2</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3943914"/>
    <w:multiLevelType w:val="hybridMultilevel"/>
    <w:tmpl w:val="4A9A8B20"/>
    <w:lvl w:ilvl="0" w:tplc="04090001">
      <w:start w:val="23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70678D"/>
    <w:multiLevelType w:val="hybridMultilevel"/>
    <w:tmpl w:val="A924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4C4A93"/>
    <w:multiLevelType w:val="hybridMultilevel"/>
    <w:tmpl w:val="F1B2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2"/>
  </w:num>
  <w:num w:numId="4">
    <w:abstractNumId w:val="6"/>
  </w:num>
  <w:num w:numId="5">
    <w:abstractNumId w:val="10"/>
  </w:num>
  <w:num w:numId="6">
    <w:abstractNumId w:val="16"/>
  </w:num>
  <w:num w:numId="7">
    <w:abstractNumId w:val="3"/>
  </w:num>
  <w:num w:numId="8">
    <w:abstractNumId w:val="15"/>
  </w:num>
  <w:num w:numId="9">
    <w:abstractNumId w:val="5"/>
  </w:num>
  <w:num w:numId="10">
    <w:abstractNumId w:val="11"/>
  </w:num>
  <w:num w:numId="11">
    <w:abstractNumId w:val="13"/>
  </w:num>
  <w:num w:numId="12">
    <w:abstractNumId w:val="4"/>
  </w:num>
  <w:num w:numId="13">
    <w:abstractNumId w:val="1"/>
  </w:num>
  <w:num w:numId="14">
    <w:abstractNumId w:val="12"/>
  </w:num>
  <w:num w:numId="15">
    <w:abstractNumId w:val="8"/>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E4C7C"/>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4E4C0D"/>
    <w:rsid w:val="00501B90"/>
    <w:rsid w:val="0050749E"/>
    <w:rsid w:val="00560078"/>
    <w:rsid w:val="005B533A"/>
    <w:rsid w:val="005C2E28"/>
    <w:rsid w:val="005D04E5"/>
    <w:rsid w:val="005E3EC4"/>
    <w:rsid w:val="005F178D"/>
    <w:rsid w:val="00635E74"/>
    <w:rsid w:val="006A159E"/>
    <w:rsid w:val="006B5134"/>
    <w:rsid w:val="006F1B1C"/>
    <w:rsid w:val="007268C4"/>
    <w:rsid w:val="0074666E"/>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142FE"/>
    <w:rsid w:val="00C303AB"/>
    <w:rsid w:val="00C6621F"/>
    <w:rsid w:val="00C943FA"/>
    <w:rsid w:val="00CA78D6"/>
    <w:rsid w:val="00D31252"/>
    <w:rsid w:val="00D9522A"/>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E19C-2E01-4986-AEA1-01891D6FC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2020-06-27T21:25:00Z</dcterms:created>
  <dcterms:modified xsi:type="dcterms:W3CDTF">2020-06-27T21:25:00Z</dcterms:modified>
</cp:coreProperties>
</file>