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084A7" w14:textId="77777777" w:rsidR="00F14432" w:rsidRPr="002C6F39" w:rsidRDefault="00F14432" w:rsidP="00F14432">
      <w:pPr>
        <w:jc w:val="center"/>
        <w:rPr>
          <w:b/>
        </w:rPr>
      </w:pPr>
      <w:r w:rsidRPr="002C6F39">
        <w:rPr>
          <w:b/>
        </w:rPr>
        <w:t>PGY 2 Critical Care Pharmacy Residency Course Description</w:t>
      </w:r>
    </w:p>
    <w:p w14:paraId="7FA61AAC" w14:textId="77777777" w:rsidR="005C2E28" w:rsidRDefault="005C2E28" w:rsidP="00F90171">
      <w:pPr>
        <w:rPr>
          <w:b/>
        </w:rPr>
      </w:pPr>
    </w:p>
    <w:p w14:paraId="1A15D996" w14:textId="1E7A0FF8" w:rsidR="00F90171" w:rsidRPr="00F26E04" w:rsidRDefault="00F90171" w:rsidP="00F90171">
      <w:pPr>
        <w:rPr>
          <w:b/>
        </w:rPr>
      </w:pPr>
      <w:r w:rsidRPr="00F26E04">
        <w:rPr>
          <w:b/>
        </w:rPr>
        <w:t xml:space="preserve">Learning Experience Title: </w:t>
      </w:r>
      <w:r w:rsidR="00EC10DF">
        <w:rPr>
          <w:b/>
        </w:rPr>
        <w:t>Chief Resident</w:t>
      </w:r>
    </w:p>
    <w:p w14:paraId="53491B78" w14:textId="77777777" w:rsidR="00F90171" w:rsidRPr="00F26E04" w:rsidRDefault="00F90171" w:rsidP="00F90171">
      <w:pPr>
        <w:rPr>
          <w:b/>
        </w:rPr>
      </w:pPr>
    </w:p>
    <w:p w14:paraId="5FB66019" w14:textId="77777777" w:rsidR="009C6A0D" w:rsidRDefault="009C6A0D" w:rsidP="009C6A0D">
      <w:r w:rsidRPr="005063AF">
        <w:rPr>
          <w:b/>
        </w:rPr>
        <w:t>Preceptor:</w:t>
      </w:r>
    </w:p>
    <w:p w14:paraId="40786DE1" w14:textId="77777777" w:rsidR="00CC1865" w:rsidRDefault="00CC1865" w:rsidP="00CC1865">
      <w:r>
        <w:t>Abby Hughes, PharmD, BCCCP</w:t>
      </w:r>
    </w:p>
    <w:p w14:paraId="2AA2D737" w14:textId="1D0C1E70" w:rsidR="008B7644" w:rsidRDefault="00CC1865" w:rsidP="009C6A0D">
      <w:r>
        <w:t>Clinical Lead Pharmacist-Critical Care</w:t>
      </w:r>
    </w:p>
    <w:p w14:paraId="44272F5F" w14:textId="1959F38B" w:rsidR="008B7644" w:rsidRDefault="008B7644" w:rsidP="009C6A0D">
      <w:r>
        <w:t xml:space="preserve">PGY2 Critical Care Residency Program Director </w:t>
      </w:r>
    </w:p>
    <w:p w14:paraId="4AE5B330" w14:textId="0A387FA7" w:rsidR="009C6A0D" w:rsidRDefault="00EB30E9" w:rsidP="009C6A0D">
      <w:r>
        <w:t>816-404-</w:t>
      </w:r>
      <w:r w:rsidR="00CC1865">
        <w:t>6008</w:t>
      </w:r>
      <w:r w:rsidR="009C6A0D">
        <w:t>(office)</w:t>
      </w:r>
      <w:r w:rsidR="008B7644">
        <w:t xml:space="preserve"> </w:t>
      </w:r>
      <w:r w:rsidR="00CC1865">
        <w:t>913-972-1091</w:t>
      </w:r>
      <w:r w:rsidR="003D1C59">
        <w:t xml:space="preserve"> </w:t>
      </w:r>
      <w:r w:rsidR="009C6A0D">
        <w:t xml:space="preserve">(cell) </w:t>
      </w:r>
      <w:r w:rsidR="003D1C59">
        <w:t>816-</w:t>
      </w:r>
      <w:r w:rsidR="00CC1865">
        <w:t>374-8403</w:t>
      </w:r>
      <w:r w:rsidR="009C6A0D">
        <w:t xml:space="preserve"> (pager) </w:t>
      </w:r>
    </w:p>
    <w:p w14:paraId="5E671684" w14:textId="77777777" w:rsidR="00CC1865" w:rsidRDefault="00CC1865" w:rsidP="00CC1865">
      <w:r>
        <w:t>Abigail.hughes@tmcmed.org</w:t>
      </w:r>
    </w:p>
    <w:p w14:paraId="33D7B539" w14:textId="77777777" w:rsidR="00CC1865" w:rsidRDefault="00CC1865" w:rsidP="00CC1865">
      <w:pPr>
        <w:rPr>
          <w:b/>
        </w:rPr>
      </w:pPr>
    </w:p>
    <w:p w14:paraId="62E8D3DC" w14:textId="77777777" w:rsidR="00EC10DF" w:rsidRPr="002C6F39" w:rsidRDefault="00EC10DF" w:rsidP="00EC10DF">
      <w:pPr>
        <w:rPr>
          <w:color w:val="000000"/>
        </w:rPr>
      </w:pPr>
      <w:r w:rsidRPr="002C6F39">
        <w:rPr>
          <w:b/>
          <w:bCs/>
          <w:color w:val="000000"/>
        </w:rPr>
        <w:t> Purpose</w:t>
      </w:r>
    </w:p>
    <w:p w14:paraId="1914802E" w14:textId="77777777" w:rsidR="00EC10DF" w:rsidRPr="002C6F39" w:rsidRDefault="00EC10DF" w:rsidP="00EC10DF">
      <w:pPr>
        <w:ind w:left="90"/>
        <w:rPr>
          <w:color w:val="000000"/>
        </w:rPr>
      </w:pPr>
      <w:r w:rsidRPr="002C6F39">
        <w:rPr>
          <w:color w:val="000000"/>
        </w:rPr>
        <w:t>The chief resident learning experience is a required, longitudinal learning experience at Truman Medical Center. This experience serves as an opportunity for the PGY2 resident to develop professional and interpersonal skills and gain leadership experience.</w:t>
      </w:r>
      <w:r w:rsidRPr="00F439C2">
        <w:rPr>
          <w:color w:val="000000"/>
        </w:rPr>
        <w:t xml:space="preserve"> </w:t>
      </w:r>
      <w:r w:rsidRPr="002C6F39">
        <w:rPr>
          <w:color w:val="000000"/>
        </w:rPr>
        <w:t xml:space="preserve">This experience will expose the resident to additional responsibilities to improve management skills, conflict resolution, and interpersonal skills. This experience is also intended to create positive relationships amongst members of the residency class and pharmacy department. </w:t>
      </w:r>
    </w:p>
    <w:p w14:paraId="428635B5" w14:textId="77777777" w:rsidR="00EC10DF" w:rsidRPr="002C6F39" w:rsidRDefault="00EC10DF" w:rsidP="00EC10DF">
      <w:pPr>
        <w:ind w:left="90"/>
        <w:rPr>
          <w:color w:val="000000"/>
        </w:rPr>
      </w:pPr>
    </w:p>
    <w:p w14:paraId="31C74828" w14:textId="77777777" w:rsidR="00EC10DF" w:rsidRPr="002C6F39" w:rsidRDefault="00EC10DF" w:rsidP="00EC10DF">
      <w:pPr>
        <w:ind w:left="90"/>
        <w:rPr>
          <w:b/>
          <w:color w:val="000000"/>
        </w:rPr>
      </w:pPr>
      <w:r w:rsidRPr="002C6F39">
        <w:rPr>
          <w:b/>
          <w:color w:val="000000"/>
        </w:rPr>
        <w:t>Learning Experience Responsibilities</w:t>
      </w:r>
    </w:p>
    <w:p w14:paraId="4527F37C" w14:textId="77777777" w:rsidR="00EC10DF" w:rsidRPr="002C6F39" w:rsidRDefault="00EC10DF" w:rsidP="00EC10DF">
      <w:pPr>
        <w:ind w:left="90"/>
        <w:rPr>
          <w:color w:val="000000"/>
        </w:rPr>
      </w:pPr>
      <w:r w:rsidRPr="002C6F39">
        <w:rPr>
          <w:color w:val="000000"/>
        </w:rPr>
        <w:t>The chief resident responsibilities include but are not limited to the following:</w:t>
      </w:r>
    </w:p>
    <w:p w14:paraId="28B4A46E" w14:textId="77777777" w:rsidR="00EC10DF" w:rsidRPr="002C6F39" w:rsidRDefault="00EC10DF" w:rsidP="00EC10DF">
      <w:pPr>
        <w:pStyle w:val="ListParagraph"/>
        <w:numPr>
          <w:ilvl w:val="0"/>
          <w:numId w:val="15"/>
        </w:numPr>
        <w:rPr>
          <w:color w:val="000000"/>
        </w:rPr>
      </w:pPr>
      <w:r w:rsidRPr="002C6F39">
        <w:rPr>
          <w:color w:val="000000"/>
        </w:rPr>
        <w:t xml:space="preserve">Serve as a role model to the PGY1 residents, exhibiting professionalism and leadership throughout the year </w:t>
      </w:r>
    </w:p>
    <w:p w14:paraId="3514D545" w14:textId="77777777" w:rsidR="00EC10DF" w:rsidRPr="002C6F39" w:rsidRDefault="00EC10DF" w:rsidP="00EC10DF">
      <w:pPr>
        <w:pStyle w:val="ListParagraph"/>
        <w:numPr>
          <w:ilvl w:val="0"/>
          <w:numId w:val="15"/>
        </w:numPr>
        <w:rPr>
          <w:color w:val="000000"/>
        </w:rPr>
      </w:pPr>
      <w:r w:rsidRPr="002C6F39">
        <w:rPr>
          <w:color w:val="000000"/>
        </w:rPr>
        <w:t xml:space="preserve">July ID boot camp presentation </w:t>
      </w:r>
    </w:p>
    <w:p w14:paraId="7B469294" w14:textId="77777777" w:rsidR="00EC10DF" w:rsidRPr="002C6F39" w:rsidRDefault="00EC10DF" w:rsidP="00EC10DF">
      <w:pPr>
        <w:pStyle w:val="ListParagraph"/>
        <w:numPr>
          <w:ilvl w:val="0"/>
          <w:numId w:val="15"/>
        </w:numPr>
        <w:rPr>
          <w:color w:val="000000"/>
        </w:rPr>
      </w:pPr>
      <w:r w:rsidRPr="002C6F39">
        <w:rPr>
          <w:color w:val="000000"/>
        </w:rPr>
        <w:t xml:space="preserve">July meeting (Intro to residency) with PGY 1 residents </w:t>
      </w:r>
    </w:p>
    <w:p w14:paraId="5D7221CA" w14:textId="77777777" w:rsidR="00EC10DF" w:rsidRPr="002C6F39" w:rsidRDefault="00EC10DF" w:rsidP="00EC10DF">
      <w:pPr>
        <w:pStyle w:val="ListParagraph"/>
        <w:numPr>
          <w:ilvl w:val="0"/>
          <w:numId w:val="15"/>
        </w:numPr>
        <w:rPr>
          <w:color w:val="000000"/>
        </w:rPr>
      </w:pPr>
      <w:r w:rsidRPr="002C6F39">
        <w:rPr>
          <w:color w:val="000000"/>
        </w:rPr>
        <w:t>Coordinate scheduling of the following resident activities:</w:t>
      </w:r>
    </w:p>
    <w:p w14:paraId="7E871D1E" w14:textId="77777777" w:rsidR="00EC10DF" w:rsidRDefault="00EC10DF" w:rsidP="00EC10DF">
      <w:pPr>
        <w:pStyle w:val="ListParagraph"/>
        <w:numPr>
          <w:ilvl w:val="1"/>
          <w:numId w:val="15"/>
        </w:numPr>
        <w:rPr>
          <w:color w:val="000000"/>
        </w:rPr>
      </w:pPr>
      <w:r>
        <w:rPr>
          <w:color w:val="000000"/>
        </w:rPr>
        <w:t>Staff</w:t>
      </w:r>
      <w:r w:rsidRPr="002C6F39">
        <w:rPr>
          <w:color w:val="000000"/>
        </w:rPr>
        <w:t xml:space="preserve"> schedule</w:t>
      </w:r>
      <w:r>
        <w:rPr>
          <w:color w:val="000000"/>
        </w:rPr>
        <w:t>s</w:t>
      </w:r>
    </w:p>
    <w:p w14:paraId="207506D4" w14:textId="77777777" w:rsidR="00EC10DF" w:rsidRDefault="00EC10DF" w:rsidP="00EC10DF">
      <w:pPr>
        <w:pStyle w:val="ListParagraph"/>
        <w:numPr>
          <w:ilvl w:val="2"/>
          <w:numId w:val="15"/>
        </w:numPr>
        <w:rPr>
          <w:color w:val="000000"/>
        </w:rPr>
      </w:pPr>
      <w:r>
        <w:rPr>
          <w:color w:val="000000"/>
        </w:rPr>
        <w:t>Lunch coverage</w:t>
      </w:r>
    </w:p>
    <w:p w14:paraId="4493C177" w14:textId="77777777" w:rsidR="00EC10DF" w:rsidRDefault="00EC10DF" w:rsidP="00EC10DF">
      <w:pPr>
        <w:pStyle w:val="ListParagraph"/>
        <w:numPr>
          <w:ilvl w:val="2"/>
          <w:numId w:val="15"/>
        </w:numPr>
        <w:rPr>
          <w:color w:val="000000"/>
        </w:rPr>
      </w:pPr>
      <w:r>
        <w:rPr>
          <w:color w:val="000000"/>
        </w:rPr>
        <w:t>Weekend staffing</w:t>
      </w:r>
    </w:p>
    <w:p w14:paraId="7371D2E3" w14:textId="77777777" w:rsidR="00EC10DF" w:rsidRPr="002C6F39" w:rsidRDefault="00EC10DF" w:rsidP="00EC10DF">
      <w:pPr>
        <w:pStyle w:val="ListParagraph"/>
        <w:numPr>
          <w:ilvl w:val="2"/>
          <w:numId w:val="15"/>
        </w:numPr>
        <w:rPr>
          <w:color w:val="000000"/>
        </w:rPr>
      </w:pPr>
      <w:r>
        <w:rPr>
          <w:color w:val="000000"/>
        </w:rPr>
        <w:t xml:space="preserve">Holidays </w:t>
      </w:r>
      <w:r w:rsidRPr="002C6F39">
        <w:rPr>
          <w:color w:val="000000"/>
        </w:rPr>
        <w:t xml:space="preserve"> </w:t>
      </w:r>
    </w:p>
    <w:p w14:paraId="70B43471" w14:textId="77777777" w:rsidR="00EC10DF" w:rsidRPr="002C6F39" w:rsidRDefault="00EC10DF" w:rsidP="00EC10DF">
      <w:pPr>
        <w:pStyle w:val="ListParagraph"/>
        <w:numPr>
          <w:ilvl w:val="1"/>
          <w:numId w:val="15"/>
        </w:numPr>
        <w:rPr>
          <w:color w:val="000000"/>
        </w:rPr>
      </w:pPr>
      <w:r w:rsidRPr="002C6F39">
        <w:rPr>
          <w:color w:val="000000"/>
        </w:rPr>
        <w:t xml:space="preserve">PGY1 interview schedule (lunch, touring, and staffing) </w:t>
      </w:r>
    </w:p>
    <w:p w14:paraId="4C4CB522" w14:textId="77777777" w:rsidR="00EC10DF" w:rsidRDefault="00EC10DF" w:rsidP="00EC10DF">
      <w:pPr>
        <w:pStyle w:val="ListParagraph"/>
        <w:numPr>
          <w:ilvl w:val="1"/>
          <w:numId w:val="15"/>
        </w:numPr>
        <w:rPr>
          <w:color w:val="000000"/>
        </w:rPr>
      </w:pPr>
      <w:r>
        <w:rPr>
          <w:color w:val="000000"/>
        </w:rPr>
        <w:t>Scheduling and completion of program-wide activities for incoming residency class</w:t>
      </w:r>
    </w:p>
    <w:p w14:paraId="35CDAA5A" w14:textId="77777777" w:rsidR="00EC10DF" w:rsidRPr="00EB6B7C" w:rsidRDefault="00EC10DF" w:rsidP="00EC10DF">
      <w:pPr>
        <w:pStyle w:val="ListParagraph"/>
        <w:numPr>
          <w:ilvl w:val="2"/>
          <w:numId w:val="15"/>
        </w:numPr>
        <w:rPr>
          <w:color w:val="000000"/>
        </w:rPr>
      </w:pPr>
      <w:r>
        <w:rPr>
          <w:color w:val="000000"/>
        </w:rPr>
        <w:t>P</w:t>
      </w:r>
      <w:r w:rsidRPr="002C6F39">
        <w:rPr>
          <w:color w:val="000000"/>
        </w:rPr>
        <w:t>harmacy newsletter (The Dose)</w:t>
      </w:r>
    </w:p>
    <w:p w14:paraId="2E0CFFBC" w14:textId="77777777" w:rsidR="00EC10DF" w:rsidRDefault="00EC10DF" w:rsidP="00EC10DF">
      <w:pPr>
        <w:pStyle w:val="ListParagraph"/>
        <w:numPr>
          <w:ilvl w:val="2"/>
          <w:numId w:val="15"/>
        </w:numPr>
        <w:rPr>
          <w:color w:val="000000"/>
        </w:rPr>
      </w:pPr>
      <w:r>
        <w:rPr>
          <w:color w:val="000000"/>
        </w:rPr>
        <w:t xml:space="preserve">P&amp;T minutes </w:t>
      </w:r>
    </w:p>
    <w:p w14:paraId="43BB9C40" w14:textId="77777777" w:rsidR="00EC10DF" w:rsidRDefault="00EC10DF" w:rsidP="00EC10DF">
      <w:pPr>
        <w:pStyle w:val="ListParagraph"/>
        <w:numPr>
          <w:ilvl w:val="2"/>
          <w:numId w:val="15"/>
        </w:numPr>
        <w:rPr>
          <w:color w:val="000000"/>
        </w:rPr>
      </w:pPr>
      <w:r>
        <w:rPr>
          <w:color w:val="000000"/>
        </w:rPr>
        <w:t xml:space="preserve">Dental/family residency </w:t>
      </w:r>
    </w:p>
    <w:p w14:paraId="0F660BA2" w14:textId="77777777" w:rsidR="00EC10DF" w:rsidRDefault="00EC10DF" w:rsidP="00EC10DF">
      <w:pPr>
        <w:pStyle w:val="ListParagraph"/>
        <w:numPr>
          <w:ilvl w:val="2"/>
          <w:numId w:val="15"/>
        </w:numPr>
        <w:rPr>
          <w:color w:val="000000"/>
        </w:rPr>
      </w:pPr>
      <w:r>
        <w:rPr>
          <w:color w:val="000000"/>
        </w:rPr>
        <w:t xml:space="preserve">Resident volunteering </w:t>
      </w:r>
    </w:p>
    <w:p w14:paraId="58D90B29" w14:textId="77777777" w:rsidR="00EC10DF" w:rsidRDefault="00EC10DF" w:rsidP="00EC10DF">
      <w:pPr>
        <w:pStyle w:val="ListParagraph"/>
        <w:numPr>
          <w:ilvl w:val="2"/>
          <w:numId w:val="15"/>
        </w:numPr>
        <w:rPr>
          <w:color w:val="000000"/>
        </w:rPr>
      </w:pPr>
      <w:r>
        <w:rPr>
          <w:color w:val="000000"/>
        </w:rPr>
        <w:t xml:space="preserve">Clinical controversies </w:t>
      </w:r>
      <w:r w:rsidRPr="002C6F39">
        <w:rPr>
          <w:color w:val="000000"/>
        </w:rPr>
        <w:t xml:space="preserve"> </w:t>
      </w:r>
    </w:p>
    <w:p w14:paraId="198DFE69" w14:textId="77777777" w:rsidR="00EC10DF" w:rsidRDefault="00EC10DF" w:rsidP="00EC10DF">
      <w:pPr>
        <w:pStyle w:val="ListParagraph"/>
        <w:numPr>
          <w:ilvl w:val="2"/>
          <w:numId w:val="15"/>
        </w:numPr>
        <w:rPr>
          <w:color w:val="000000"/>
        </w:rPr>
      </w:pPr>
      <w:r>
        <w:rPr>
          <w:color w:val="000000"/>
        </w:rPr>
        <w:t xml:space="preserve">Committee involvement </w:t>
      </w:r>
    </w:p>
    <w:p w14:paraId="7765C5CD" w14:textId="77777777" w:rsidR="00EC10DF" w:rsidRDefault="00EC10DF" w:rsidP="00EC10DF">
      <w:pPr>
        <w:pStyle w:val="ListParagraph"/>
        <w:numPr>
          <w:ilvl w:val="2"/>
          <w:numId w:val="15"/>
        </w:numPr>
        <w:rPr>
          <w:color w:val="000000"/>
        </w:rPr>
      </w:pPr>
      <w:r>
        <w:rPr>
          <w:color w:val="000000"/>
        </w:rPr>
        <w:t>Code blue response (PGY1 residents)</w:t>
      </w:r>
    </w:p>
    <w:p w14:paraId="16624A81" w14:textId="77777777" w:rsidR="00EC10DF" w:rsidRDefault="00EC10DF" w:rsidP="00EC10DF">
      <w:pPr>
        <w:pStyle w:val="ListParagraph"/>
        <w:numPr>
          <w:ilvl w:val="1"/>
          <w:numId w:val="15"/>
        </w:numPr>
        <w:rPr>
          <w:color w:val="000000"/>
        </w:rPr>
      </w:pPr>
      <w:r>
        <w:rPr>
          <w:color w:val="000000"/>
        </w:rPr>
        <w:t xml:space="preserve">Organization of activities via program-wide document </w:t>
      </w:r>
    </w:p>
    <w:p w14:paraId="53D0E23F" w14:textId="77777777" w:rsidR="00EC10DF" w:rsidRDefault="00EC10DF" w:rsidP="00EC10DF">
      <w:pPr>
        <w:pStyle w:val="ListParagraph"/>
        <w:numPr>
          <w:ilvl w:val="2"/>
          <w:numId w:val="15"/>
        </w:numPr>
        <w:rPr>
          <w:color w:val="000000"/>
        </w:rPr>
      </w:pPr>
      <w:r>
        <w:rPr>
          <w:color w:val="000000"/>
        </w:rPr>
        <w:t>Include all of the above in addition to:</w:t>
      </w:r>
    </w:p>
    <w:p w14:paraId="0F846B3F" w14:textId="77777777" w:rsidR="00EC10DF" w:rsidRDefault="00EC10DF" w:rsidP="00EC10DF">
      <w:pPr>
        <w:pStyle w:val="ListParagraph"/>
        <w:numPr>
          <w:ilvl w:val="3"/>
          <w:numId w:val="15"/>
        </w:numPr>
        <w:rPr>
          <w:color w:val="000000"/>
        </w:rPr>
      </w:pPr>
      <w:r>
        <w:rPr>
          <w:color w:val="000000"/>
        </w:rPr>
        <w:t>Medication Use Evaluation topic</w:t>
      </w:r>
    </w:p>
    <w:p w14:paraId="661319FD" w14:textId="77777777" w:rsidR="00EC10DF" w:rsidRDefault="00EC10DF" w:rsidP="00EC10DF">
      <w:pPr>
        <w:pStyle w:val="ListParagraph"/>
        <w:numPr>
          <w:ilvl w:val="3"/>
          <w:numId w:val="15"/>
        </w:numPr>
        <w:rPr>
          <w:color w:val="000000"/>
        </w:rPr>
      </w:pPr>
      <w:r>
        <w:rPr>
          <w:color w:val="000000"/>
        </w:rPr>
        <w:t>Research title</w:t>
      </w:r>
    </w:p>
    <w:p w14:paraId="05D8F168" w14:textId="77777777" w:rsidR="00EC10DF" w:rsidRPr="002C6F39" w:rsidRDefault="00EC10DF" w:rsidP="00EC10DF">
      <w:pPr>
        <w:pStyle w:val="ListParagraph"/>
        <w:numPr>
          <w:ilvl w:val="3"/>
          <w:numId w:val="15"/>
        </w:numPr>
        <w:rPr>
          <w:color w:val="000000"/>
        </w:rPr>
      </w:pPr>
      <w:r>
        <w:rPr>
          <w:color w:val="000000"/>
        </w:rPr>
        <w:t xml:space="preserve">Policy/protocol/order set assigned </w:t>
      </w:r>
    </w:p>
    <w:p w14:paraId="6EB1C4DF" w14:textId="77777777" w:rsidR="00EC10DF" w:rsidRPr="002C6F39" w:rsidRDefault="00EC10DF" w:rsidP="00EC10DF">
      <w:pPr>
        <w:pStyle w:val="ListParagraph"/>
        <w:numPr>
          <w:ilvl w:val="0"/>
          <w:numId w:val="15"/>
        </w:numPr>
        <w:rPr>
          <w:color w:val="000000"/>
        </w:rPr>
      </w:pPr>
      <w:r w:rsidRPr="002C6F39">
        <w:rPr>
          <w:color w:val="000000"/>
        </w:rPr>
        <w:t xml:space="preserve">Midyear pre-meeting with PGY1 residents </w:t>
      </w:r>
    </w:p>
    <w:p w14:paraId="34DA91A7" w14:textId="77777777" w:rsidR="00EC10DF" w:rsidRPr="002C6F39" w:rsidRDefault="00EC10DF" w:rsidP="00EC10DF">
      <w:pPr>
        <w:pStyle w:val="ListParagraph"/>
        <w:numPr>
          <w:ilvl w:val="0"/>
          <w:numId w:val="15"/>
        </w:numPr>
        <w:rPr>
          <w:color w:val="000000"/>
        </w:rPr>
      </w:pPr>
      <w:r w:rsidRPr="002C6F39">
        <w:rPr>
          <w:color w:val="000000"/>
        </w:rPr>
        <w:t xml:space="preserve">Coordination of travel requests and registration for Residency Research Day, Midyear and </w:t>
      </w:r>
      <w:bookmarkStart w:id="0" w:name="_GoBack"/>
      <w:bookmarkEnd w:id="0"/>
      <w:r w:rsidRPr="002C6F39">
        <w:rPr>
          <w:color w:val="000000"/>
        </w:rPr>
        <w:t>MPRC</w:t>
      </w:r>
    </w:p>
    <w:p w14:paraId="40128A36" w14:textId="77777777" w:rsidR="00EC10DF" w:rsidRPr="002C6F39" w:rsidRDefault="00EC10DF" w:rsidP="00EC10DF">
      <w:pPr>
        <w:pStyle w:val="ListParagraph"/>
        <w:numPr>
          <w:ilvl w:val="0"/>
          <w:numId w:val="15"/>
        </w:numPr>
        <w:rPr>
          <w:color w:val="000000"/>
        </w:rPr>
      </w:pPr>
      <w:r w:rsidRPr="002C6F39">
        <w:rPr>
          <w:color w:val="000000"/>
        </w:rPr>
        <w:lastRenderedPageBreak/>
        <w:t>Serve as liaison between residents and the Residency Advisory Committee</w:t>
      </w:r>
    </w:p>
    <w:p w14:paraId="224D0B97" w14:textId="77777777" w:rsidR="00EC10DF" w:rsidRDefault="00EC10DF" w:rsidP="00EC10DF">
      <w:pPr>
        <w:pStyle w:val="ListParagraph"/>
        <w:numPr>
          <w:ilvl w:val="0"/>
          <w:numId w:val="15"/>
        </w:numPr>
        <w:rPr>
          <w:color w:val="000000"/>
        </w:rPr>
      </w:pPr>
      <w:r w:rsidRPr="00675B9D">
        <w:rPr>
          <w:color w:val="000000"/>
        </w:rPr>
        <w:t>Coordinate critical care grand rounds (one per quarter)</w:t>
      </w:r>
    </w:p>
    <w:p w14:paraId="00C26EC2" w14:textId="77777777" w:rsidR="00EC10DF" w:rsidRPr="00675B9D" w:rsidRDefault="00EC10DF" w:rsidP="00EC10DF">
      <w:pPr>
        <w:pStyle w:val="ListParagraph"/>
        <w:numPr>
          <w:ilvl w:val="0"/>
          <w:numId w:val="15"/>
        </w:numPr>
        <w:rPr>
          <w:color w:val="000000"/>
        </w:rPr>
      </w:pPr>
      <w:r>
        <w:rPr>
          <w:color w:val="000000"/>
        </w:rPr>
        <w:t xml:space="preserve">Coordinate and send out ICU quarterly update including updates from monthly best practice reviews </w:t>
      </w:r>
    </w:p>
    <w:p w14:paraId="64041F98" w14:textId="77777777" w:rsidR="00EC10DF" w:rsidRDefault="00EC10DF" w:rsidP="00EC10DF">
      <w:pPr>
        <w:rPr>
          <w:color w:val="000000"/>
        </w:rPr>
      </w:pPr>
    </w:p>
    <w:p w14:paraId="3CC7BF1B" w14:textId="1D0ADA29" w:rsidR="001720BF" w:rsidRDefault="00EC10DF" w:rsidP="00EC10DF">
      <w:pPr>
        <w:rPr>
          <w:b/>
          <w:bCs/>
          <w:color w:val="000000"/>
        </w:rPr>
      </w:pPr>
      <w:r>
        <w:rPr>
          <w:b/>
          <w:bCs/>
          <w:color w:val="000000"/>
        </w:rPr>
        <w:t>Goals and Objectives to be covered and evaluated</w:t>
      </w:r>
      <w:r w:rsidR="001720BF">
        <w:rPr>
          <w:b/>
          <w:bCs/>
          <w:color w:val="000000"/>
        </w:rPr>
        <w:t>:</w:t>
      </w:r>
    </w:p>
    <w:p w14:paraId="4D54786C" w14:textId="4B8EB522" w:rsidR="00EC10DF" w:rsidRPr="002C6F39" w:rsidRDefault="00EC10DF" w:rsidP="00EC10DF">
      <w:pPr>
        <w:rPr>
          <w:color w:val="000000"/>
        </w:rPr>
      </w:pPr>
      <w:r>
        <w:rPr>
          <w:b/>
          <w:bCs/>
          <w:color w:val="000000"/>
        </w:rPr>
        <w:t xml:space="preserve">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60"/>
        <w:gridCol w:w="1303"/>
        <w:gridCol w:w="3397"/>
      </w:tblGrid>
      <w:tr w:rsidR="001720BF" w:rsidRPr="002C6F39" w14:paraId="41411C13" w14:textId="77777777" w:rsidTr="001720BF">
        <w:trPr>
          <w:trHeight w:val="368"/>
        </w:trPr>
        <w:tc>
          <w:tcPr>
            <w:tcW w:w="53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C9CA39F" w14:textId="77777777" w:rsidR="001720BF" w:rsidRPr="002C6F39" w:rsidRDefault="001720BF" w:rsidP="006F31B5">
            <w:r w:rsidRPr="002C6F39">
              <w:rPr>
                <w:b/>
                <w:bCs/>
              </w:rPr>
              <w:t>                                     Activity</w:t>
            </w:r>
          </w:p>
        </w:tc>
        <w:tc>
          <w:tcPr>
            <w:tcW w:w="1303" w:type="dxa"/>
            <w:tcBorders>
              <w:top w:val="single" w:sz="8" w:space="0" w:color="auto"/>
              <w:left w:val="nil"/>
              <w:bottom w:val="single" w:sz="8" w:space="0" w:color="auto"/>
              <w:right w:val="nil"/>
            </w:tcBorders>
          </w:tcPr>
          <w:p w14:paraId="47017E12" w14:textId="77777777" w:rsidR="001720BF" w:rsidRPr="002C6F39" w:rsidRDefault="001720BF" w:rsidP="006F31B5">
            <w:pPr>
              <w:jc w:val="center"/>
              <w:rPr>
                <w:b/>
                <w:bCs/>
              </w:rPr>
            </w:pPr>
          </w:p>
        </w:tc>
        <w:tc>
          <w:tcPr>
            <w:tcW w:w="3397" w:type="dxa"/>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03DE32D" w14:textId="4002D065" w:rsidR="001720BF" w:rsidRPr="002C6F39" w:rsidRDefault="001720BF" w:rsidP="006F31B5">
            <w:pPr>
              <w:jc w:val="center"/>
            </w:pPr>
            <w:r w:rsidRPr="002C6F39">
              <w:rPr>
                <w:b/>
                <w:bCs/>
              </w:rPr>
              <w:t>Objectives Covered</w:t>
            </w:r>
          </w:p>
        </w:tc>
      </w:tr>
      <w:tr w:rsidR="001720BF" w:rsidRPr="002C6F39" w14:paraId="6459D8E1" w14:textId="77777777" w:rsidTr="001720BF">
        <w:trPr>
          <w:trHeight w:val="1690"/>
        </w:trPr>
        <w:tc>
          <w:tcPr>
            <w:tcW w:w="53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9DEDFDD" w14:textId="77777777" w:rsidR="001720BF" w:rsidRPr="002C6F39" w:rsidRDefault="001720BF" w:rsidP="00EC10DF">
            <w:pPr>
              <w:pStyle w:val="ListParagraph"/>
              <w:numPr>
                <w:ilvl w:val="0"/>
                <w:numId w:val="15"/>
              </w:numPr>
              <w:rPr>
                <w:color w:val="000000"/>
              </w:rPr>
            </w:pPr>
            <w:r w:rsidRPr="002C6F39">
              <w:rPr>
                <w:color w:val="000000"/>
              </w:rPr>
              <w:t xml:space="preserve">Serve as a role model to the PGY1 residents, exhibiting professionalism and leadership throughout the year </w:t>
            </w:r>
          </w:p>
          <w:p w14:paraId="763F0EC1" w14:textId="77777777" w:rsidR="001720BF" w:rsidRPr="002C6F39" w:rsidRDefault="001720BF" w:rsidP="00EC10DF">
            <w:pPr>
              <w:pStyle w:val="ListParagraph"/>
              <w:numPr>
                <w:ilvl w:val="0"/>
                <w:numId w:val="15"/>
              </w:numPr>
              <w:rPr>
                <w:color w:val="000000"/>
              </w:rPr>
            </w:pPr>
            <w:r w:rsidRPr="002C6F39">
              <w:rPr>
                <w:color w:val="000000"/>
              </w:rPr>
              <w:t xml:space="preserve">July meeting (Intro to residency) with PGY 1 residents </w:t>
            </w:r>
          </w:p>
          <w:p w14:paraId="6C25EA7C" w14:textId="77777777" w:rsidR="001720BF" w:rsidRPr="002C6F39" w:rsidRDefault="001720BF" w:rsidP="00EC10DF">
            <w:pPr>
              <w:pStyle w:val="ListParagraph"/>
              <w:numPr>
                <w:ilvl w:val="0"/>
                <w:numId w:val="15"/>
              </w:numPr>
              <w:rPr>
                <w:color w:val="000000"/>
              </w:rPr>
            </w:pPr>
            <w:r w:rsidRPr="002C6F39">
              <w:rPr>
                <w:color w:val="000000"/>
              </w:rPr>
              <w:t>Coordinate scheduling of the following resident activities:</w:t>
            </w:r>
          </w:p>
          <w:p w14:paraId="05A1984D" w14:textId="77777777" w:rsidR="001720BF" w:rsidRDefault="001720BF" w:rsidP="00EC10DF">
            <w:pPr>
              <w:pStyle w:val="ListParagraph"/>
              <w:numPr>
                <w:ilvl w:val="1"/>
                <w:numId w:val="15"/>
              </w:numPr>
              <w:rPr>
                <w:color w:val="000000"/>
              </w:rPr>
            </w:pPr>
            <w:r>
              <w:rPr>
                <w:color w:val="000000"/>
              </w:rPr>
              <w:t>Staff</w:t>
            </w:r>
            <w:r w:rsidRPr="002C6F39">
              <w:rPr>
                <w:color w:val="000000"/>
              </w:rPr>
              <w:t xml:space="preserve"> schedule</w:t>
            </w:r>
            <w:r>
              <w:rPr>
                <w:color w:val="000000"/>
              </w:rPr>
              <w:t>s</w:t>
            </w:r>
          </w:p>
          <w:p w14:paraId="235C8230" w14:textId="77777777" w:rsidR="001720BF" w:rsidRDefault="001720BF" w:rsidP="00EC10DF">
            <w:pPr>
              <w:pStyle w:val="ListParagraph"/>
              <w:numPr>
                <w:ilvl w:val="2"/>
                <w:numId w:val="15"/>
              </w:numPr>
              <w:rPr>
                <w:color w:val="000000"/>
              </w:rPr>
            </w:pPr>
            <w:r>
              <w:rPr>
                <w:color w:val="000000"/>
              </w:rPr>
              <w:t>Lunch coverage</w:t>
            </w:r>
          </w:p>
          <w:p w14:paraId="2EFB3877" w14:textId="77777777" w:rsidR="001720BF" w:rsidRDefault="001720BF" w:rsidP="00EC10DF">
            <w:pPr>
              <w:pStyle w:val="ListParagraph"/>
              <w:numPr>
                <w:ilvl w:val="2"/>
                <w:numId w:val="15"/>
              </w:numPr>
              <w:rPr>
                <w:color w:val="000000"/>
              </w:rPr>
            </w:pPr>
            <w:r>
              <w:rPr>
                <w:color w:val="000000"/>
              </w:rPr>
              <w:t>Weekend staffing</w:t>
            </w:r>
          </w:p>
          <w:p w14:paraId="76B1FC94" w14:textId="77777777" w:rsidR="001720BF" w:rsidRPr="002C6F39" w:rsidRDefault="001720BF" w:rsidP="00EC10DF">
            <w:pPr>
              <w:pStyle w:val="ListParagraph"/>
              <w:numPr>
                <w:ilvl w:val="2"/>
                <w:numId w:val="15"/>
              </w:numPr>
              <w:rPr>
                <w:color w:val="000000"/>
              </w:rPr>
            </w:pPr>
            <w:r>
              <w:rPr>
                <w:color w:val="000000"/>
              </w:rPr>
              <w:t xml:space="preserve">Holidays </w:t>
            </w:r>
            <w:r w:rsidRPr="002C6F39">
              <w:rPr>
                <w:color w:val="000000"/>
              </w:rPr>
              <w:t xml:space="preserve"> </w:t>
            </w:r>
          </w:p>
          <w:p w14:paraId="2533A152" w14:textId="77777777" w:rsidR="001720BF" w:rsidRPr="002C6F39" w:rsidRDefault="001720BF" w:rsidP="00EC10DF">
            <w:pPr>
              <w:pStyle w:val="ListParagraph"/>
              <w:numPr>
                <w:ilvl w:val="1"/>
                <w:numId w:val="15"/>
              </w:numPr>
              <w:rPr>
                <w:color w:val="000000"/>
              </w:rPr>
            </w:pPr>
            <w:r w:rsidRPr="002C6F39">
              <w:rPr>
                <w:color w:val="000000"/>
              </w:rPr>
              <w:t xml:space="preserve">PGY1 interview schedule (lunch, touring, and staffing) </w:t>
            </w:r>
          </w:p>
          <w:p w14:paraId="48C07B77" w14:textId="77777777" w:rsidR="001720BF" w:rsidRDefault="001720BF" w:rsidP="00EC10DF">
            <w:pPr>
              <w:pStyle w:val="ListParagraph"/>
              <w:numPr>
                <w:ilvl w:val="1"/>
                <w:numId w:val="15"/>
              </w:numPr>
              <w:rPr>
                <w:color w:val="000000"/>
              </w:rPr>
            </w:pPr>
            <w:r>
              <w:rPr>
                <w:color w:val="000000"/>
              </w:rPr>
              <w:t>Scheduling and completion of program-wide activities for incoming residency class</w:t>
            </w:r>
          </w:p>
          <w:p w14:paraId="1B4D524F" w14:textId="77777777" w:rsidR="001720BF" w:rsidRPr="00EB6B7C" w:rsidRDefault="001720BF" w:rsidP="00EC10DF">
            <w:pPr>
              <w:pStyle w:val="ListParagraph"/>
              <w:numPr>
                <w:ilvl w:val="2"/>
                <w:numId w:val="15"/>
              </w:numPr>
              <w:rPr>
                <w:color w:val="000000"/>
              </w:rPr>
            </w:pPr>
            <w:r>
              <w:rPr>
                <w:color w:val="000000"/>
              </w:rPr>
              <w:t>P</w:t>
            </w:r>
            <w:r w:rsidRPr="002C6F39">
              <w:rPr>
                <w:color w:val="000000"/>
              </w:rPr>
              <w:t>harmacy newsletter (The Dose)</w:t>
            </w:r>
          </w:p>
          <w:p w14:paraId="005B5E85" w14:textId="77777777" w:rsidR="001720BF" w:rsidRDefault="001720BF" w:rsidP="00EC10DF">
            <w:pPr>
              <w:pStyle w:val="ListParagraph"/>
              <w:numPr>
                <w:ilvl w:val="2"/>
                <w:numId w:val="15"/>
              </w:numPr>
              <w:rPr>
                <w:color w:val="000000"/>
              </w:rPr>
            </w:pPr>
            <w:r>
              <w:rPr>
                <w:color w:val="000000"/>
              </w:rPr>
              <w:t xml:space="preserve">P&amp;T minutes </w:t>
            </w:r>
          </w:p>
          <w:p w14:paraId="4C45C22C" w14:textId="77777777" w:rsidR="001720BF" w:rsidRDefault="001720BF" w:rsidP="00EC10DF">
            <w:pPr>
              <w:pStyle w:val="ListParagraph"/>
              <w:numPr>
                <w:ilvl w:val="2"/>
                <w:numId w:val="15"/>
              </w:numPr>
              <w:rPr>
                <w:color w:val="000000"/>
              </w:rPr>
            </w:pPr>
            <w:r>
              <w:rPr>
                <w:color w:val="000000"/>
              </w:rPr>
              <w:t xml:space="preserve">Dental/family residency </w:t>
            </w:r>
          </w:p>
          <w:p w14:paraId="2B36F21F" w14:textId="77777777" w:rsidR="001720BF" w:rsidRDefault="001720BF" w:rsidP="00EC10DF">
            <w:pPr>
              <w:pStyle w:val="ListParagraph"/>
              <w:numPr>
                <w:ilvl w:val="2"/>
                <w:numId w:val="15"/>
              </w:numPr>
              <w:rPr>
                <w:color w:val="000000"/>
              </w:rPr>
            </w:pPr>
            <w:r>
              <w:rPr>
                <w:color w:val="000000"/>
              </w:rPr>
              <w:t xml:space="preserve">Resident volunteering </w:t>
            </w:r>
          </w:p>
          <w:p w14:paraId="75F352D8" w14:textId="77777777" w:rsidR="001720BF" w:rsidRDefault="001720BF" w:rsidP="00EC10DF">
            <w:pPr>
              <w:pStyle w:val="ListParagraph"/>
              <w:numPr>
                <w:ilvl w:val="2"/>
                <w:numId w:val="15"/>
              </w:numPr>
              <w:rPr>
                <w:color w:val="000000"/>
              </w:rPr>
            </w:pPr>
            <w:r>
              <w:rPr>
                <w:color w:val="000000"/>
              </w:rPr>
              <w:t xml:space="preserve">Clinical controversies </w:t>
            </w:r>
            <w:r w:rsidRPr="002C6F39">
              <w:rPr>
                <w:color w:val="000000"/>
              </w:rPr>
              <w:t xml:space="preserve"> </w:t>
            </w:r>
          </w:p>
          <w:p w14:paraId="12BE2288" w14:textId="77777777" w:rsidR="001720BF" w:rsidRDefault="001720BF" w:rsidP="00EC10DF">
            <w:pPr>
              <w:pStyle w:val="ListParagraph"/>
              <w:numPr>
                <w:ilvl w:val="2"/>
                <w:numId w:val="15"/>
              </w:numPr>
              <w:rPr>
                <w:color w:val="000000"/>
              </w:rPr>
            </w:pPr>
            <w:r>
              <w:rPr>
                <w:color w:val="000000"/>
              </w:rPr>
              <w:t xml:space="preserve">Committee involvement </w:t>
            </w:r>
          </w:p>
          <w:p w14:paraId="233F6AD7" w14:textId="77777777" w:rsidR="001720BF" w:rsidRDefault="001720BF" w:rsidP="00EC10DF">
            <w:pPr>
              <w:pStyle w:val="ListParagraph"/>
              <w:numPr>
                <w:ilvl w:val="2"/>
                <w:numId w:val="15"/>
              </w:numPr>
              <w:rPr>
                <w:color w:val="000000"/>
              </w:rPr>
            </w:pPr>
            <w:r>
              <w:rPr>
                <w:color w:val="000000"/>
              </w:rPr>
              <w:t>Code blue response (PGY1 residents)</w:t>
            </w:r>
          </w:p>
          <w:p w14:paraId="52F26CC2" w14:textId="77777777" w:rsidR="001720BF" w:rsidRDefault="001720BF" w:rsidP="00EC10DF">
            <w:pPr>
              <w:pStyle w:val="ListParagraph"/>
              <w:numPr>
                <w:ilvl w:val="1"/>
                <w:numId w:val="15"/>
              </w:numPr>
              <w:rPr>
                <w:color w:val="000000"/>
              </w:rPr>
            </w:pPr>
            <w:r>
              <w:rPr>
                <w:color w:val="000000"/>
              </w:rPr>
              <w:t xml:space="preserve">Organization of activities via program-wide document </w:t>
            </w:r>
          </w:p>
          <w:p w14:paraId="39432039" w14:textId="77777777" w:rsidR="001720BF" w:rsidRDefault="001720BF" w:rsidP="00EC10DF">
            <w:pPr>
              <w:pStyle w:val="ListParagraph"/>
              <w:numPr>
                <w:ilvl w:val="2"/>
                <w:numId w:val="15"/>
              </w:numPr>
              <w:rPr>
                <w:color w:val="000000"/>
              </w:rPr>
            </w:pPr>
            <w:r>
              <w:rPr>
                <w:color w:val="000000"/>
              </w:rPr>
              <w:t>Include all of the above in addition to:</w:t>
            </w:r>
          </w:p>
          <w:p w14:paraId="5F380B10" w14:textId="77777777" w:rsidR="001720BF" w:rsidRDefault="001720BF" w:rsidP="00EC10DF">
            <w:pPr>
              <w:pStyle w:val="ListParagraph"/>
              <w:numPr>
                <w:ilvl w:val="3"/>
                <w:numId w:val="15"/>
              </w:numPr>
              <w:rPr>
                <w:color w:val="000000"/>
              </w:rPr>
            </w:pPr>
            <w:r>
              <w:rPr>
                <w:color w:val="000000"/>
              </w:rPr>
              <w:t>Medication Use Evaluation topic</w:t>
            </w:r>
          </w:p>
          <w:p w14:paraId="040D5549" w14:textId="77777777" w:rsidR="001720BF" w:rsidRDefault="001720BF" w:rsidP="00EC10DF">
            <w:pPr>
              <w:pStyle w:val="ListParagraph"/>
              <w:numPr>
                <w:ilvl w:val="3"/>
                <w:numId w:val="15"/>
              </w:numPr>
              <w:rPr>
                <w:color w:val="000000"/>
              </w:rPr>
            </w:pPr>
            <w:r>
              <w:rPr>
                <w:color w:val="000000"/>
              </w:rPr>
              <w:t>Research title</w:t>
            </w:r>
          </w:p>
          <w:p w14:paraId="0E8D7749" w14:textId="77777777" w:rsidR="001720BF" w:rsidRPr="002C6F39" w:rsidRDefault="001720BF" w:rsidP="00EC10DF">
            <w:pPr>
              <w:pStyle w:val="ListParagraph"/>
              <w:numPr>
                <w:ilvl w:val="3"/>
                <w:numId w:val="15"/>
              </w:numPr>
              <w:rPr>
                <w:color w:val="000000"/>
              </w:rPr>
            </w:pPr>
            <w:r>
              <w:rPr>
                <w:color w:val="000000"/>
              </w:rPr>
              <w:t xml:space="preserve">Policy/protocol/order set assigned </w:t>
            </w:r>
          </w:p>
          <w:p w14:paraId="6425F3F9" w14:textId="77777777" w:rsidR="001720BF" w:rsidRPr="002C6F39" w:rsidRDefault="001720BF" w:rsidP="00EC10DF">
            <w:pPr>
              <w:pStyle w:val="ListParagraph"/>
              <w:numPr>
                <w:ilvl w:val="0"/>
                <w:numId w:val="15"/>
              </w:numPr>
              <w:rPr>
                <w:color w:val="000000"/>
              </w:rPr>
            </w:pPr>
            <w:r w:rsidRPr="002C6F39">
              <w:rPr>
                <w:color w:val="000000"/>
              </w:rPr>
              <w:t xml:space="preserve">Midyear pre-meeting with PGY1 residents </w:t>
            </w:r>
          </w:p>
          <w:p w14:paraId="1F0D8A1A" w14:textId="77777777" w:rsidR="001720BF" w:rsidRPr="002C6F39" w:rsidRDefault="001720BF" w:rsidP="00EC10DF">
            <w:pPr>
              <w:pStyle w:val="ListParagraph"/>
              <w:numPr>
                <w:ilvl w:val="0"/>
                <w:numId w:val="15"/>
              </w:numPr>
              <w:rPr>
                <w:color w:val="000000"/>
              </w:rPr>
            </w:pPr>
            <w:r w:rsidRPr="002C6F39">
              <w:rPr>
                <w:color w:val="000000"/>
              </w:rPr>
              <w:t>Coordination of travel requests and registration for Residency Research Day, Midyear and MPRC</w:t>
            </w:r>
          </w:p>
          <w:p w14:paraId="6577B779" w14:textId="77777777" w:rsidR="001720BF" w:rsidRPr="002C6F39" w:rsidRDefault="001720BF" w:rsidP="00EC10DF">
            <w:pPr>
              <w:pStyle w:val="ListParagraph"/>
              <w:numPr>
                <w:ilvl w:val="0"/>
                <w:numId w:val="15"/>
              </w:numPr>
              <w:rPr>
                <w:color w:val="000000"/>
              </w:rPr>
            </w:pPr>
            <w:r w:rsidRPr="002C6F39">
              <w:rPr>
                <w:color w:val="000000"/>
              </w:rPr>
              <w:lastRenderedPageBreak/>
              <w:t>Serve as liaison between residents and the Residency Advisory Committee</w:t>
            </w:r>
          </w:p>
          <w:p w14:paraId="3CC6875B" w14:textId="77777777" w:rsidR="001720BF" w:rsidRPr="00531074" w:rsidRDefault="001720BF" w:rsidP="00EC10DF">
            <w:pPr>
              <w:pStyle w:val="ListParagraph"/>
              <w:numPr>
                <w:ilvl w:val="0"/>
                <w:numId w:val="15"/>
              </w:numPr>
              <w:rPr>
                <w:color w:val="000000"/>
              </w:rPr>
            </w:pPr>
            <w:r>
              <w:rPr>
                <w:color w:val="000000"/>
              </w:rPr>
              <w:t xml:space="preserve">Coordinate and send out ICU quarterly update including updates from monthly best practice reviews </w:t>
            </w:r>
          </w:p>
        </w:tc>
        <w:tc>
          <w:tcPr>
            <w:tcW w:w="1303" w:type="dxa"/>
            <w:tcBorders>
              <w:top w:val="single" w:sz="8" w:space="0" w:color="auto"/>
              <w:left w:val="nil"/>
              <w:bottom w:val="single" w:sz="8" w:space="0" w:color="auto"/>
              <w:right w:val="nil"/>
            </w:tcBorders>
          </w:tcPr>
          <w:p w14:paraId="192E76C3" w14:textId="77777777" w:rsidR="001720BF" w:rsidRPr="002C6F39" w:rsidRDefault="001720BF" w:rsidP="006F31B5">
            <w:pPr>
              <w:spacing w:line="20" w:lineRule="atLeast"/>
            </w:pPr>
          </w:p>
        </w:tc>
        <w:tc>
          <w:tcPr>
            <w:tcW w:w="339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7438534" w14:textId="1F4E480A" w:rsidR="001720BF" w:rsidRPr="002C6F39" w:rsidRDefault="001720BF" w:rsidP="006F31B5">
            <w:pPr>
              <w:spacing w:line="20" w:lineRule="atLeast"/>
            </w:pPr>
            <w:r w:rsidRPr="002C6F39">
              <w:t>E.2.1.1</w:t>
            </w:r>
          </w:p>
        </w:tc>
      </w:tr>
      <w:tr w:rsidR="001720BF" w:rsidRPr="002C6F39" w14:paraId="64A0444D" w14:textId="77777777" w:rsidTr="001720BF">
        <w:trPr>
          <w:trHeight w:val="20"/>
        </w:trPr>
        <w:tc>
          <w:tcPr>
            <w:tcW w:w="53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5E22A65" w14:textId="77777777" w:rsidR="001720BF" w:rsidRPr="002C6F39" w:rsidRDefault="001720BF" w:rsidP="00EC10DF">
            <w:pPr>
              <w:pStyle w:val="ListParagraph"/>
              <w:numPr>
                <w:ilvl w:val="0"/>
                <w:numId w:val="15"/>
              </w:numPr>
              <w:rPr>
                <w:color w:val="000000"/>
              </w:rPr>
            </w:pPr>
            <w:r>
              <w:rPr>
                <w:color w:val="000000"/>
              </w:rPr>
              <w:t xml:space="preserve">Prepare and deliver the </w:t>
            </w:r>
            <w:r w:rsidRPr="002C6F39">
              <w:rPr>
                <w:color w:val="000000"/>
              </w:rPr>
              <w:t xml:space="preserve">July ID boot camp presentation </w:t>
            </w:r>
            <w:r>
              <w:rPr>
                <w:color w:val="000000"/>
              </w:rPr>
              <w:t xml:space="preserve">for students, residents, and pharmacy staff </w:t>
            </w:r>
          </w:p>
          <w:p w14:paraId="30814BCB" w14:textId="77777777" w:rsidR="001720BF" w:rsidRPr="00580A0D" w:rsidRDefault="001720BF" w:rsidP="006F31B5">
            <w:pPr>
              <w:rPr>
                <w:color w:val="000000"/>
              </w:rPr>
            </w:pPr>
          </w:p>
        </w:tc>
        <w:tc>
          <w:tcPr>
            <w:tcW w:w="1303" w:type="dxa"/>
            <w:tcBorders>
              <w:top w:val="single" w:sz="8" w:space="0" w:color="auto"/>
              <w:left w:val="nil"/>
              <w:bottom w:val="single" w:sz="8" w:space="0" w:color="auto"/>
              <w:right w:val="nil"/>
            </w:tcBorders>
          </w:tcPr>
          <w:p w14:paraId="4DE06383" w14:textId="77777777" w:rsidR="001720BF" w:rsidRDefault="001720BF" w:rsidP="006F31B5">
            <w:pPr>
              <w:spacing w:line="20" w:lineRule="atLeast"/>
            </w:pPr>
          </w:p>
        </w:tc>
        <w:tc>
          <w:tcPr>
            <w:tcW w:w="339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B45822F" w14:textId="268EC320" w:rsidR="001720BF" w:rsidRPr="002C6F39" w:rsidRDefault="001720BF" w:rsidP="006F31B5">
            <w:pPr>
              <w:spacing w:line="20" w:lineRule="atLeast"/>
            </w:pPr>
            <w:r>
              <w:t>R4.2.1</w:t>
            </w:r>
          </w:p>
        </w:tc>
      </w:tr>
      <w:tr w:rsidR="001720BF" w:rsidRPr="002C6F39" w14:paraId="229FCF49" w14:textId="77777777" w:rsidTr="001720BF">
        <w:trPr>
          <w:trHeight w:val="907"/>
        </w:trPr>
        <w:tc>
          <w:tcPr>
            <w:tcW w:w="53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369284B" w14:textId="77777777" w:rsidR="001720BF" w:rsidRPr="005E603C" w:rsidRDefault="001720BF" w:rsidP="00EC10DF">
            <w:pPr>
              <w:pStyle w:val="ListParagraph"/>
              <w:numPr>
                <w:ilvl w:val="0"/>
                <w:numId w:val="15"/>
              </w:numPr>
              <w:rPr>
                <w:color w:val="000000"/>
              </w:rPr>
            </w:pPr>
            <w:r>
              <w:rPr>
                <w:color w:val="000000"/>
              </w:rPr>
              <w:t>Coordinate critical care grand rounds (one per quarter)</w:t>
            </w:r>
          </w:p>
        </w:tc>
        <w:tc>
          <w:tcPr>
            <w:tcW w:w="1303" w:type="dxa"/>
            <w:tcBorders>
              <w:top w:val="single" w:sz="8" w:space="0" w:color="auto"/>
              <w:left w:val="nil"/>
              <w:bottom w:val="single" w:sz="8" w:space="0" w:color="auto"/>
              <w:right w:val="nil"/>
            </w:tcBorders>
          </w:tcPr>
          <w:p w14:paraId="752B63B7" w14:textId="77777777" w:rsidR="001720BF" w:rsidRDefault="001720BF" w:rsidP="006F31B5">
            <w:pPr>
              <w:spacing w:line="20" w:lineRule="atLeast"/>
            </w:pPr>
          </w:p>
        </w:tc>
        <w:tc>
          <w:tcPr>
            <w:tcW w:w="339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43BBBC9" w14:textId="34567DF8" w:rsidR="001720BF" w:rsidRPr="002C6F39" w:rsidRDefault="001720BF" w:rsidP="006F31B5">
            <w:pPr>
              <w:spacing w:line="20" w:lineRule="atLeast"/>
            </w:pPr>
            <w:r>
              <w:t>R4.1.1</w:t>
            </w:r>
          </w:p>
        </w:tc>
      </w:tr>
    </w:tbl>
    <w:p w14:paraId="67DFDF03" w14:textId="77777777" w:rsidR="00EC10DF" w:rsidRDefault="00EC10DF" w:rsidP="00EC10DF">
      <w:pPr>
        <w:pStyle w:val="ListParagraph"/>
        <w:ind w:left="1440"/>
        <w:rPr>
          <w:color w:val="000000"/>
        </w:rPr>
      </w:pPr>
    </w:p>
    <w:p w14:paraId="46962C47" w14:textId="77777777" w:rsidR="00EC10DF" w:rsidRPr="002C6F39" w:rsidRDefault="00EC10DF" w:rsidP="00EC10DF">
      <w:pPr>
        <w:rPr>
          <w:b/>
          <w:bCs/>
          <w:color w:val="000000"/>
        </w:rPr>
      </w:pPr>
      <w:r w:rsidRPr="002C6F39">
        <w:rPr>
          <w:b/>
          <w:bCs/>
          <w:color w:val="000000"/>
        </w:rPr>
        <w:t>Requirements of the Learning Experience</w:t>
      </w:r>
    </w:p>
    <w:p w14:paraId="0A2D725E" w14:textId="77777777" w:rsidR="00EC10DF" w:rsidRPr="002C6F39" w:rsidRDefault="00EC10DF" w:rsidP="00EC10DF">
      <w:pPr>
        <w:pStyle w:val="ListParagraph"/>
        <w:numPr>
          <w:ilvl w:val="0"/>
          <w:numId w:val="16"/>
        </w:numPr>
        <w:rPr>
          <w:color w:val="000000"/>
        </w:rPr>
      </w:pPr>
      <w:r w:rsidRPr="002C6F39">
        <w:rPr>
          <w:color w:val="000000"/>
        </w:rPr>
        <w:t xml:space="preserve">The resident is expected to complete the activities listed above in addition to any tasks requested by members of the Residency Advisory Committee throughout the year. </w:t>
      </w:r>
    </w:p>
    <w:p w14:paraId="0C893A12" w14:textId="77777777" w:rsidR="00EC10DF" w:rsidRPr="002C6F39" w:rsidRDefault="00EC10DF" w:rsidP="00EC10DF">
      <w:pPr>
        <w:pStyle w:val="ListParagraph"/>
        <w:numPr>
          <w:ilvl w:val="0"/>
          <w:numId w:val="16"/>
        </w:numPr>
        <w:rPr>
          <w:color w:val="000000"/>
        </w:rPr>
      </w:pPr>
      <w:r w:rsidRPr="002C6F39">
        <w:rPr>
          <w:bCs/>
          <w:color w:val="000000"/>
        </w:rPr>
        <w:t>Preceptor Interaction</w:t>
      </w:r>
    </w:p>
    <w:p w14:paraId="078587AE" w14:textId="77777777" w:rsidR="00EC10DF" w:rsidRPr="002C6F39" w:rsidRDefault="00EC10DF" w:rsidP="00EC10DF">
      <w:pPr>
        <w:pStyle w:val="ListParagraph"/>
        <w:numPr>
          <w:ilvl w:val="1"/>
          <w:numId w:val="16"/>
        </w:numPr>
        <w:rPr>
          <w:color w:val="000000"/>
        </w:rPr>
      </w:pPr>
      <w:r w:rsidRPr="002C6F39">
        <w:rPr>
          <w:color w:val="000000"/>
        </w:rPr>
        <w:t>Review of this role will occur on a regular basis through brief monthly RPD/resident meetings and as needed.</w:t>
      </w:r>
    </w:p>
    <w:p w14:paraId="28B2C819" w14:textId="77777777" w:rsidR="00EC10DF" w:rsidRDefault="00EC10DF" w:rsidP="00EC10DF">
      <w:pPr>
        <w:rPr>
          <w:b/>
          <w:bCs/>
          <w:color w:val="000000"/>
        </w:rPr>
      </w:pPr>
      <w:r w:rsidRPr="002C6F39">
        <w:rPr>
          <w:b/>
          <w:bCs/>
          <w:color w:val="000000"/>
        </w:rPr>
        <w:t> </w:t>
      </w:r>
    </w:p>
    <w:p w14:paraId="6DB32F29" w14:textId="3C967DE4" w:rsidR="00EC10DF" w:rsidRPr="002C6F39" w:rsidRDefault="00EC10DF" w:rsidP="00EC10DF">
      <w:r w:rsidRPr="002C6F39">
        <w:rPr>
          <w:b/>
        </w:rPr>
        <w:t>Method of evaluation</w:t>
      </w:r>
      <w:r w:rsidRPr="002C6F39">
        <w:t>:</w:t>
      </w:r>
    </w:p>
    <w:p w14:paraId="0E252E0F" w14:textId="77777777" w:rsidR="00EC10DF" w:rsidRPr="002C6F39" w:rsidRDefault="00EC10DF" w:rsidP="00EC10DF">
      <w:r w:rsidRPr="002C6F39">
        <w:t xml:space="preserve">Evaluation of the resident will be based on the ASHP activity learning experiences listed above. Each learning activity has a corresponding code following the experience which corresponds to the activity learning experience listed in </w:t>
      </w:r>
      <w:r w:rsidRPr="002C6F39">
        <w:rPr>
          <w:color w:val="333333"/>
        </w:rPr>
        <w:t>PharmAcademic</w:t>
      </w:r>
      <w:r w:rsidRPr="002C6F39">
        <w:t>®. During the orientation to the learning experience, the preceptor and the resident will review all the material contained in this learning experience description and sign a copy to be retained in the residents file.</w:t>
      </w:r>
    </w:p>
    <w:p w14:paraId="4364BA29" w14:textId="77777777" w:rsidR="00EC10DF" w:rsidRPr="002C6F39" w:rsidRDefault="00EC10DF" w:rsidP="00EC10DF">
      <w:r w:rsidRPr="002C6F39">
        <w:t xml:space="preserve">The preceptor will provide feedback verbally (formative) throughout the course of the learning experience and electronically (summative) via </w:t>
      </w:r>
      <w:r w:rsidRPr="002C6F39">
        <w:rPr>
          <w:color w:val="333333"/>
        </w:rPr>
        <w:t>PharmAcademic</w:t>
      </w:r>
      <w:r w:rsidRPr="002C6F39">
        <w:t>® at the conclusion of the experience. Once the resident is finished with all of the requirements for the experience, the preceptor and the resident will discuss the learning experience as a whole both formally and informally.  The resident will also be responsible for providing both formative and summative feedback at the conclusion of the experience.  All evaluations must be submitted by the conclusion of the learning experience.</w:t>
      </w:r>
    </w:p>
    <w:p w14:paraId="0A468007" w14:textId="77777777" w:rsidR="00EC10DF" w:rsidRPr="002C6F39" w:rsidRDefault="00EC10DF" w:rsidP="00EC10DF"/>
    <w:p w14:paraId="4DAA4ACF" w14:textId="77B65F06" w:rsidR="00EC10DF" w:rsidRDefault="00EC10DF" w:rsidP="00EC10DF">
      <w:pPr>
        <w:rPr>
          <w:i/>
        </w:rPr>
      </w:pPr>
      <w:r w:rsidRPr="002C6F39">
        <w:rPr>
          <w:i/>
        </w:rPr>
        <w:t>I have read and acknowledged the responsibilities of the learning experience.</w:t>
      </w:r>
    </w:p>
    <w:p w14:paraId="2A6860D8" w14:textId="3981C488" w:rsidR="001720BF" w:rsidRDefault="001720BF" w:rsidP="00EC10DF">
      <w:pPr>
        <w:rPr>
          <w:i/>
        </w:rPr>
      </w:pPr>
    </w:p>
    <w:p w14:paraId="425D76BD" w14:textId="19E3F321" w:rsidR="001720BF" w:rsidRDefault="001720BF" w:rsidP="00EC10DF">
      <w:pPr>
        <w:rPr>
          <w:i/>
        </w:rPr>
      </w:pPr>
    </w:p>
    <w:p w14:paraId="58F2F36E" w14:textId="77777777" w:rsidR="001720BF" w:rsidRPr="002C6F39" w:rsidRDefault="001720BF" w:rsidP="00EC10DF">
      <w:pPr>
        <w:rPr>
          <w:i/>
        </w:rPr>
      </w:pPr>
    </w:p>
    <w:p w14:paraId="1904BEDE" w14:textId="77777777" w:rsidR="00EC10DF" w:rsidRPr="002C6F39" w:rsidRDefault="00EC10DF" w:rsidP="00EC10DF"/>
    <w:p w14:paraId="661B120E" w14:textId="77777777" w:rsidR="00EC10DF" w:rsidRPr="002C6F39" w:rsidRDefault="00EC10DF" w:rsidP="00EC10DF">
      <w:pPr>
        <w:rPr>
          <w:color w:val="000000"/>
        </w:rPr>
      </w:pPr>
      <w:r w:rsidRPr="002C6F39">
        <w:rPr>
          <w:color w:val="000000"/>
        </w:rPr>
        <w:t>______________________                                               _____________________</w:t>
      </w:r>
    </w:p>
    <w:p w14:paraId="3DADBAEA" w14:textId="0F1F4FF7" w:rsidR="00EC10DF" w:rsidRPr="0093430A" w:rsidRDefault="00EC10DF" w:rsidP="00EC10DF">
      <w:pPr>
        <w:rPr>
          <w:color w:val="000000"/>
        </w:rPr>
      </w:pPr>
      <w:r w:rsidRPr="002C6F39">
        <w:rPr>
          <w:color w:val="000000"/>
        </w:rPr>
        <w:t>Pharmacy Resident                                                            </w:t>
      </w:r>
      <w:r w:rsidR="0093430A">
        <w:rPr>
          <w:color w:val="000000"/>
        </w:rPr>
        <w:t>Primary Preceptor</w:t>
      </w:r>
    </w:p>
    <w:p w14:paraId="628F3EDD" w14:textId="2C64386C" w:rsidR="00EE01E8" w:rsidRPr="00F26E04" w:rsidRDefault="00EE01E8" w:rsidP="00EC10DF"/>
    <w:sectPr w:rsidR="00EE01E8" w:rsidRPr="00F26E04" w:rsidSect="00DB45CB">
      <w:footerReference w:type="default" r:id="rId8"/>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2168EB94" w:rsidR="00501B90" w:rsidRPr="00501B90" w:rsidRDefault="00EC10DF">
          <w:pPr>
            <w:pStyle w:val="Footer"/>
            <w:tabs>
              <w:tab w:val="clear" w:pos="4680"/>
              <w:tab w:val="clear" w:pos="9360"/>
            </w:tabs>
            <w:rPr>
              <w:b/>
              <w:sz w:val="18"/>
              <w:szCs w:val="18"/>
            </w:rPr>
          </w:pPr>
          <w:r>
            <w:rPr>
              <w:b/>
              <w:sz w:val="18"/>
              <w:szCs w:val="18"/>
            </w:rPr>
            <w:t>Chief Resident</w:t>
          </w:r>
          <w:r w:rsidR="00501B90" w:rsidRPr="00501B90">
            <w:rPr>
              <w:b/>
              <w:sz w:val="18"/>
              <w:szCs w:val="18"/>
            </w:rPr>
            <w:t xml:space="preserve"> (PGY-2)</w:t>
          </w:r>
        </w:p>
        <w:p w14:paraId="76C8A834" w14:textId="7F8A93A8" w:rsidR="00C303AB" w:rsidRPr="00C303AB" w:rsidRDefault="00501B90" w:rsidP="00CC1865">
          <w:pPr>
            <w:pStyle w:val="Footer"/>
            <w:tabs>
              <w:tab w:val="clear" w:pos="4680"/>
              <w:tab w:val="clear" w:pos="9360"/>
            </w:tabs>
            <w:rPr>
              <w:b/>
              <w:sz w:val="18"/>
              <w:szCs w:val="18"/>
            </w:rPr>
          </w:pPr>
          <w:r w:rsidRPr="00501B90">
            <w:rPr>
              <w:b/>
              <w:sz w:val="18"/>
              <w:szCs w:val="18"/>
            </w:rPr>
            <w:t xml:space="preserve">Updated </w:t>
          </w:r>
          <w:r w:rsidR="00CC1865">
            <w:rPr>
              <w:b/>
              <w:sz w:val="18"/>
              <w:szCs w:val="18"/>
            </w:rPr>
            <w:t xml:space="preserve">June </w:t>
          </w:r>
          <w:r w:rsidR="00EB30E9">
            <w:rPr>
              <w:b/>
              <w:sz w:val="18"/>
              <w:szCs w:val="18"/>
            </w:rPr>
            <w:t>2020</w:t>
          </w:r>
        </w:p>
      </w:tc>
      <w:tc>
        <w:tcPr>
          <w:tcW w:w="4674" w:type="dxa"/>
          <w:shd w:val="clear" w:color="auto" w:fill="auto"/>
          <w:vAlign w:val="center"/>
        </w:tcPr>
        <w:p w14:paraId="0AE9BABF" w14:textId="0CC0E675"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CC1865">
            <w:rPr>
              <w:b/>
              <w:caps/>
              <w:noProof/>
              <w:sz w:val="18"/>
              <w:szCs w:val="18"/>
            </w:rPr>
            <w:t>1</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7012DC"/>
    <w:multiLevelType w:val="hybridMultilevel"/>
    <w:tmpl w:val="64F2E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DD70909"/>
    <w:multiLevelType w:val="hybridMultilevel"/>
    <w:tmpl w:val="04D84348"/>
    <w:lvl w:ilvl="0" w:tplc="04090001">
      <w:start w:val="1"/>
      <w:numFmt w:val="bullet"/>
      <w:lvlText w:val=""/>
      <w:lvlJc w:val="left"/>
      <w:pPr>
        <w:ind w:left="870" w:hanging="360"/>
      </w:pPr>
      <w:rPr>
        <w:rFonts w:ascii="Symbol" w:hAnsi="Symbol" w:hint="default"/>
      </w:rPr>
    </w:lvl>
    <w:lvl w:ilvl="1" w:tplc="04090003">
      <w:start w:val="1"/>
      <w:numFmt w:val="bullet"/>
      <w:lvlText w:val="o"/>
      <w:lvlJc w:val="left"/>
      <w:pPr>
        <w:ind w:left="1590" w:hanging="360"/>
      </w:pPr>
      <w:rPr>
        <w:rFonts w:ascii="Courier New" w:hAnsi="Courier New" w:cs="Courier New" w:hint="default"/>
      </w:rPr>
    </w:lvl>
    <w:lvl w:ilvl="2" w:tplc="04090005">
      <w:start w:val="1"/>
      <w:numFmt w:val="bullet"/>
      <w:lvlText w:val=""/>
      <w:lvlJc w:val="left"/>
      <w:pPr>
        <w:ind w:left="2310" w:hanging="360"/>
      </w:pPr>
      <w:rPr>
        <w:rFonts w:ascii="Wingdings" w:hAnsi="Wingdings" w:hint="default"/>
      </w:rPr>
    </w:lvl>
    <w:lvl w:ilvl="3" w:tplc="0409000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
  </w:num>
  <w:num w:numId="4">
    <w:abstractNumId w:val="7"/>
  </w:num>
  <w:num w:numId="5">
    <w:abstractNumId w:val="9"/>
  </w:num>
  <w:num w:numId="6">
    <w:abstractNumId w:val="15"/>
  </w:num>
  <w:num w:numId="7">
    <w:abstractNumId w:val="3"/>
  </w:num>
  <w:num w:numId="8">
    <w:abstractNumId w:val="14"/>
  </w:num>
  <w:num w:numId="9">
    <w:abstractNumId w:val="6"/>
  </w:num>
  <w:num w:numId="10">
    <w:abstractNumId w:val="10"/>
  </w:num>
  <w:num w:numId="11">
    <w:abstractNumId w:val="12"/>
  </w:num>
  <w:num w:numId="12">
    <w:abstractNumId w:val="4"/>
  </w:num>
  <w:num w:numId="13">
    <w:abstractNumId w:val="1"/>
  </w:num>
  <w:num w:numId="14">
    <w:abstractNumId w:val="11"/>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3683D"/>
    <w:rsid w:val="001720BF"/>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07800"/>
    <w:rsid w:val="007268C4"/>
    <w:rsid w:val="0074666E"/>
    <w:rsid w:val="0084279C"/>
    <w:rsid w:val="0086418B"/>
    <w:rsid w:val="008B756F"/>
    <w:rsid w:val="008B7644"/>
    <w:rsid w:val="008C381F"/>
    <w:rsid w:val="00906E76"/>
    <w:rsid w:val="0093430A"/>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3532B"/>
    <w:rsid w:val="00B469EC"/>
    <w:rsid w:val="00B84E5F"/>
    <w:rsid w:val="00B94451"/>
    <w:rsid w:val="00BB30DB"/>
    <w:rsid w:val="00C142FE"/>
    <w:rsid w:val="00C303AB"/>
    <w:rsid w:val="00C6621F"/>
    <w:rsid w:val="00C943FA"/>
    <w:rsid w:val="00CA78D6"/>
    <w:rsid w:val="00CC1865"/>
    <w:rsid w:val="00D31252"/>
    <w:rsid w:val="00DB45CB"/>
    <w:rsid w:val="00DF3D8A"/>
    <w:rsid w:val="00E32807"/>
    <w:rsid w:val="00E41CDE"/>
    <w:rsid w:val="00E54695"/>
    <w:rsid w:val="00E55D50"/>
    <w:rsid w:val="00E80870"/>
    <w:rsid w:val="00E870AF"/>
    <w:rsid w:val="00EB30E9"/>
    <w:rsid w:val="00EC10DF"/>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2DD7108"/>
  <w15:docId w15:val="{9B30794C-1CED-4FDF-A7BB-C75EA6FF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2B9B1-1C87-4C5C-8600-AF69618A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2020-06-27T21:22:00Z</dcterms:created>
  <dcterms:modified xsi:type="dcterms:W3CDTF">2020-06-27T21:22:00Z</dcterms:modified>
</cp:coreProperties>
</file>