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44B1" w14:textId="65793192" w:rsidR="00CA63B3" w:rsidRPr="00CA63B3" w:rsidRDefault="0039505A" w:rsidP="006C64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05A">
        <w:rPr>
          <w:rFonts w:ascii="Times New Roman" w:hAnsi="Times New Roman" w:cs="Times New Roman"/>
          <w:b/>
          <w:sz w:val="28"/>
        </w:rPr>
        <w:t>8013</w:t>
      </w:r>
      <w:r w:rsidR="00162BC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D0785">
        <w:rPr>
          <w:rFonts w:ascii="Times New Roman" w:hAnsi="Times New Roman" w:cs="Times New Roman"/>
          <w:b/>
          <w:sz w:val="28"/>
        </w:rPr>
        <w:t>IMPACTO</w:t>
      </w:r>
      <w:r w:rsidR="00BD0785" w:rsidRPr="00BD0785">
        <w:rPr>
          <w:rFonts w:ascii="Times New Roman" w:hAnsi="Times New Roman" w:cs="Times New Roman"/>
          <w:b/>
          <w:sz w:val="28"/>
        </w:rPr>
        <w:t xml:space="preserve"> DE TRATAMIENTOS EN LA MICROBIOTA NATIVA, COLOR Y CRISTALIZACIÓN DE AZÚCARES DE </w:t>
      </w:r>
      <w:proofErr w:type="spellStart"/>
      <w:r w:rsidR="00690558" w:rsidRPr="00690558">
        <w:rPr>
          <w:rFonts w:ascii="Times New Roman" w:hAnsi="Times New Roman" w:cs="Times New Roman"/>
          <w:b/>
          <w:i/>
          <w:iCs/>
          <w:sz w:val="28"/>
        </w:rPr>
        <w:t>Vitis</w:t>
      </w:r>
      <w:proofErr w:type="spellEnd"/>
      <w:r w:rsidR="00690558" w:rsidRPr="00690558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="00690558" w:rsidRPr="00690558">
        <w:rPr>
          <w:rFonts w:ascii="Times New Roman" w:hAnsi="Times New Roman" w:cs="Times New Roman"/>
          <w:b/>
          <w:i/>
          <w:iCs/>
          <w:sz w:val="28"/>
        </w:rPr>
        <w:t>vinifera</w:t>
      </w:r>
      <w:proofErr w:type="spellEnd"/>
      <w:r w:rsidR="00690558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690558" w:rsidRPr="00690558">
        <w:rPr>
          <w:rFonts w:ascii="Times New Roman" w:hAnsi="Times New Roman" w:cs="Times New Roman"/>
          <w:b/>
          <w:sz w:val="28"/>
        </w:rPr>
        <w:t>L</w:t>
      </w:r>
      <w:r w:rsidR="00CA63B3" w:rsidRPr="00CA63B3">
        <w:rPr>
          <w:rFonts w:ascii="Times New Roman" w:hAnsi="Times New Roman" w:cs="Times New Roman"/>
          <w:b/>
          <w:sz w:val="28"/>
        </w:rPr>
        <w:t>.</w:t>
      </w:r>
    </w:p>
    <w:p w14:paraId="572764E9" w14:textId="77777777" w:rsidR="00CA63B3" w:rsidRPr="006D59A8" w:rsidRDefault="00CA63B3" w:rsidP="00BE3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718C9" w14:textId="0B9A366E" w:rsidR="00BD0785" w:rsidRPr="00CA63B3" w:rsidRDefault="00CA63B3" w:rsidP="00BE392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A63B3">
        <w:rPr>
          <w:rFonts w:ascii="Times New Roman" w:hAnsi="Times New Roman" w:cs="Times New Roman"/>
          <w:sz w:val="24"/>
        </w:rPr>
        <w:t>P</w:t>
      </w:r>
      <w:r w:rsidR="00690558">
        <w:rPr>
          <w:rFonts w:ascii="Times New Roman" w:hAnsi="Times New Roman" w:cs="Times New Roman"/>
          <w:sz w:val="24"/>
        </w:rPr>
        <w:t>é</w:t>
      </w:r>
      <w:r w:rsidRPr="00CA63B3">
        <w:rPr>
          <w:rFonts w:ascii="Times New Roman" w:hAnsi="Times New Roman" w:cs="Times New Roman"/>
          <w:sz w:val="24"/>
        </w:rPr>
        <w:t>rez</w:t>
      </w:r>
      <w:r>
        <w:rPr>
          <w:rFonts w:ascii="Times New Roman" w:hAnsi="Times New Roman" w:cs="Times New Roman"/>
          <w:sz w:val="24"/>
        </w:rPr>
        <w:t>,</w:t>
      </w:r>
      <w:r w:rsidRPr="00CA63B3">
        <w:rPr>
          <w:rFonts w:ascii="Times New Roman" w:hAnsi="Times New Roman" w:cs="Times New Roman"/>
          <w:sz w:val="24"/>
        </w:rPr>
        <w:t xml:space="preserve"> </w:t>
      </w:r>
      <w:r w:rsidR="00690558">
        <w:rPr>
          <w:rFonts w:ascii="Times New Roman" w:hAnsi="Times New Roman" w:cs="Times New Roman"/>
          <w:sz w:val="24"/>
        </w:rPr>
        <w:t>Camila</w:t>
      </w:r>
      <w:r w:rsidRPr="00CA63B3">
        <w:rPr>
          <w:rFonts w:ascii="Times New Roman" w:hAnsi="Times New Roman" w:cs="Times New Roman"/>
          <w:sz w:val="24"/>
        </w:rPr>
        <w:t xml:space="preserve"> E.</w:t>
      </w:r>
      <w:r w:rsidR="00BE5C10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;</w:t>
      </w:r>
      <w:r w:rsidRPr="00CA63B3">
        <w:rPr>
          <w:rFonts w:ascii="Times New Roman" w:hAnsi="Times New Roman" w:cs="Times New Roman"/>
          <w:sz w:val="24"/>
        </w:rPr>
        <w:t xml:space="preserve"> </w:t>
      </w:r>
      <w:r w:rsidR="00690558">
        <w:rPr>
          <w:rFonts w:ascii="Times New Roman" w:hAnsi="Times New Roman" w:cs="Times New Roman"/>
          <w:sz w:val="24"/>
        </w:rPr>
        <w:t>Reynoso</w:t>
      </w:r>
      <w:r>
        <w:rPr>
          <w:rFonts w:ascii="Times New Roman" w:hAnsi="Times New Roman" w:cs="Times New Roman"/>
          <w:sz w:val="24"/>
        </w:rPr>
        <w:t>,</w:t>
      </w:r>
      <w:r w:rsidRPr="00CA63B3">
        <w:rPr>
          <w:rFonts w:ascii="Times New Roman" w:hAnsi="Times New Roman" w:cs="Times New Roman"/>
          <w:sz w:val="24"/>
        </w:rPr>
        <w:t xml:space="preserve"> Paula S.</w:t>
      </w:r>
      <w:r w:rsidR="000951AA">
        <w:rPr>
          <w:rFonts w:ascii="Times New Roman" w:hAnsi="Times New Roman" w:cs="Times New Roman"/>
          <w:sz w:val="24"/>
          <w:vertAlign w:val="superscript"/>
        </w:rPr>
        <w:t>2</w:t>
      </w:r>
      <w:r w:rsidR="007A2C53">
        <w:rPr>
          <w:rFonts w:ascii="Times New Roman" w:hAnsi="Times New Roman" w:cs="Times New Roman"/>
          <w:sz w:val="24"/>
        </w:rPr>
        <w:t>;</w:t>
      </w:r>
      <w:r w:rsidR="00BD0785" w:rsidRPr="00BD07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785" w:rsidRPr="00CA63B3">
        <w:rPr>
          <w:rFonts w:ascii="Times New Roman" w:hAnsi="Times New Roman" w:cs="Times New Roman"/>
          <w:sz w:val="24"/>
        </w:rPr>
        <w:t>A</w:t>
      </w:r>
      <w:r w:rsidR="00690558">
        <w:rPr>
          <w:rFonts w:ascii="Times New Roman" w:hAnsi="Times New Roman" w:cs="Times New Roman"/>
          <w:sz w:val="24"/>
        </w:rPr>
        <w:t>strada</w:t>
      </w:r>
      <w:proofErr w:type="spellEnd"/>
      <w:r w:rsidR="00BD0785">
        <w:rPr>
          <w:rFonts w:ascii="Times New Roman" w:hAnsi="Times New Roman" w:cs="Times New Roman"/>
          <w:sz w:val="24"/>
        </w:rPr>
        <w:t xml:space="preserve">, </w:t>
      </w:r>
      <w:r w:rsidR="00BD0785" w:rsidRPr="00CA63B3">
        <w:rPr>
          <w:rFonts w:ascii="Times New Roman" w:hAnsi="Times New Roman" w:cs="Times New Roman"/>
          <w:sz w:val="24"/>
        </w:rPr>
        <w:t>Stella M.</w:t>
      </w:r>
      <w:r w:rsidR="00690558">
        <w:rPr>
          <w:rFonts w:ascii="Times New Roman" w:hAnsi="Times New Roman" w:cs="Times New Roman"/>
          <w:sz w:val="24"/>
          <w:vertAlign w:val="superscript"/>
        </w:rPr>
        <w:t>2</w:t>
      </w:r>
      <w:r w:rsidR="00BD0785">
        <w:rPr>
          <w:rFonts w:ascii="Times New Roman" w:hAnsi="Times New Roman" w:cs="Times New Roman"/>
          <w:sz w:val="24"/>
        </w:rPr>
        <w:t>;</w:t>
      </w:r>
      <w:r w:rsidRPr="00CA63B3">
        <w:rPr>
          <w:rFonts w:ascii="Times New Roman" w:hAnsi="Times New Roman" w:cs="Times New Roman"/>
          <w:sz w:val="24"/>
        </w:rPr>
        <w:t xml:space="preserve"> </w:t>
      </w:r>
      <w:r w:rsidR="00BD0785" w:rsidRPr="00CA63B3">
        <w:rPr>
          <w:rFonts w:ascii="Times New Roman" w:hAnsi="Times New Roman" w:cs="Times New Roman"/>
          <w:sz w:val="24"/>
        </w:rPr>
        <w:t>Gómez</w:t>
      </w:r>
      <w:r w:rsidR="00BD0785">
        <w:rPr>
          <w:rFonts w:ascii="Times New Roman" w:hAnsi="Times New Roman" w:cs="Times New Roman"/>
          <w:sz w:val="24"/>
        </w:rPr>
        <w:t>,</w:t>
      </w:r>
      <w:r w:rsidR="00BD0785" w:rsidRPr="00CA63B3">
        <w:rPr>
          <w:rFonts w:ascii="Times New Roman" w:hAnsi="Times New Roman" w:cs="Times New Roman"/>
          <w:sz w:val="24"/>
        </w:rPr>
        <w:t xml:space="preserve"> </w:t>
      </w:r>
      <w:r w:rsidR="00690558">
        <w:rPr>
          <w:rFonts w:ascii="Times New Roman" w:hAnsi="Times New Roman" w:cs="Times New Roman"/>
          <w:sz w:val="24"/>
        </w:rPr>
        <w:t>Alba</w:t>
      </w:r>
      <w:r w:rsidR="00BD0785" w:rsidRPr="00CA63B3">
        <w:rPr>
          <w:rFonts w:ascii="Times New Roman" w:hAnsi="Times New Roman" w:cs="Times New Roman"/>
          <w:sz w:val="24"/>
        </w:rPr>
        <w:t xml:space="preserve"> L.</w:t>
      </w:r>
      <w:r w:rsidR="00690558">
        <w:rPr>
          <w:rFonts w:ascii="Times New Roman" w:hAnsi="Times New Roman" w:cs="Times New Roman"/>
          <w:sz w:val="24"/>
          <w:vertAlign w:val="superscript"/>
        </w:rPr>
        <w:t>2</w:t>
      </w:r>
      <w:r w:rsidR="00BD0785">
        <w:rPr>
          <w:rFonts w:ascii="Times New Roman" w:hAnsi="Times New Roman" w:cs="Times New Roman"/>
          <w:sz w:val="24"/>
        </w:rPr>
        <w:t>;</w:t>
      </w:r>
      <w:r w:rsidR="00BD0785" w:rsidRPr="00CA63B3">
        <w:rPr>
          <w:rFonts w:ascii="Times New Roman" w:hAnsi="Times New Roman" w:cs="Times New Roman"/>
          <w:sz w:val="24"/>
        </w:rPr>
        <w:t xml:space="preserve"> </w:t>
      </w:r>
    </w:p>
    <w:p w14:paraId="7F66D6D4" w14:textId="0A30ED07" w:rsidR="00BD0785" w:rsidRDefault="00CA63B3" w:rsidP="00BE3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59A8">
        <w:rPr>
          <w:rFonts w:ascii="Times New Roman" w:hAnsi="Times New Roman" w:cs="Times New Roman"/>
          <w:sz w:val="24"/>
          <w:szCs w:val="24"/>
        </w:rPr>
        <w:t>Cont</w:t>
      </w:r>
      <w:r w:rsidR="00690558">
        <w:rPr>
          <w:rFonts w:ascii="Times New Roman" w:hAnsi="Times New Roman" w:cs="Times New Roman"/>
          <w:sz w:val="24"/>
          <w:szCs w:val="24"/>
        </w:rPr>
        <w:t>artese</w:t>
      </w:r>
      <w:proofErr w:type="spellEnd"/>
      <w:r w:rsidR="00690558">
        <w:rPr>
          <w:rFonts w:ascii="Times New Roman" w:hAnsi="Times New Roman" w:cs="Times New Roman"/>
          <w:sz w:val="24"/>
          <w:szCs w:val="24"/>
        </w:rPr>
        <w:t xml:space="preserve"> Torres</w:t>
      </w:r>
      <w:r w:rsidRPr="006D59A8">
        <w:rPr>
          <w:rFonts w:ascii="Times New Roman" w:hAnsi="Times New Roman" w:cs="Times New Roman"/>
          <w:sz w:val="24"/>
          <w:szCs w:val="24"/>
        </w:rPr>
        <w:t>, Eu</w:t>
      </w:r>
      <w:r w:rsidR="00690558">
        <w:rPr>
          <w:rFonts w:ascii="Times New Roman" w:hAnsi="Times New Roman" w:cs="Times New Roman"/>
          <w:sz w:val="24"/>
          <w:szCs w:val="24"/>
        </w:rPr>
        <w:t>genia</w:t>
      </w:r>
      <w:r w:rsidRPr="006D59A8">
        <w:rPr>
          <w:rFonts w:ascii="Times New Roman" w:hAnsi="Times New Roman" w:cs="Times New Roman"/>
          <w:sz w:val="24"/>
          <w:szCs w:val="24"/>
        </w:rPr>
        <w:t xml:space="preserve"> V.</w:t>
      </w:r>
      <w:r w:rsidR="000951AA" w:rsidRPr="006D59A8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690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5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8E22" w14:textId="77777777" w:rsidR="00517D41" w:rsidRDefault="00517D41" w:rsidP="00BE3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85D54" w14:textId="77777777" w:rsidR="00517D41" w:rsidRPr="006D59A8" w:rsidRDefault="00517D41" w:rsidP="00BE3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C6FBA" w14:textId="7BFC5EAC" w:rsidR="00615102" w:rsidRDefault="00615102" w:rsidP="00615102">
      <w:pPr>
        <w:pStyle w:val="Prrafodelista"/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1510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BD0785" w:rsidRPr="006D59A8">
        <w:rPr>
          <w:rFonts w:ascii="Times New Roman" w:hAnsi="Times New Roman" w:cs="Times New Roman"/>
          <w:i/>
          <w:sz w:val="24"/>
          <w:szCs w:val="24"/>
        </w:rPr>
        <w:t>Universidad de Buenos Aires, Facultad de Ciencias Exactas y Naturales,</w:t>
      </w:r>
      <w:r w:rsidR="00BD0785" w:rsidRPr="00BD0785">
        <w:rPr>
          <w:rFonts w:ascii="Times New Roman" w:hAnsi="Times New Roman" w:cs="Times New Roman"/>
          <w:i/>
          <w:sz w:val="24"/>
        </w:rPr>
        <w:t xml:space="preserve"> Departamento de Industrias. Ciudad Universitaria. Ciudad Autónoma de Buenos Aires. Argentina.</w:t>
      </w:r>
    </w:p>
    <w:p w14:paraId="41FB0CD8" w14:textId="1F6EFEE1" w:rsidR="00BD0785" w:rsidRPr="00BE5C10" w:rsidRDefault="00615102" w:rsidP="00615102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15102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D0785" w:rsidRPr="00BD0785">
        <w:rPr>
          <w:rFonts w:ascii="Times New Roman" w:hAnsi="Times New Roman" w:cs="Times New Roman"/>
          <w:i/>
          <w:sz w:val="24"/>
        </w:rPr>
        <w:t>CONICET- Universidad de Buenos Aires, Institu</w:t>
      </w:r>
      <w:r w:rsidR="00BD0785">
        <w:rPr>
          <w:rFonts w:ascii="Times New Roman" w:hAnsi="Times New Roman" w:cs="Times New Roman"/>
          <w:i/>
          <w:sz w:val="24"/>
        </w:rPr>
        <w:t xml:space="preserve">to de Tecnología de Alimentos y </w:t>
      </w:r>
      <w:r w:rsidR="00BD0785" w:rsidRPr="00BD0785">
        <w:rPr>
          <w:rFonts w:ascii="Times New Roman" w:hAnsi="Times New Roman" w:cs="Times New Roman"/>
          <w:i/>
          <w:sz w:val="24"/>
        </w:rPr>
        <w:t>Procesos Químicos (ITAPROQ), Buenos Aires, Argentina</w:t>
      </w:r>
    </w:p>
    <w:p w14:paraId="57289129" w14:textId="533DD741" w:rsidR="00BD0785" w:rsidRDefault="00BD0785" w:rsidP="00BE392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677C5CA" w14:textId="77777777" w:rsidR="007E1A39" w:rsidRDefault="007E1A39" w:rsidP="00BE392C">
      <w:pPr>
        <w:jc w:val="both"/>
        <w:rPr>
          <w:rFonts w:ascii="Times New Roman" w:hAnsi="Times New Roman" w:cs="Times New Roman"/>
          <w:b/>
          <w:sz w:val="24"/>
        </w:rPr>
      </w:pPr>
    </w:p>
    <w:p w14:paraId="5492F27E" w14:textId="1AC960E3" w:rsidR="00BD0785" w:rsidRPr="00BD0785" w:rsidRDefault="00BD0785" w:rsidP="00BE392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RESUMEN</w:t>
      </w:r>
    </w:p>
    <w:p w14:paraId="246DB0A1" w14:textId="77777777" w:rsidR="00BD0785" w:rsidRPr="00523E67" w:rsidRDefault="00BD0785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Las uvas pasas secadas al sol a cielo abierto requieren de una etapa posterior de limpieza, que comúnmente involucra la desinfección con hipoclorito de sodio. Debido a los residuos tóxicos que puede generar este desinfectante, se hace pertinente la búsqueda de métodos alternativos de descontaminación.</w:t>
      </w:r>
    </w:p>
    <w:p w14:paraId="6585EF7C" w14:textId="599859B4" w:rsidR="007E1A39" w:rsidRDefault="00690558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58">
        <w:rPr>
          <w:rFonts w:ascii="Times New Roman" w:hAnsi="Times New Roman" w:cs="Times New Roman"/>
          <w:sz w:val="24"/>
          <w:szCs w:val="24"/>
          <w:highlight w:val="yellow"/>
        </w:rPr>
        <w:t>Idéntico al aprobado</w:t>
      </w:r>
      <w:r w:rsidR="00BD0785" w:rsidRPr="006905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D0785" w:rsidRPr="0052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9D409" w14:textId="77777777" w:rsidR="0071439B" w:rsidRPr="00523E67" w:rsidRDefault="0071439B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DB07" w14:textId="0851909D" w:rsidR="00BD0785" w:rsidRPr="00523E67" w:rsidRDefault="00BD0785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b/>
          <w:sz w:val="24"/>
          <w:szCs w:val="24"/>
        </w:rPr>
        <w:t>Palabras clave</w:t>
      </w:r>
      <w:r w:rsidRPr="00523E67">
        <w:rPr>
          <w:rFonts w:ascii="Times New Roman" w:hAnsi="Times New Roman" w:cs="Times New Roman"/>
          <w:sz w:val="24"/>
          <w:szCs w:val="24"/>
        </w:rPr>
        <w:t>: descontaminación, tecnologías alternativas, calidad</w:t>
      </w:r>
      <w:r w:rsidR="00690558">
        <w:rPr>
          <w:rFonts w:ascii="Times New Roman" w:hAnsi="Times New Roman" w:cs="Times New Roman"/>
          <w:sz w:val="24"/>
          <w:szCs w:val="24"/>
        </w:rPr>
        <w:t>.</w:t>
      </w:r>
      <w:r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690558" w:rsidRPr="00690558">
        <w:rPr>
          <w:rFonts w:ascii="Times New Roman" w:hAnsi="Times New Roman" w:cs="Times New Roman"/>
          <w:sz w:val="24"/>
          <w:szCs w:val="24"/>
          <w:highlight w:val="yellow"/>
        </w:rPr>
        <w:t>Hasta tres palabras clave</w:t>
      </w:r>
    </w:p>
    <w:p w14:paraId="171755C4" w14:textId="3D193744" w:rsidR="00BE5C10" w:rsidRDefault="00BE5C10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0446" w14:textId="77777777" w:rsidR="007E1A39" w:rsidRPr="00523E67" w:rsidRDefault="007E1A39" w:rsidP="00BE3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1F8D9" w14:textId="77777777" w:rsidR="00C359B2" w:rsidRPr="00523E67" w:rsidRDefault="0072262D" w:rsidP="00A04980">
      <w:pPr>
        <w:pStyle w:val="titulo1"/>
        <w:spacing w:before="0" w:line="360" w:lineRule="auto"/>
        <w:ind w:left="0" w:firstLine="0"/>
        <w:jc w:val="both"/>
        <w:rPr>
          <w:rFonts w:cs="Times New Roman"/>
          <w:szCs w:val="24"/>
        </w:rPr>
      </w:pPr>
      <w:r w:rsidRPr="00523E67">
        <w:rPr>
          <w:rFonts w:cs="Times New Roman"/>
          <w:szCs w:val="24"/>
        </w:rPr>
        <w:t>Introducción</w:t>
      </w:r>
    </w:p>
    <w:p w14:paraId="4C9F5D65" w14:textId="5809CE33" w:rsidR="00690558" w:rsidRDefault="00690558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558">
        <w:rPr>
          <w:rFonts w:ascii="Times New Roman" w:hAnsi="Times New Roman" w:cs="Times New Roman"/>
          <w:sz w:val="24"/>
          <w:szCs w:val="24"/>
          <w:highlight w:val="yellow"/>
        </w:rPr>
        <w:t>Ejemplo formato</w:t>
      </w:r>
    </w:p>
    <w:p w14:paraId="7EF482F5" w14:textId="109F5C29" w:rsidR="00C359B2" w:rsidRDefault="00E31B7A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Las uvas pasas son de gran interés comercial debido a que son un producto muy apreciado por consumidores, ya sea por adición como ingrediente en alimentos o como un snack nutritivo. </w:t>
      </w:r>
      <w:r w:rsidR="0072262D" w:rsidRPr="00523E67">
        <w:rPr>
          <w:rFonts w:ascii="Times New Roman" w:hAnsi="Times New Roman" w:cs="Times New Roman"/>
          <w:sz w:val="24"/>
          <w:szCs w:val="24"/>
        </w:rPr>
        <w:t>Las uvas pasas son uvas</w:t>
      </w:r>
      <w:r w:rsidR="00C359B2" w:rsidRPr="00523E67">
        <w:rPr>
          <w:rFonts w:ascii="Times New Roman" w:hAnsi="Times New Roman" w:cs="Times New Roman"/>
          <w:sz w:val="24"/>
          <w:szCs w:val="24"/>
        </w:rPr>
        <w:t xml:space="preserve"> que han pasado por un pr</w:t>
      </w:r>
      <w:r w:rsidR="00162BC3">
        <w:rPr>
          <w:rFonts w:ascii="Times New Roman" w:hAnsi="Times New Roman" w:cs="Times New Roman"/>
          <w:sz w:val="24"/>
          <w:szCs w:val="24"/>
        </w:rPr>
        <w:t>oceso de secado</w:t>
      </w:r>
      <w:r w:rsidR="00AE68E9">
        <w:rPr>
          <w:rFonts w:ascii="Times New Roman" w:hAnsi="Times New Roman" w:cs="Times New Roman"/>
          <w:sz w:val="24"/>
          <w:szCs w:val="24"/>
        </w:rPr>
        <w:t xml:space="preserve">; en general </w:t>
      </w:r>
      <w:r w:rsidR="00FB55CD" w:rsidRPr="00523E67">
        <w:rPr>
          <w:rFonts w:ascii="Times New Roman" w:hAnsi="Times New Roman" w:cs="Times New Roman"/>
          <w:sz w:val="24"/>
          <w:szCs w:val="24"/>
        </w:rPr>
        <w:t>se utilizan</w:t>
      </w:r>
      <w:r w:rsidR="0047177E"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4429AD" w:rsidRPr="00523E67">
        <w:rPr>
          <w:rFonts w:ascii="Times New Roman" w:hAnsi="Times New Roman" w:cs="Times New Roman"/>
          <w:sz w:val="24"/>
          <w:szCs w:val="24"/>
        </w:rPr>
        <w:t>las variedades Sultanina</w:t>
      </w:r>
      <w:r w:rsidR="00FB55CD" w:rsidRPr="00523E67">
        <w:rPr>
          <w:rFonts w:ascii="Times New Roman" w:hAnsi="Times New Roman" w:cs="Times New Roman"/>
          <w:sz w:val="24"/>
          <w:szCs w:val="24"/>
        </w:rPr>
        <w:t xml:space="preserve"> (Thompson Seedless)</w:t>
      </w:r>
      <w:r w:rsidR="004429AD" w:rsidRPr="00523E67">
        <w:rPr>
          <w:rFonts w:ascii="Times New Roman" w:hAnsi="Times New Roman" w:cs="Times New Roman"/>
          <w:sz w:val="24"/>
          <w:szCs w:val="24"/>
        </w:rPr>
        <w:t xml:space="preserve">, Fiesta, </w:t>
      </w:r>
      <w:r w:rsidR="004429AD" w:rsidRPr="00523E67">
        <w:rPr>
          <w:rFonts w:ascii="Times New Roman" w:hAnsi="Times New Roman" w:cs="Times New Roman"/>
          <w:sz w:val="24"/>
          <w:szCs w:val="24"/>
          <w:lang w:val="es-AR"/>
        </w:rPr>
        <w:t>Black Corinth, Moscatel de Alejandría, Monukka, Ruby Seedless y Flame</w:t>
      </w:r>
      <w:r w:rsidR="004429AD"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4429AD" w:rsidRPr="00523E67">
        <w:rPr>
          <w:rFonts w:ascii="Times New Roman" w:hAnsi="Times New Roman" w:cs="Times New Roman"/>
          <w:sz w:val="24"/>
          <w:szCs w:val="24"/>
          <w:lang w:val="es-AR"/>
        </w:rPr>
        <w:t>Seedless</w:t>
      </w:r>
      <w:r w:rsidR="00FB55CD" w:rsidRPr="00523E67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FB55CD" w:rsidRPr="002C6EA2">
        <w:rPr>
          <w:rFonts w:ascii="Times New Roman" w:hAnsi="Times New Roman" w:cs="Times New Roman"/>
          <w:sz w:val="24"/>
          <w:szCs w:val="24"/>
          <w:lang w:val="es-AR"/>
        </w:rPr>
        <w:t>(Gutiérrez</w:t>
      </w:r>
      <w:r w:rsidR="002C6EA2" w:rsidRPr="002C6EA2">
        <w:rPr>
          <w:rFonts w:ascii="Times New Roman" w:hAnsi="Times New Roman" w:cs="Times New Roman"/>
          <w:sz w:val="24"/>
          <w:szCs w:val="24"/>
          <w:lang w:val="es-AR"/>
        </w:rPr>
        <w:t>, Suero y Espíndola</w:t>
      </w:r>
      <w:r w:rsidR="00A370EB" w:rsidRPr="002C6EA2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FB55CD" w:rsidRPr="002C6EA2">
        <w:rPr>
          <w:rFonts w:ascii="Times New Roman" w:hAnsi="Times New Roman" w:cs="Times New Roman"/>
          <w:sz w:val="24"/>
          <w:szCs w:val="24"/>
          <w:lang w:val="es-AR"/>
        </w:rPr>
        <w:t xml:space="preserve"> 2019)</w:t>
      </w:r>
      <w:r w:rsidR="004429AD" w:rsidRPr="002C6EA2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4429AD" w:rsidRPr="00523E67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62BC3">
        <w:rPr>
          <w:rFonts w:ascii="Times New Roman" w:hAnsi="Times New Roman" w:cs="Times New Roman"/>
          <w:sz w:val="24"/>
          <w:szCs w:val="24"/>
        </w:rPr>
        <w:t xml:space="preserve">Dependiendo </w:t>
      </w:r>
      <w:r w:rsidR="00162BC3" w:rsidRPr="00AE68E9">
        <w:rPr>
          <w:rFonts w:ascii="Times New Roman" w:hAnsi="Times New Roman" w:cs="Times New Roman"/>
          <w:sz w:val="24"/>
          <w:szCs w:val="24"/>
        </w:rPr>
        <w:t>de la variedad usada</w:t>
      </w:r>
      <w:r w:rsidR="00C359B2" w:rsidRPr="00523E67">
        <w:rPr>
          <w:rFonts w:ascii="Times New Roman" w:hAnsi="Times New Roman" w:cs="Times New Roman"/>
          <w:sz w:val="24"/>
          <w:szCs w:val="24"/>
        </w:rPr>
        <w:t xml:space="preserve"> y el tipo de secado</w:t>
      </w:r>
      <w:r w:rsidR="00C70769" w:rsidRPr="004E530B">
        <w:rPr>
          <w:rFonts w:ascii="Times New Roman" w:hAnsi="Times New Roman" w:cs="Times New Roman"/>
          <w:sz w:val="24"/>
          <w:szCs w:val="24"/>
        </w:rPr>
        <w:t>,</w:t>
      </w:r>
      <w:r w:rsidR="00C359B2" w:rsidRPr="00523E67">
        <w:rPr>
          <w:rFonts w:ascii="Times New Roman" w:hAnsi="Times New Roman" w:cs="Times New Roman"/>
          <w:sz w:val="24"/>
          <w:szCs w:val="24"/>
        </w:rPr>
        <w:t xml:space="preserve"> las uvas pasas van a adquirir </w:t>
      </w:r>
      <w:r w:rsidR="004429AD" w:rsidRPr="00523E67">
        <w:rPr>
          <w:rFonts w:ascii="Times New Roman" w:hAnsi="Times New Roman" w:cs="Times New Roman"/>
          <w:sz w:val="24"/>
          <w:szCs w:val="24"/>
        </w:rPr>
        <w:t xml:space="preserve">su sabor, aroma, color, forma y </w:t>
      </w:r>
      <w:proofErr w:type="gramStart"/>
      <w:r w:rsidR="000144F7">
        <w:rPr>
          <w:rFonts w:ascii="Times New Roman" w:hAnsi="Times New Roman" w:cs="Times New Roman"/>
          <w:sz w:val="24"/>
          <w:szCs w:val="24"/>
        </w:rPr>
        <w:t xml:space="preserve">tamaño </w:t>
      </w:r>
      <w:r w:rsidR="000144F7" w:rsidRPr="002C6EA2">
        <w:rPr>
          <w:rFonts w:ascii="Times New Roman" w:hAnsi="Times New Roman" w:cs="Times New Roman"/>
          <w:sz w:val="24"/>
          <w:szCs w:val="24"/>
        </w:rPr>
        <w:t>característicos</w:t>
      </w:r>
      <w:proofErr w:type="gramEnd"/>
      <w:r w:rsidR="000144F7" w:rsidRPr="002C6EA2">
        <w:rPr>
          <w:rFonts w:ascii="Times New Roman" w:hAnsi="Times New Roman" w:cs="Times New Roman"/>
          <w:sz w:val="24"/>
          <w:szCs w:val="24"/>
        </w:rPr>
        <w:t xml:space="preserve"> (</w:t>
      </w:r>
      <w:r w:rsidR="00A370EB" w:rsidRPr="002C6EA2">
        <w:rPr>
          <w:rFonts w:ascii="Times New Roman" w:hAnsi="Times New Roman" w:cs="Times New Roman"/>
          <w:sz w:val="24"/>
          <w:szCs w:val="24"/>
        </w:rPr>
        <w:t xml:space="preserve">Zoffoli </w:t>
      </w:r>
      <w:r w:rsidR="002C6EA2" w:rsidRPr="002C6EA2">
        <w:rPr>
          <w:rFonts w:ascii="Times New Roman" w:hAnsi="Times New Roman" w:cs="Times New Roman"/>
          <w:sz w:val="24"/>
          <w:szCs w:val="24"/>
        </w:rPr>
        <w:t>y Latorre,</w:t>
      </w:r>
      <w:r w:rsidR="00A370EB" w:rsidRPr="002C6EA2">
        <w:rPr>
          <w:rFonts w:ascii="Times New Roman" w:hAnsi="Times New Roman" w:cs="Times New Roman"/>
          <w:sz w:val="24"/>
          <w:szCs w:val="24"/>
        </w:rPr>
        <w:t xml:space="preserve"> </w:t>
      </w:r>
      <w:r w:rsidR="00C359B2" w:rsidRPr="002C6EA2">
        <w:rPr>
          <w:rFonts w:ascii="Times New Roman" w:hAnsi="Times New Roman" w:cs="Times New Roman"/>
          <w:sz w:val="24"/>
          <w:szCs w:val="24"/>
        </w:rPr>
        <w:t>2011).</w:t>
      </w:r>
      <w:r w:rsidR="00C359B2" w:rsidRPr="0052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81EE4" w14:textId="60F59059" w:rsidR="00690558" w:rsidRDefault="00690558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14:paraId="36FC79CE" w14:textId="028B3291" w:rsidR="00690558" w:rsidRDefault="00690558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14:paraId="11DF2979" w14:textId="77777777" w:rsidR="00250162" w:rsidRPr="00523E67" w:rsidRDefault="00250162" w:rsidP="00BE3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E3451" w14:textId="77777777" w:rsidR="00250162" w:rsidRDefault="002674A0" w:rsidP="00A04980">
      <w:pPr>
        <w:pStyle w:val="titulo1"/>
        <w:spacing w:before="0" w:line="360" w:lineRule="auto"/>
        <w:ind w:left="0" w:firstLine="0"/>
        <w:jc w:val="both"/>
        <w:rPr>
          <w:rFonts w:cs="Times New Roman"/>
          <w:szCs w:val="24"/>
        </w:rPr>
      </w:pPr>
      <w:r w:rsidRPr="00523E67">
        <w:rPr>
          <w:rFonts w:cs="Times New Roman"/>
          <w:szCs w:val="24"/>
        </w:rPr>
        <w:t>Materiales y métodos</w:t>
      </w:r>
    </w:p>
    <w:p w14:paraId="30399A2E" w14:textId="548D3929" w:rsidR="00250162" w:rsidRPr="00250162" w:rsidRDefault="00250162" w:rsidP="00250162">
      <w:pPr>
        <w:pStyle w:val="titulo1"/>
        <w:numPr>
          <w:ilvl w:val="1"/>
          <w:numId w:val="2"/>
        </w:numPr>
        <w:spacing w:before="0" w:line="360" w:lineRule="auto"/>
        <w:ind w:left="0" w:firstLine="0"/>
        <w:jc w:val="both"/>
        <w:rPr>
          <w:rFonts w:cs="Times New Roman"/>
          <w:szCs w:val="24"/>
        </w:rPr>
      </w:pPr>
      <w:r w:rsidRPr="00250162">
        <w:rPr>
          <w:rFonts w:cs="Times New Roman"/>
          <w:szCs w:val="24"/>
        </w:rPr>
        <w:t>Materia prima</w:t>
      </w:r>
    </w:p>
    <w:p w14:paraId="27182BD6" w14:textId="75B8AE8F" w:rsidR="00690558" w:rsidRDefault="00690558" w:rsidP="007A2C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558">
        <w:rPr>
          <w:rFonts w:ascii="Times New Roman" w:hAnsi="Times New Roman" w:cs="Times New Roman"/>
          <w:sz w:val="24"/>
          <w:szCs w:val="24"/>
          <w:highlight w:val="yellow"/>
        </w:rPr>
        <w:t>Ejemplo formato</w:t>
      </w:r>
    </w:p>
    <w:p w14:paraId="2D2C2678" w14:textId="09A8AD97" w:rsidR="000951AA" w:rsidRPr="00523E67" w:rsidRDefault="007762DE" w:rsidP="007A2C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lastRenderedPageBreak/>
        <w:t>Se utilizaron uvas pasas,</w:t>
      </w:r>
      <w:r w:rsidR="000951AA" w:rsidRPr="00523E67">
        <w:rPr>
          <w:rFonts w:ascii="Times New Roman" w:hAnsi="Times New Roman" w:cs="Times New Roman"/>
          <w:sz w:val="24"/>
          <w:szCs w:val="24"/>
        </w:rPr>
        <w:t xml:space="preserve"> variedad Sultanina, cosecha del </w:t>
      </w:r>
      <w:r w:rsidR="000951AA" w:rsidRPr="004E530B">
        <w:rPr>
          <w:rFonts w:ascii="Times New Roman" w:hAnsi="Times New Roman" w:cs="Times New Roman"/>
          <w:sz w:val="24"/>
          <w:szCs w:val="24"/>
        </w:rPr>
        <w:t>2020</w:t>
      </w:r>
      <w:r w:rsidR="007F4F80" w:rsidRPr="004E530B">
        <w:rPr>
          <w:rFonts w:ascii="Times New Roman" w:hAnsi="Times New Roman" w:cs="Times New Roman"/>
          <w:sz w:val="24"/>
          <w:szCs w:val="24"/>
        </w:rPr>
        <w:t>, Pcia. de San Juan</w:t>
      </w:r>
      <w:r w:rsidR="000951AA" w:rsidRPr="004E530B">
        <w:rPr>
          <w:rFonts w:ascii="Times New Roman" w:hAnsi="Times New Roman" w:cs="Times New Roman"/>
          <w:sz w:val="24"/>
          <w:szCs w:val="24"/>
        </w:rPr>
        <w:t>,</w:t>
      </w:r>
      <w:r w:rsidR="000951AA" w:rsidRPr="00523E67">
        <w:rPr>
          <w:rFonts w:ascii="Times New Roman" w:hAnsi="Times New Roman" w:cs="Times New Roman"/>
          <w:sz w:val="24"/>
          <w:szCs w:val="24"/>
        </w:rPr>
        <w:t xml:space="preserve"> secadas al sol sobre cama de piedras. Estas uvas pasas no tuvieron un proceso de limpieza después del secado para </w:t>
      </w:r>
      <w:r w:rsidR="0096726E">
        <w:rPr>
          <w:rFonts w:ascii="Times New Roman" w:hAnsi="Times New Roman" w:cs="Times New Roman"/>
          <w:sz w:val="24"/>
          <w:szCs w:val="24"/>
        </w:rPr>
        <w:t xml:space="preserve">poder </w:t>
      </w:r>
      <w:r w:rsidR="000951AA" w:rsidRPr="00523E67">
        <w:rPr>
          <w:rFonts w:ascii="Times New Roman" w:hAnsi="Times New Roman" w:cs="Times New Roman"/>
          <w:sz w:val="24"/>
          <w:szCs w:val="24"/>
        </w:rPr>
        <w:t>evaluar los distintos tratamientos</w:t>
      </w:r>
      <w:r w:rsidRPr="00523E67">
        <w:rPr>
          <w:rFonts w:ascii="Times New Roman" w:hAnsi="Times New Roman" w:cs="Times New Roman"/>
          <w:sz w:val="24"/>
          <w:szCs w:val="24"/>
        </w:rPr>
        <w:t xml:space="preserve"> propuestos</w:t>
      </w:r>
      <w:r w:rsidR="000951AA" w:rsidRPr="00523E67">
        <w:rPr>
          <w:rFonts w:ascii="Times New Roman" w:hAnsi="Times New Roman" w:cs="Times New Roman"/>
          <w:sz w:val="24"/>
          <w:szCs w:val="24"/>
        </w:rPr>
        <w:t>.</w:t>
      </w:r>
    </w:p>
    <w:p w14:paraId="11CC92A7" w14:textId="27DAC10D" w:rsidR="000951AA" w:rsidRPr="00250162" w:rsidRDefault="00250162" w:rsidP="00250162">
      <w:pPr>
        <w:pStyle w:val="Prrafode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1AA" w:rsidRPr="00250162">
        <w:rPr>
          <w:rFonts w:ascii="Times New Roman" w:hAnsi="Times New Roman" w:cs="Times New Roman"/>
          <w:b/>
          <w:sz w:val="24"/>
          <w:szCs w:val="24"/>
        </w:rPr>
        <w:t>Trat</w:t>
      </w:r>
      <w:r w:rsidRPr="00250162">
        <w:rPr>
          <w:rFonts w:ascii="Times New Roman" w:hAnsi="Times New Roman" w:cs="Times New Roman"/>
          <w:b/>
          <w:sz w:val="24"/>
          <w:szCs w:val="24"/>
        </w:rPr>
        <w:t xml:space="preserve">amientos </w:t>
      </w:r>
      <w:r w:rsidR="00430071">
        <w:rPr>
          <w:rFonts w:ascii="Times New Roman" w:hAnsi="Times New Roman" w:cs="Times New Roman"/>
          <w:b/>
          <w:sz w:val="24"/>
          <w:szCs w:val="24"/>
        </w:rPr>
        <w:t>y almacenamiento</w:t>
      </w:r>
      <w:r w:rsidR="000951AA" w:rsidRPr="00250162">
        <w:rPr>
          <w:rFonts w:ascii="Times New Roman" w:hAnsi="Times New Roman" w:cs="Times New Roman"/>
          <w:b/>
          <w:sz w:val="24"/>
          <w:szCs w:val="24"/>
        </w:rPr>
        <w:tab/>
      </w:r>
    </w:p>
    <w:p w14:paraId="15B1D98F" w14:textId="7186C68D" w:rsidR="00430071" w:rsidRDefault="00D9345A" w:rsidP="007A2C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0B">
        <w:rPr>
          <w:rFonts w:ascii="Times New Roman" w:hAnsi="Times New Roman" w:cs="Times New Roman"/>
          <w:sz w:val="24"/>
          <w:szCs w:val="24"/>
        </w:rPr>
        <w:t>L</w:t>
      </w:r>
      <w:r w:rsidR="009F49C5" w:rsidRPr="004E530B">
        <w:rPr>
          <w:rFonts w:ascii="Times New Roman" w:hAnsi="Times New Roman" w:cs="Times New Roman"/>
          <w:sz w:val="24"/>
          <w:szCs w:val="24"/>
        </w:rPr>
        <w:t xml:space="preserve">os tratamientos de </w:t>
      </w:r>
      <w:r w:rsidR="0002180A">
        <w:rPr>
          <w:rFonts w:ascii="Times New Roman" w:hAnsi="Times New Roman" w:cs="Times New Roman"/>
          <w:sz w:val="24"/>
          <w:szCs w:val="24"/>
        </w:rPr>
        <w:t>…</w:t>
      </w:r>
    </w:p>
    <w:p w14:paraId="627EFEB6" w14:textId="24ED97B3" w:rsidR="000951AA" w:rsidRPr="00767CBE" w:rsidRDefault="00767CBE" w:rsidP="00767CBE">
      <w:pPr>
        <w:pStyle w:val="Prrafode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1AA" w:rsidRPr="00767CBE">
        <w:rPr>
          <w:rFonts w:ascii="Times New Roman" w:hAnsi="Times New Roman" w:cs="Times New Roman"/>
          <w:b/>
          <w:sz w:val="24"/>
          <w:szCs w:val="24"/>
        </w:rPr>
        <w:t>Estud</w:t>
      </w:r>
      <w:r w:rsidR="00D02243" w:rsidRPr="00767CBE">
        <w:rPr>
          <w:rFonts w:ascii="Times New Roman" w:hAnsi="Times New Roman" w:cs="Times New Roman"/>
          <w:b/>
          <w:sz w:val="24"/>
          <w:szCs w:val="24"/>
        </w:rPr>
        <w:t>io</w:t>
      </w:r>
      <w:r w:rsidR="00AA52C2" w:rsidRPr="00767CBE">
        <w:rPr>
          <w:rFonts w:ascii="Times New Roman" w:hAnsi="Times New Roman" w:cs="Times New Roman"/>
          <w:b/>
          <w:sz w:val="24"/>
          <w:szCs w:val="24"/>
        </w:rPr>
        <w:t>s</w:t>
      </w:r>
      <w:r w:rsidR="00D02243" w:rsidRPr="00767CBE">
        <w:rPr>
          <w:rFonts w:ascii="Times New Roman" w:hAnsi="Times New Roman" w:cs="Times New Roman"/>
          <w:b/>
          <w:sz w:val="24"/>
          <w:szCs w:val="24"/>
        </w:rPr>
        <w:t xml:space="preserve"> microbiológico</w:t>
      </w:r>
      <w:r w:rsidR="00AA52C2" w:rsidRPr="00767CBE">
        <w:rPr>
          <w:rFonts w:ascii="Times New Roman" w:hAnsi="Times New Roman" w:cs="Times New Roman"/>
          <w:b/>
          <w:sz w:val="24"/>
          <w:szCs w:val="24"/>
        </w:rPr>
        <w:t>s</w:t>
      </w:r>
    </w:p>
    <w:p w14:paraId="4BBBA163" w14:textId="6BEF50FC" w:rsidR="00AC209C" w:rsidRDefault="000951AA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Se evaluó el efecto de </w:t>
      </w:r>
    </w:p>
    <w:p w14:paraId="06E77C8F" w14:textId="656B6249" w:rsidR="00315C99" w:rsidRDefault="0002180A" w:rsidP="009672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541B778F" w14:textId="5A7C07A2" w:rsidR="006C1760" w:rsidRDefault="0002180A" w:rsidP="000218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4F5AFDB2" w14:textId="77777777" w:rsidR="0002180A" w:rsidRPr="00523E67" w:rsidRDefault="0002180A" w:rsidP="000218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5D820" w14:textId="77777777" w:rsidR="002674A0" w:rsidRPr="00523E67" w:rsidRDefault="002674A0" w:rsidP="00A04980">
      <w:pPr>
        <w:pStyle w:val="titulo1"/>
        <w:spacing w:before="0" w:line="360" w:lineRule="auto"/>
        <w:ind w:left="0" w:firstLine="0"/>
        <w:jc w:val="both"/>
        <w:rPr>
          <w:rFonts w:cs="Times New Roman"/>
          <w:szCs w:val="24"/>
        </w:rPr>
      </w:pPr>
      <w:r w:rsidRPr="00523E67">
        <w:rPr>
          <w:rFonts w:cs="Times New Roman"/>
          <w:szCs w:val="24"/>
        </w:rPr>
        <w:t>Resultados y discusión</w:t>
      </w:r>
    </w:p>
    <w:p w14:paraId="19AC47AE" w14:textId="77777777" w:rsidR="0002180A" w:rsidRDefault="0002180A" w:rsidP="00D5287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0A">
        <w:rPr>
          <w:rFonts w:ascii="Times New Roman" w:hAnsi="Times New Roman" w:cs="Times New Roman"/>
          <w:sz w:val="24"/>
          <w:szCs w:val="24"/>
          <w:highlight w:val="yellow"/>
        </w:rPr>
        <w:t>Ejemplo formato</w:t>
      </w:r>
    </w:p>
    <w:p w14:paraId="3F855763" w14:textId="6E3245CA" w:rsidR="00DC0158" w:rsidRDefault="006C1760" w:rsidP="00D5287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resultados de los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 estudio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 microbiológico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 se muestran en la</w:t>
      </w:r>
      <w:r w:rsidR="0054019A" w:rsidRPr="00523E67">
        <w:rPr>
          <w:rFonts w:ascii="Times New Roman" w:hAnsi="Times New Roman" w:cs="Times New Roman"/>
          <w:sz w:val="24"/>
          <w:szCs w:val="24"/>
        </w:rPr>
        <w:t>s T</w:t>
      </w:r>
      <w:r w:rsidR="009E34BB" w:rsidRPr="00523E67">
        <w:rPr>
          <w:rFonts w:ascii="Times New Roman" w:hAnsi="Times New Roman" w:cs="Times New Roman"/>
          <w:sz w:val="24"/>
          <w:szCs w:val="24"/>
        </w:rPr>
        <w:t>abla</w:t>
      </w:r>
      <w:r w:rsidR="0054019A" w:rsidRPr="00523E67">
        <w:rPr>
          <w:rFonts w:ascii="Times New Roman" w:hAnsi="Times New Roman" w:cs="Times New Roman"/>
          <w:sz w:val="24"/>
          <w:szCs w:val="24"/>
        </w:rPr>
        <w:t>s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 1 y 2. Todos los tratamientos redujeron significativamente los recuentos de M</w:t>
      </w:r>
      <w:r w:rsidR="0054019A" w:rsidRPr="00523E67">
        <w:rPr>
          <w:rFonts w:ascii="Times New Roman" w:hAnsi="Times New Roman" w:cs="Times New Roman"/>
          <w:sz w:val="24"/>
          <w:szCs w:val="24"/>
        </w:rPr>
        <w:t>A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 y ML con respecto al control, y resultaron equival</w:t>
      </w:r>
      <w:r w:rsidR="002A24C9">
        <w:rPr>
          <w:rFonts w:ascii="Times New Roman" w:hAnsi="Times New Roman" w:cs="Times New Roman"/>
          <w:sz w:val="24"/>
          <w:szCs w:val="24"/>
        </w:rPr>
        <w:t>entes al tratamiento tradicional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. </w:t>
      </w:r>
      <w:r w:rsidR="00CC5997">
        <w:rPr>
          <w:rFonts w:ascii="Times New Roman" w:hAnsi="Times New Roman" w:cs="Times New Roman"/>
          <w:sz w:val="24"/>
          <w:szCs w:val="24"/>
        </w:rPr>
        <w:t>Además, n</w:t>
      </w:r>
      <w:r w:rsidR="009E34BB" w:rsidRPr="00523E67">
        <w:rPr>
          <w:rFonts w:ascii="Times New Roman" w:hAnsi="Times New Roman" w:cs="Times New Roman"/>
          <w:sz w:val="24"/>
          <w:szCs w:val="24"/>
        </w:rPr>
        <w:t>o se observaron diferencias significativas entre los tratamientos de ozono y luz UV-C, ni entre las distintas dosis evaluadas</w:t>
      </w:r>
      <w:r w:rsidR="002B6211" w:rsidRPr="00523E67">
        <w:rPr>
          <w:rFonts w:ascii="Times New Roman" w:hAnsi="Times New Roman" w:cs="Times New Roman"/>
          <w:sz w:val="24"/>
          <w:szCs w:val="24"/>
        </w:rPr>
        <w:t xml:space="preserve"> de cada tecnología</w:t>
      </w:r>
      <w:r w:rsidR="009E34BB" w:rsidRPr="00523E67">
        <w:rPr>
          <w:rFonts w:ascii="Times New Roman" w:hAnsi="Times New Roman" w:cs="Times New Roman"/>
          <w:sz w:val="24"/>
          <w:szCs w:val="24"/>
        </w:rPr>
        <w:t xml:space="preserve">. </w:t>
      </w:r>
      <w:r w:rsidR="00CC5997">
        <w:rPr>
          <w:rFonts w:ascii="Times New Roman" w:hAnsi="Times New Roman" w:cs="Times New Roman"/>
          <w:sz w:val="24"/>
          <w:szCs w:val="24"/>
        </w:rPr>
        <w:t>L</w:t>
      </w:r>
      <w:r w:rsidR="001F2955">
        <w:rPr>
          <w:rFonts w:ascii="Times New Roman" w:hAnsi="Times New Roman" w:cs="Times New Roman"/>
          <w:sz w:val="24"/>
          <w:szCs w:val="24"/>
        </w:rPr>
        <w:t>a reducción obtenida</w:t>
      </w:r>
      <w:r w:rsidR="00D5287C">
        <w:rPr>
          <w:rFonts w:ascii="Times New Roman" w:hAnsi="Times New Roman" w:cs="Times New Roman"/>
          <w:sz w:val="24"/>
          <w:szCs w:val="24"/>
        </w:rPr>
        <w:t xml:space="preserve"> con respecto al control</w:t>
      </w:r>
      <w:r w:rsidR="001F2955">
        <w:rPr>
          <w:rFonts w:ascii="Times New Roman" w:hAnsi="Times New Roman" w:cs="Times New Roman"/>
          <w:sz w:val="24"/>
          <w:szCs w:val="24"/>
        </w:rPr>
        <w:t xml:space="preserve"> fue de</w:t>
      </w:r>
      <w:r w:rsidR="00CC5997">
        <w:rPr>
          <w:rFonts w:ascii="Times New Roman" w:hAnsi="Times New Roman" w:cs="Times New Roman"/>
          <w:sz w:val="24"/>
          <w:szCs w:val="24"/>
        </w:rPr>
        <w:t xml:space="preserve"> </w:t>
      </w:r>
      <w:r w:rsidR="00CC5997" w:rsidRPr="00523E67">
        <w:rPr>
          <w:rFonts w:ascii="Times New Roman" w:hAnsi="Times New Roman" w:cs="Times New Roman"/>
          <w:sz w:val="24"/>
          <w:szCs w:val="24"/>
        </w:rPr>
        <w:t xml:space="preserve">≈ 0,7-1,2 </w:t>
      </w:r>
      <w:r w:rsidR="001F2955">
        <w:rPr>
          <w:rFonts w:ascii="Times New Roman" w:hAnsi="Times New Roman" w:cs="Times New Roman"/>
          <w:sz w:val="24"/>
          <w:szCs w:val="24"/>
        </w:rPr>
        <w:t xml:space="preserve">ciclos logarítmicos </w:t>
      </w:r>
      <w:r w:rsidR="00D5287C">
        <w:rPr>
          <w:rFonts w:ascii="Times New Roman" w:hAnsi="Times New Roman" w:cs="Times New Roman"/>
          <w:sz w:val="24"/>
          <w:szCs w:val="24"/>
        </w:rPr>
        <w:t xml:space="preserve">para MA </w:t>
      </w:r>
      <w:r w:rsidR="00CC5997">
        <w:rPr>
          <w:rFonts w:ascii="Times New Roman" w:hAnsi="Times New Roman" w:cs="Times New Roman"/>
          <w:sz w:val="24"/>
          <w:szCs w:val="24"/>
        </w:rPr>
        <w:t xml:space="preserve">(Tabla 1), </w:t>
      </w:r>
      <w:r w:rsidR="001F2955">
        <w:rPr>
          <w:rFonts w:ascii="Times New Roman" w:hAnsi="Times New Roman" w:cs="Times New Roman"/>
          <w:sz w:val="24"/>
          <w:szCs w:val="24"/>
        </w:rPr>
        <w:t xml:space="preserve">y de </w:t>
      </w:r>
      <w:r w:rsidR="001F2955" w:rsidRPr="00523E67">
        <w:rPr>
          <w:rFonts w:ascii="Times New Roman" w:hAnsi="Times New Roman" w:cs="Times New Roman"/>
          <w:sz w:val="24"/>
          <w:szCs w:val="24"/>
        </w:rPr>
        <w:t>≈ 1,5</w:t>
      </w:r>
      <w:r w:rsidR="001F2955">
        <w:rPr>
          <w:rFonts w:ascii="Times New Roman" w:hAnsi="Times New Roman" w:cs="Times New Roman"/>
          <w:sz w:val="24"/>
          <w:szCs w:val="24"/>
        </w:rPr>
        <w:t xml:space="preserve">-1,9 ciclos logarítmicos para </w:t>
      </w:r>
      <w:r w:rsidR="00CC5997">
        <w:rPr>
          <w:rFonts w:ascii="Times New Roman" w:hAnsi="Times New Roman" w:cs="Times New Roman"/>
          <w:sz w:val="24"/>
          <w:szCs w:val="24"/>
        </w:rPr>
        <w:t>ML</w:t>
      </w:r>
      <w:r w:rsidR="001F2955">
        <w:rPr>
          <w:rFonts w:ascii="Times New Roman" w:hAnsi="Times New Roman" w:cs="Times New Roman"/>
          <w:sz w:val="24"/>
          <w:szCs w:val="24"/>
        </w:rPr>
        <w:t xml:space="preserve"> </w:t>
      </w:r>
      <w:r w:rsidR="00CC5997">
        <w:rPr>
          <w:rFonts w:ascii="Times New Roman" w:hAnsi="Times New Roman" w:cs="Times New Roman"/>
          <w:sz w:val="24"/>
          <w:szCs w:val="24"/>
        </w:rPr>
        <w:t>(Tabla 2).</w:t>
      </w:r>
    </w:p>
    <w:p w14:paraId="7C372A80" w14:textId="74150B8A" w:rsidR="0002180A" w:rsidRDefault="0002180A" w:rsidP="00D5287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0A">
        <w:rPr>
          <w:rFonts w:ascii="Times New Roman" w:hAnsi="Times New Roman" w:cs="Times New Roman"/>
          <w:sz w:val="24"/>
          <w:szCs w:val="24"/>
          <w:highlight w:val="yellow"/>
        </w:rPr>
        <w:t>Ejemplo formato</w:t>
      </w:r>
      <w:r w:rsidRPr="0002180A">
        <w:rPr>
          <w:rFonts w:ascii="Times New Roman" w:hAnsi="Times New Roman" w:cs="Times New Roman"/>
          <w:sz w:val="24"/>
          <w:szCs w:val="24"/>
          <w:highlight w:val="yellow"/>
        </w:rPr>
        <w:t xml:space="preserve"> TABLA</w:t>
      </w:r>
    </w:p>
    <w:tbl>
      <w:tblPr>
        <w:tblW w:w="5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28"/>
        <w:gridCol w:w="1828"/>
      </w:tblGrid>
      <w:tr w:rsidR="00E31B7A" w:rsidRPr="00523E67" w14:paraId="1A153166" w14:textId="77777777" w:rsidTr="0056720A">
        <w:trPr>
          <w:trHeight w:val="285"/>
          <w:jc w:val="center"/>
        </w:trPr>
        <w:tc>
          <w:tcPr>
            <w:tcW w:w="5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E4049" w14:textId="2CBEA3BA" w:rsidR="00E31B7A" w:rsidRPr="00523E67" w:rsidRDefault="00E31B7A" w:rsidP="007A2C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Tabla 1. </w:t>
            </w:r>
            <w:r w:rsidR="007A2C53" w:rsidRPr="007A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Recuento de MA en las uvas pasas sometidas a los distintos tratamientos.</w:t>
            </w:r>
          </w:p>
        </w:tc>
      </w:tr>
      <w:tr w:rsidR="00E31B7A" w:rsidRPr="00523E67" w14:paraId="7983170D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14D9B7" w14:textId="77777777" w:rsidR="00E31B7A" w:rsidRPr="00523E67" w:rsidRDefault="00E31B7A" w:rsidP="00BE39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Tratamiento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11C25" w14:textId="75DEEF4F" w:rsidR="00E31B7A" w:rsidRPr="00523E67" w:rsidRDefault="00AF468C" w:rsidP="00BE39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3A00C9"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og</w:t>
            </w:r>
            <w:r w:rsidR="00E31B7A"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1890A" w14:textId="77777777" w:rsidR="00E31B7A" w:rsidRPr="00523E67" w:rsidRDefault="00E31B7A" w:rsidP="00BE39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6317" w:rsidRPr="00523E67" w14:paraId="5755FEFE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466F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2DBC6" w14:textId="3FAB1E63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DC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637C3" w14:textId="12557A5C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B06317" w:rsidRPr="00523E67" w14:paraId="56B1976E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4373C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NaClO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7ADEC" w14:textId="427BAB1D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DC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80842" w14:textId="6BB3A923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B06317" w:rsidRPr="00523E67" w14:paraId="4F150E54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A2F58" w14:textId="3CE04A58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5’ Oz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3C33" w14:textId="149A107B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  <w:r w:rsidR="00DC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DC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D6CD5" w14:textId="700489AF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B06317" w:rsidRPr="00523E67" w14:paraId="3F40DF43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AF27B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10’ Oz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501BE" w14:textId="6E1B2D3D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0C48B" w14:textId="4F444213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B06317" w:rsidRPr="00523E67" w14:paraId="555B32C7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1F438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5’ + 5’ Oz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2CAE1" w14:textId="4F444A9B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DFEF7" w14:textId="261EA9BA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B06317" w:rsidRPr="00523E67" w14:paraId="27D6DEE0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7EF76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UV 15’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A3C4F" w14:textId="2E4F0E06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8969C" w14:textId="2BC838BB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B06317" w:rsidRPr="00523E67" w14:paraId="69BE7384" w14:textId="77777777" w:rsidTr="0056720A">
        <w:trPr>
          <w:trHeight w:val="300"/>
          <w:jc w:val="center"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1091E" w14:textId="77777777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UV 30’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7CA9E" w14:textId="218D56AD" w:rsidR="00B06317" w:rsidRPr="00523E67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="00DC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50005" w14:textId="0410FF74" w:rsidR="00B06317" w:rsidRPr="00DC0158" w:rsidRDefault="00B06317" w:rsidP="00B063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E31B7A" w:rsidRPr="00523E67" w14:paraId="3E43AF6F" w14:textId="77777777" w:rsidTr="0056720A">
        <w:trPr>
          <w:trHeight w:val="285"/>
          <w:jc w:val="center"/>
        </w:trPr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27588" w14:textId="77777777" w:rsidR="00E31B7A" w:rsidRPr="00BE392C" w:rsidRDefault="003A00C9" w:rsidP="00BE39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Valores promedio ± desviación</w:t>
            </w:r>
            <w:r w:rsidR="00E31B7A" w:rsidRPr="00BE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estándar. Letras diferentes indican diferencias significativas (p</w:t>
            </w:r>
            <w:r w:rsidR="00E31B7A" w:rsidRPr="00BE392C">
              <w:rPr>
                <w:rFonts w:ascii="Times New Roman" w:eastAsia="Times New Roman" w:hAnsi="Times New Roman" w:cs="Times New Roman"/>
                <w:color w:val="040C28"/>
                <w:sz w:val="20"/>
                <w:szCs w:val="20"/>
              </w:rPr>
              <w:t>&lt;</w:t>
            </w:r>
            <w:r w:rsidR="00E31B7A" w:rsidRPr="00BE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0,05).</w:t>
            </w:r>
          </w:p>
        </w:tc>
      </w:tr>
    </w:tbl>
    <w:p w14:paraId="60848E28" w14:textId="1B91AD89" w:rsidR="00E31B7A" w:rsidRPr="00523E67" w:rsidRDefault="00E31B7A" w:rsidP="00BE3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7323B" w14:textId="5C190081" w:rsidR="006C64C4" w:rsidRDefault="00CF6518" w:rsidP="00B604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Los resultados de la eva</w:t>
      </w:r>
      <w:r w:rsidR="00137A9F" w:rsidRPr="00523E67">
        <w:rPr>
          <w:rFonts w:ascii="Times New Roman" w:hAnsi="Times New Roman" w:cs="Times New Roman"/>
          <w:sz w:val="24"/>
          <w:szCs w:val="24"/>
        </w:rPr>
        <w:t xml:space="preserve">luación de </w:t>
      </w:r>
      <w:r w:rsidR="002A24C9">
        <w:rPr>
          <w:rFonts w:ascii="Times New Roman" w:hAnsi="Times New Roman" w:cs="Times New Roman"/>
          <w:sz w:val="24"/>
          <w:szCs w:val="24"/>
        </w:rPr>
        <w:t xml:space="preserve">la </w:t>
      </w:r>
      <w:r w:rsidR="00137A9F" w:rsidRPr="00523E67">
        <w:rPr>
          <w:rFonts w:ascii="Times New Roman" w:hAnsi="Times New Roman" w:cs="Times New Roman"/>
          <w:sz w:val="24"/>
          <w:szCs w:val="24"/>
        </w:rPr>
        <w:t xml:space="preserve">cristalización </w:t>
      </w:r>
      <w:r w:rsidR="002A24C9">
        <w:rPr>
          <w:rFonts w:ascii="Times New Roman" w:hAnsi="Times New Roman" w:cs="Times New Roman"/>
          <w:sz w:val="24"/>
          <w:szCs w:val="24"/>
        </w:rPr>
        <w:t xml:space="preserve">observada en las diferentes muestras durante el almacenamiento </w:t>
      </w:r>
      <w:r w:rsidR="00137A9F" w:rsidRPr="00523E67">
        <w:rPr>
          <w:rFonts w:ascii="Times New Roman" w:hAnsi="Times New Roman" w:cs="Times New Roman"/>
          <w:sz w:val="24"/>
          <w:szCs w:val="24"/>
        </w:rPr>
        <w:t>se presentan</w:t>
      </w:r>
      <w:r w:rsidRPr="00523E67">
        <w:rPr>
          <w:rFonts w:ascii="Times New Roman" w:hAnsi="Times New Roman" w:cs="Times New Roman"/>
          <w:sz w:val="24"/>
          <w:szCs w:val="24"/>
        </w:rPr>
        <w:t xml:space="preserve"> en </w:t>
      </w:r>
      <w:r w:rsidR="00137A9F" w:rsidRPr="00523E67">
        <w:rPr>
          <w:rFonts w:ascii="Times New Roman" w:hAnsi="Times New Roman" w:cs="Times New Roman"/>
          <w:sz w:val="24"/>
          <w:szCs w:val="24"/>
        </w:rPr>
        <w:t>la Figura</w:t>
      </w:r>
      <w:r w:rsidR="006C64C4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9FBC3CC" w14:textId="014BE378" w:rsidR="0002180A" w:rsidRDefault="0002180A" w:rsidP="000218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0A">
        <w:rPr>
          <w:rFonts w:ascii="Times New Roman" w:hAnsi="Times New Roman" w:cs="Times New Roman"/>
          <w:sz w:val="24"/>
          <w:szCs w:val="24"/>
          <w:highlight w:val="yellow"/>
        </w:rPr>
        <w:t>Ejemplo formato</w:t>
      </w:r>
      <w:r w:rsidRPr="0002180A">
        <w:rPr>
          <w:rFonts w:ascii="Times New Roman" w:hAnsi="Times New Roman" w:cs="Times New Roman"/>
          <w:sz w:val="24"/>
          <w:szCs w:val="24"/>
          <w:highlight w:val="yellow"/>
        </w:rPr>
        <w:t xml:space="preserve"> FIGURA</w:t>
      </w:r>
    </w:p>
    <w:p w14:paraId="553F570F" w14:textId="77777777" w:rsidR="0002180A" w:rsidRDefault="0002180A" w:rsidP="00B604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3549AD" w14:textId="77777777" w:rsidR="0056720A" w:rsidRDefault="0056720A" w:rsidP="00B604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11FEB3" w14:textId="77777777" w:rsidR="006C64C4" w:rsidRDefault="006C64C4" w:rsidP="006C64C4">
      <w:pPr>
        <w:keepNext/>
        <w:spacing w:line="240" w:lineRule="auto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41B4C119" wp14:editId="3D2A0E95">
            <wp:extent cx="4389120" cy="2415540"/>
            <wp:effectExtent l="0" t="0" r="1143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64F26B" w14:textId="424E7207" w:rsidR="006C64C4" w:rsidRPr="002A24C9" w:rsidRDefault="006C64C4" w:rsidP="006C64C4">
      <w:pPr>
        <w:pStyle w:val="Descripcin"/>
        <w:spacing w:after="0"/>
        <w:ind w:left="810" w:right="746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A24C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Figura </w:t>
      </w:r>
      <w:r w:rsidR="00F97F63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2A24C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2A24C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Porcentaje de crista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lización </w:t>
      </w:r>
      <w:r w:rsidRPr="002A24C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durante el almacenamiento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 </w:t>
      </w:r>
      <w:r w:rsidRPr="002A24C9">
        <w:rPr>
          <w:rFonts w:ascii="Times New Roman" w:hAnsi="Times New Roman" w:cs="Times New Roman"/>
          <w:i w:val="0"/>
          <w:color w:val="auto"/>
          <w:sz w:val="24"/>
          <w:szCs w:val="24"/>
        </w:rPr>
        <w:t>20 ± 1 °C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 </w:t>
      </w:r>
      <w:r w:rsidRPr="002A24C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uvas pasas some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tidas a</w:t>
      </w:r>
      <w:r w:rsidRPr="002A24C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distintos tratamientos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C813947" w14:textId="77777777" w:rsidR="006C64C4" w:rsidRDefault="006C64C4" w:rsidP="00B604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630A0" w14:textId="094792CF" w:rsidR="00EC62CB" w:rsidRDefault="002A24C9" w:rsidP="000218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muestras presentaron</w:t>
      </w:r>
      <w:r w:rsidR="00B60412">
        <w:rPr>
          <w:rFonts w:ascii="Times New Roman" w:hAnsi="Times New Roman" w:cs="Times New Roman"/>
          <w:sz w:val="24"/>
          <w:szCs w:val="24"/>
        </w:rPr>
        <w:t xml:space="preserve"> un</w:t>
      </w:r>
      <w:r w:rsidR="000A3FB3">
        <w:rPr>
          <w:rFonts w:ascii="Times New Roman" w:hAnsi="Times New Roman" w:cs="Times New Roman"/>
          <w:sz w:val="24"/>
          <w:szCs w:val="24"/>
        </w:rPr>
        <w:t xml:space="preserve"> </w:t>
      </w:r>
      <w:r w:rsidR="008B5D06">
        <w:rPr>
          <w:rFonts w:ascii="Times New Roman" w:hAnsi="Times New Roman" w:cs="Times New Roman"/>
          <w:sz w:val="24"/>
          <w:szCs w:val="24"/>
        </w:rPr>
        <w:t>incremento</w:t>
      </w:r>
      <w:r w:rsidR="008B5D06" w:rsidRPr="00523E67">
        <w:rPr>
          <w:rFonts w:ascii="Times New Roman" w:hAnsi="Times New Roman" w:cs="Times New Roman"/>
          <w:sz w:val="24"/>
          <w:szCs w:val="24"/>
        </w:rPr>
        <w:t xml:space="preserve"> en </w:t>
      </w:r>
      <w:r w:rsidR="0002180A">
        <w:rPr>
          <w:rFonts w:ascii="Times New Roman" w:hAnsi="Times New Roman" w:cs="Times New Roman"/>
          <w:sz w:val="24"/>
          <w:szCs w:val="24"/>
        </w:rPr>
        <w:t>…</w:t>
      </w:r>
    </w:p>
    <w:p w14:paraId="0406C786" w14:textId="04657748" w:rsidR="0002180A" w:rsidRDefault="0002180A" w:rsidP="000218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14:paraId="66D9EE95" w14:textId="715406ED" w:rsidR="001538A5" w:rsidRPr="00EC62CB" w:rsidRDefault="001538A5" w:rsidP="00EC62CB">
      <w:pPr>
        <w:pStyle w:val="titulo1"/>
        <w:ind w:left="0" w:firstLine="0"/>
        <w:rPr>
          <w:rFonts w:cs="Times New Roman"/>
          <w:szCs w:val="24"/>
        </w:rPr>
      </w:pPr>
      <w:r w:rsidRPr="00523E67">
        <w:t>Conclusiones</w:t>
      </w:r>
    </w:p>
    <w:p w14:paraId="0E454B7E" w14:textId="730B4FF4" w:rsidR="00EC62CB" w:rsidRPr="00EC62CB" w:rsidRDefault="001538A5" w:rsidP="00A0498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  <w:lang w:val="es-ES"/>
        </w:rPr>
        <w:t xml:space="preserve">Los resultados obtenidos sugieren que las nuevas tecnologías podrían reemplazar a los procesos de desinfección tradicionales, </w:t>
      </w:r>
      <w:proofErr w:type="gramStart"/>
      <w:r w:rsidR="0002180A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="00DA153D" w:rsidRPr="00523E67">
        <w:rPr>
          <w:rFonts w:ascii="Times New Roman" w:hAnsi="Times New Roman" w:cs="Times New Roman"/>
          <w:sz w:val="24"/>
          <w:szCs w:val="24"/>
        </w:rPr>
        <w:t>.</w:t>
      </w:r>
    </w:p>
    <w:p w14:paraId="2C969AEA" w14:textId="72F8A216" w:rsidR="002674A0" w:rsidRPr="001538A5" w:rsidRDefault="001538A5" w:rsidP="001538A5">
      <w:pPr>
        <w:pStyle w:val="titulo1"/>
        <w:rPr>
          <w:rFonts w:cs="Times New Roman"/>
          <w:szCs w:val="24"/>
        </w:rPr>
      </w:pPr>
      <w:r>
        <w:t>A</w:t>
      </w:r>
      <w:r w:rsidR="002674A0" w:rsidRPr="00523E67">
        <w:t>gradecimientos</w:t>
      </w:r>
    </w:p>
    <w:p w14:paraId="3ADDEB16" w14:textId="1AEE6154" w:rsidR="00F85053" w:rsidRPr="00F85053" w:rsidRDefault="00F85053" w:rsidP="00F85053">
      <w:pPr>
        <w:pStyle w:val="titulo1"/>
        <w:numPr>
          <w:ilvl w:val="0"/>
          <w:numId w:val="0"/>
        </w:numPr>
        <w:jc w:val="both"/>
        <w:rPr>
          <w:b w:val="0"/>
        </w:rPr>
      </w:pPr>
      <w:r w:rsidRPr="00EC6633">
        <w:rPr>
          <w:b w:val="0"/>
        </w:rPr>
        <w:t>Los autores agradecen el financiamiento otorgado por el CONICET, la Universidad de Buenos Aires (</w:t>
      </w:r>
      <w:r w:rsidRPr="00EC6633">
        <w:rPr>
          <w:b w:val="0"/>
          <w:bCs/>
        </w:rPr>
        <w:t xml:space="preserve">UBACYT </w:t>
      </w:r>
      <w:r w:rsidR="0002180A">
        <w:rPr>
          <w:b w:val="0"/>
          <w:color w:val="222222"/>
          <w:shd w:val="clear" w:color="auto" w:fill="FFFFFF"/>
        </w:rPr>
        <w:t>XXX</w:t>
      </w:r>
      <w:r w:rsidRPr="00EC6633">
        <w:rPr>
          <w:b w:val="0"/>
          <w:color w:val="222222"/>
          <w:shd w:val="clear" w:color="auto" w:fill="FFFFFF"/>
        </w:rPr>
        <w:t xml:space="preserve">BA), la </w:t>
      </w:r>
      <w:proofErr w:type="spellStart"/>
      <w:r w:rsidRPr="00EC6633">
        <w:rPr>
          <w:b w:val="0"/>
          <w:color w:val="222222"/>
          <w:shd w:val="clear" w:color="auto" w:fill="FFFFFF"/>
        </w:rPr>
        <w:t>ANPCyT</w:t>
      </w:r>
      <w:proofErr w:type="spellEnd"/>
      <w:r w:rsidRPr="00EC6633">
        <w:rPr>
          <w:b w:val="0"/>
          <w:color w:val="222222"/>
          <w:shd w:val="clear" w:color="auto" w:fill="FFFFFF"/>
        </w:rPr>
        <w:t xml:space="preserve"> </w:t>
      </w:r>
      <w:r w:rsidRPr="00EC6633">
        <w:rPr>
          <w:b w:val="0"/>
        </w:rPr>
        <w:t xml:space="preserve">y la Corporación Vitivinícola Argentina </w:t>
      </w:r>
      <w:r w:rsidRPr="00EC6633">
        <w:rPr>
          <w:b w:val="0"/>
          <w:color w:val="222222"/>
          <w:shd w:val="clear" w:color="auto" w:fill="FFFFFF"/>
        </w:rPr>
        <w:t xml:space="preserve">(PICTO-COVIAR </w:t>
      </w:r>
      <w:r w:rsidR="0002180A">
        <w:rPr>
          <w:b w:val="0"/>
          <w:color w:val="000000"/>
          <w:shd w:val="clear" w:color="auto" w:fill="FFFFFF"/>
        </w:rPr>
        <w:t>XXX</w:t>
      </w:r>
      <w:r w:rsidRPr="00EC6633">
        <w:rPr>
          <w:b w:val="0"/>
        </w:rPr>
        <w:t>).</w:t>
      </w:r>
    </w:p>
    <w:p w14:paraId="3CF06393" w14:textId="3D384F54" w:rsidR="00F76BE0" w:rsidRPr="00523E67" w:rsidRDefault="00F76BE0" w:rsidP="00BE3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33703" w14:textId="77777777" w:rsidR="002674A0" w:rsidRPr="00523E67" w:rsidRDefault="002674A0" w:rsidP="00BE392C">
      <w:pPr>
        <w:pStyle w:val="titulo1"/>
        <w:spacing w:before="0" w:line="360" w:lineRule="auto"/>
        <w:jc w:val="both"/>
        <w:rPr>
          <w:rFonts w:cs="Times New Roman"/>
          <w:szCs w:val="24"/>
        </w:rPr>
      </w:pPr>
      <w:r w:rsidRPr="00523E67">
        <w:rPr>
          <w:rFonts w:cs="Times New Roman"/>
          <w:szCs w:val="24"/>
        </w:rPr>
        <w:t>Referencias</w:t>
      </w:r>
    </w:p>
    <w:p w14:paraId="49C309F7" w14:textId="0ACEAC58" w:rsidR="002C6DB1" w:rsidRPr="0075608A" w:rsidRDefault="0002180A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2180A">
        <w:rPr>
          <w:rFonts w:ascii="Times New Roman" w:hAnsi="Times New Roman" w:cs="Times New Roman"/>
          <w:sz w:val="18"/>
          <w:szCs w:val="18"/>
          <w:highlight w:val="yellow"/>
          <w:lang w:val="es"/>
        </w:rPr>
        <w:t>Ejemplo formato</w:t>
      </w:r>
      <w:r>
        <w:rPr>
          <w:rFonts w:ascii="Times New Roman" w:hAnsi="Times New Roman" w:cs="Times New Roman"/>
          <w:sz w:val="18"/>
          <w:szCs w:val="18"/>
          <w:lang w:val="es"/>
        </w:rPr>
        <w:t xml:space="preserve"> </w:t>
      </w:r>
      <w:proofErr w:type="spellStart"/>
      <w:r w:rsidR="002C6DB1" w:rsidRPr="0075608A">
        <w:rPr>
          <w:rFonts w:ascii="Times New Roman" w:hAnsi="Times New Roman" w:cs="Times New Roman"/>
          <w:sz w:val="18"/>
          <w:szCs w:val="18"/>
        </w:rPr>
        <w:t>Alvarez</w:t>
      </w:r>
      <w:proofErr w:type="spellEnd"/>
      <w:r w:rsidR="002C6DB1" w:rsidRPr="0075608A">
        <w:rPr>
          <w:rFonts w:ascii="Times New Roman" w:hAnsi="Times New Roman" w:cs="Times New Roman"/>
          <w:sz w:val="18"/>
          <w:szCs w:val="18"/>
        </w:rPr>
        <w:t xml:space="preserve">, L., Urrutia, P., Olivares, A., Flores, A., Bhandari, B. y Almonacid, S. (2021). </w:t>
      </w:r>
      <w:r w:rsidR="002C6DB1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Comparison of microwave short time and oven heating pretreatment on crystallization of raisins. </w:t>
      </w:r>
      <w:r w:rsidR="002C6DB1" w:rsidRPr="0075608A">
        <w:rPr>
          <w:rFonts w:ascii="Times New Roman" w:hAnsi="Times New Roman" w:cs="Times New Roman"/>
          <w:i/>
          <w:sz w:val="18"/>
          <w:szCs w:val="18"/>
          <w:lang w:val="en-US"/>
        </w:rPr>
        <w:t>Foods</w:t>
      </w:r>
      <w:r w:rsidR="002C6DB1" w:rsidRPr="0075608A">
        <w:rPr>
          <w:rFonts w:ascii="Times New Roman" w:hAnsi="Times New Roman" w:cs="Times New Roman"/>
          <w:sz w:val="18"/>
          <w:szCs w:val="18"/>
          <w:lang w:val="en-US"/>
        </w:rPr>
        <w:t>, 10</w:t>
      </w:r>
      <w:r w:rsidR="000928A8" w:rsidRPr="0075608A">
        <w:rPr>
          <w:rFonts w:ascii="Times New Roman" w:hAnsi="Times New Roman" w:cs="Times New Roman"/>
          <w:sz w:val="18"/>
          <w:szCs w:val="18"/>
          <w:lang w:val="en-US"/>
        </w:rPr>
        <w:t>(1):</w:t>
      </w:r>
      <w:r w:rsidR="002C6DB1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39</w:t>
      </w:r>
      <w:r w:rsidR="000928A8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75608A" w:rsidRPr="0075608A">
        <w:rPr>
          <w:rFonts w:ascii="Times New Roman" w:hAnsi="Times New Roman" w:cs="Times New Roman"/>
          <w:sz w:val="18"/>
          <w:szCs w:val="18"/>
          <w:lang w:val="en-US"/>
        </w:rPr>
        <w:t>https://doi.org/</w:t>
      </w:r>
      <w:r w:rsidR="000928A8" w:rsidRPr="006C64C4">
        <w:rPr>
          <w:rFonts w:ascii="Times New Roman" w:hAnsi="Times New Roman" w:cs="Times New Roman"/>
          <w:sz w:val="18"/>
          <w:szCs w:val="18"/>
          <w:lang w:val="en-US"/>
        </w:rPr>
        <w:t>10.3390/foods10010039</w:t>
      </w:r>
      <w:r w:rsidR="002C6DB1" w:rsidRPr="006C64C4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2C6DB1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8F0828E" w14:textId="4923B218" w:rsidR="00617112" w:rsidRDefault="00617112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75608A">
        <w:rPr>
          <w:rFonts w:ascii="Times New Roman" w:hAnsi="Times New Roman" w:cs="Times New Roman"/>
          <w:sz w:val="18"/>
          <w:szCs w:val="18"/>
          <w:lang w:val="en-US"/>
        </w:rPr>
        <w:t>Aslam,</w:t>
      </w:r>
      <w:r w:rsidR="00E74CB9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R., Alam, M. S. y Saeed, P. A. (2020). </w:t>
      </w:r>
      <w:r w:rsidR="0098545B" w:rsidRPr="0075608A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E74CB9"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anitization potential of ozone and its role in postharvest quality management of fruits and vegetables. </w:t>
      </w:r>
      <w:r w:rsidR="00E74CB9" w:rsidRPr="0075608A">
        <w:rPr>
          <w:rFonts w:ascii="Times New Roman" w:hAnsi="Times New Roman" w:cs="Times New Roman"/>
          <w:i/>
          <w:sz w:val="18"/>
          <w:szCs w:val="18"/>
          <w:lang w:val="en-US"/>
        </w:rPr>
        <w:t>Food Engineering Reviews</w:t>
      </w:r>
      <w:r w:rsidR="00E74CB9" w:rsidRPr="0075608A">
        <w:rPr>
          <w:rFonts w:ascii="Times New Roman" w:hAnsi="Times New Roman" w:cs="Times New Roman"/>
          <w:sz w:val="18"/>
          <w:szCs w:val="18"/>
          <w:lang w:val="en-US"/>
        </w:rPr>
        <w:t>, 12, 48–67.</w:t>
      </w:r>
    </w:p>
    <w:p w14:paraId="4DB45877" w14:textId="77777777" w:rsidR="00EC62CB" w:rsidRDefault="00A23D1A" w:rsidP="00BE392C">
      <w:pPr>
        <w:pStyle w:val="Tesis-Texto"/>
        <w:spacing w:before="0" w:after="0" w:line="36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spellStart"/>
      <w:r w:rsidRPr="0002180A">
        <w:rPr>
          <w:rFonts w:ascii="Times New Roman" w:hAnsi="Times New Roman" w:cs="Times New Roman"/>
          <w:sz w:val="18"/>
          <w:szCs w:val="18"/>
        </w:rPr>
        <w:t>Dawar</w:t>
      </w:r>
      <w:proofErr w:type="spellEnd"/>
      <w:r w:rsidRPr="0002180A">
        <w:rPr>
          <w:rFonts w:ascii="Times New Roman" w:hAnsi="Times New Roman" w:cs="Times New Roman"/>
          <w:sz w:val="18"/>
          <w:szCs w:val="18"/>
        </w:rPr>
        <w:t xml:space="preserve">, S., Tariq, M., y </w:t>
      </w:r>
      <w:proofErr w:type="spellStart"/>
      <w:r w:rsidRPr="0002180A">
        <w:rPr>
          <w:rFonts w:ascii="Times New Roman" w:hAnsi="Times New Roman" w:cs="Times New Roman"/>
          <w:sz w:val="18"/>
          <w:szCs w:val="18"/>
        </w:rPr>
        <w:t>Aslam</w:t>
      </w:r>
      <w:proofErr w:type="spellEnd"/>
      <w:r w:rsidRPr="0002180A">
        <w:rPr>
          <w:rFonts w:ascii="Times New Roman" w:hAnsi="Times New Roman" w:cs="Times New Roman"/>
          <w:sz w:val="18"/>
          <w:szCs w:val="18"/>
        </w:rPr>
        <w:t>, S. (2017).</w:t>
      </w:r>
      <w:r w:rsidRPr="0002180A">
        <w:t xml:space="preserve"> 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>Mycoflora associated with raisins (</w:t>
      </w:r>
      <w:r w:rsidRPr="0075608A">
        <w:rPr>
          <w:rFonts w:ascii="Times New Roman" w:hAnsi="Times New Roman" w:cs="Times New Roman"/>
          <w:i/>
          <w:sz w:val="18"/>
          <w:szCs w:val="18"/>
          <w:lang w:val="en-US"/>
        </w:rPr>
        <w:t>Vitis vinifera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L.) collected across Pakistan. </w:t>
      </w:r>
    </w:p>
    <w:p w14:paraId="2226570A" w14:textId="71B35B0F" w:rsidR="00D74A07" w:rsidRPr="0075608A" w:rsidRDefault="00EC62CB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EC62CB">
        <w:rPr>
          <w:rFonts w:ascii="Times New Roman" w:hAnsi="Times New Roman" w:cs="Times New Roman"/>
          <w:i/>
          <w:sz w:val="18"/>
          <w:szCs w:val="18"/>
          <w:lang w:val="en-US"/>
        </w:rPr>
        <w:t xml:space="preserve">Pakistan Journal of Botany, </w:t>
      </w:r>
      <w:r>
        <w:rPr>
          <w:rFonts w:ascii="Times New Roman" w:hAnsi="Times New Roman" w:cs="Times New Roman"/>
          <w:sz w:val="18"/>
          <w:szCs w:val="18"/>
          <w:lang w:val="en-US"/>
        </w:rPr>
        <w:t>49</w:t>
      </w:r>
      <w:r w:rsidR="00A23D1A" w:rsidRPr="00EC62CB">
        <w:rPr>
          <w:rFonts w:ascii="Times New Roman" w:hAnsi="Times New Roman" w:cs="Times New Roman"/>
          <w:sz w:val="18"/>
          <w:szCs w:val="18"/>
          <w:lang w:val="en-US"/>
        </w:rPr>
        <w:t>, 1975</w:t>
      </w:r>
      <w:r w:rsidR="00A23D1A" w:rsidRPr="0075608A">
        <w:rPr>
          <w:rFonts w:ascii="Times New Roman" w:hAnsi="Times New Roman" w:cs="Times New Roman"/>
          <w:sz w:val="18"/>
          <w:szCs w:val="18"/>
          <w:lang w:val="en-US"/>
        </w:rPr>
        <w:t>-1979.</w:t>
      </w:r>
    </w:p>
    <w:p w14:paraId="37C38D09" w14:textId="506F4C2E" w:rsidR="00D74A07" w:rsidRPr="0075608A" w:rsidRDefault="004358E6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75608A">
        <w:rPr>
          <w:rFonts w:ascii="Times New Roman" w:hAnsi="Times New Roman" w:cs="Times New Roman"/>
          <w:sz w:val="18"/>
          <w:szCs w:val="18"/>
        </w:rPr>
        <w:t xml:space="preserve">Guerrero-Beltrán, J. A., y Barbosa-Cánovas, G. V. (2005). 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Reduction of Saccharomyces cerevisiae, Escherichia coli and Listeria innocua in apple juice by ultraviolet light. </w:t>
      </w:r>
      <w:r w:rsidRPr="0075608A">
        <w:rPr>
          <w:rFonts w:ascii="Times New Roman" w:hAnsi="Times New Roman" w:cs="Times New Roman"/>
          <w:i/>
          <w:sz w:val="18"/>
          <w:szCs w:val="18"/>
          <w:lang w:val="en-US"/>
        </w:rPr>
        <w:t>Journal of Food Process Engineering</w:t>
      </w:r>
      <w:r w:rsidR="00EC62CB">
        <w:rPr>
          <w:rFonts w:ascii="Times New Roman" w:hAnsi="Times New Roman" w:cs="Times New Roman"/>
          <w:sz w:val="18"/>
          <w:szCs w:val="18"/>
          <w:lang w:val="en-US"/>
        </w:rPr>
        <w:t>, 28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>, 437–452.</w:t>
      </w:r>
    </w:p>
    <w:p w14:paraId="53A75A0C" w14:textId="511A560E" w:rsidR="00C023CD" w:rsidRPr="0075608A" w:rsidRDefault="00C023CD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</w:rPr>
      </w:pPr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Gutierrez, A., Suero, E., Espíndola, R. S. (2019). </w:t>
      </w:r>
      <w:r w:rsidRPr="0075608A">
        <w:rPr>
          <w:rFonts w:ascii="Times New Roman" w:hAnsi="Times New Roman" w:cs="Times New Roman"/>
          <w:sz w:val="18"/>
          <w:szCs w:val="18"/>
        </w:rPr>
        <w:t>Tecnología para la producción y calidad de pasas de uva</w:t>
      </w:r>
      <w:r w:rsidR="00D15534" w:rsidRPr="0075608A">
        <w:rPr>
          <w:rFonts w:ascii="Times New Roman" w:hAnsi="Times New Roman" w:cs="Times New Roman"/>
          <w:sz w:val="18"/>
          <w:szCs w:val="18"/>
        </w:rPr>
        <w:t xml:space="preserve">. </w:t>
      </w:r>
      <w:r w:rsidR="00D15534" w:rsidRPr="0075608A">
        <w:rPr>
          <w:rFonts w:ascii="Times New Roman" w:hAnsi="Times New Roman" w:cs="Times New Roman"/>
          <w:i/>
          <w:sz w:val="18"/>
          <w:szCs w:val="18"/>
        </w:rPr>
        <w:t>INTA Ediciones, EEA</w:t>
      </w:r>
      <w:r w:rsidR="007C4234" w:rsidRPr="0075608A">
        <w:rPr>
          <w:rFonts w:ascii="Times New Roman" w:hAnsi="Times New Roman" w:cs="Times New Roman"/>
          <w:i/>
          <w:sz w:val="18"/>
          <w:szCs w:val="18"/>
        </w:rPr>
        <w:t>, Buenos Aires</w:t>
      </w:r>
      <w:r w:rsidR="00D15534" w:rsidRPr="0075608A">
        <w:rPr>
          <w:rFonts w:ascii="Times New Roman" w:hAnsi="Times New Roman" w:cs="Times New Roman"/>
          <w:sz w:val="18"/>
          <w:szCs w:val="18"/>
        </w:rPr>
        <w:t>.</w:t>
      </w:r>
    </w:p>
    <w:p w14:paraId="683E2B13" w14:textId="31463818" w:rsidR="00F76BE0" w:rsidRPr="005F6E4F" w:rsidRDefault="005F6E4F" w:rsidP="00BE392C">
      <w:pPr>
        <w:pStyle w:val="Tesis-Texto"/>
        <w:spacing w:before="0"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5608A">
        <w:rPr>
          <w:rFonts w:ascii="Times New Roman" w:hAnsi="Times New Roman" w:cs="Times New Roman"/>
          <w:sz w:val="18"/>
          <w:szCs w:val="18"/>
        </w:rPr>
        <w:t>Zoffoli</w:t>
      </w:r>
      <w:proofErr w:type="spellEnd"/>
      <w:r w:rsidR="00B93A1E" w:rsidRPr="0075608A">
        <w:rPr>
          <w:rFonts w:ascii="Times New Roman" w:hAnsi="Times New Roman" w:cs="Times New Roman"/>
          <w:sz w:val="18"/>
          <w:szCs w:val="18"/>
        </w:rPr>
        <w:t xml:space="preserve"> </w:t>
      </w:r>
      <w:r w:rsidRPr="0075608A">
        <w:rPr>
          <w:rFonts w:ascii="Times New Roman" w:hAnsi="Times New Roman" w:cs="Times New Roman"/>
          <w:sz w:val="18"/>
          <w:szCs w:val="18"/>
        </w:rPr>
        <w:t xml:space="preserve">J. P. y Latorre, B. A. (2011). 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>Table grape (</w:t>
      </w:r>
      <w:r w:rsidRPr="0075608A">
        <w:rPr>
          <w:rFonts w:ascii="Times New Roman" w:hAnsi="Times New Roman" w:cs="Times New Roman"/>
          <w:i/>
          <w:sz w:val="18"/>
          <w:szCs w:val="18"/>
          <w:lang w:val="en-US"/>
        </w:rPr>
        <w:t>Vitis vinifera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L.). </w:t>
      </w:r>
      <w:r w:rsidRPr="0075608A">
        <w:rPr>
          <w:rFonts w:ascii="Times New Roman" w:hAnsi="Times New Roman" w:cs="Times New Roman"/>
          <w:i/>
          <w:sz w:val="18"/>
          <w:szCs w:val="18"/>
          <w:lang w:val="en-US"/>
        </w:rPr>
        <w:t>Postharvest biology and technology of tropical and subtropical fruits, Woodhead Publishing Limited</w:t>
      </w:r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75608A">
        <w:rPr>
          <w:rFonts w:ascii="Times New Roman" w:hAnsi="Times New Roman" w:cs="Times New Roman"/>
          <w:sz w:val="18"/>
          <w:szCs w:val="18"/>
          <w:lang w:val="en-US"/>
        </w:rPr>
        <w:t>capítulo</w:t>
      </w:r>
      <w:proofErr w:type="spellEnd"/>
      <w:r w:rsidRPr="0075608A">
        <w:rPr>
          <w:rFonts w:ascii="Times New Roman" w:hAnsi="Times New Roman" w:cs="Times New Roman"/>
          <w:sz w:val="18"/>
          <w:szCs w:val="18"/>
          <w:lang w:val="en-US"/>
        </w:rPr>
        <w:t xml:space="preserve"> 9, 179-214.</w:t>
      </w:r>
    </w:p>
    <w:sectPr w:rsidR="00F76BE0" w:rsidRPr="005F6E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3A56" w14:textId="77777777" w:rsidR="0071440F" w:rsidRDefault="0071440F" w:rsidP="00CA63B3">
      <w:pPr>
        <w:spacing w:line="240" w:lineRule="auto"/>
      </w:pPr>
      <w:r>
        <w:separator/>
      </w:r>
    </w:p>
  </w:endnote>
  <w:endnote w:type="continuationSeparator" w:id="0">
    <w:p w14:paraId="291A4305" w14:textId="77777777" w:rsidR="0071440F" w:rsidRDefault="0071440F" w:rsidP="00C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D354" w14:textId="77777777" w:rsidR="0071440F" w:rsidRDefault="0071440F" w:rsidP="00CA63B3">
      <w:pPr>
        <w:spacing w:line="240" w:lineRule="auto"/>
      </w:pPr>
      <w:r>
        <w:separator/>
      </w:r>
    </w:p>
  </w:footnote>
  <w:footnote w:type="continuationSeparator" w:id="0">
    <w:p w14:paraId="65B25886" w14:textId="77777777" w:rsidR="0071440F" w:rsidRDefault="0071440F" w:rsidP="00C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276"/>
    <w:multiLevelType w:val="multilevel"/>
    <w:tmpl w:val="DB4C90F4"/>
    <w:lvl w:ilvl="0">
      <w:start w:val="1"/>
      <w:numFmt w:val="decimal"/>
      <w:pStyle w:val="titulo1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" w15:restartNumberingAfterBreak="0">
    <w:nsid w:val="1C1742FD"/>
    <w:multiLevelType w:val="hybridMultilevel"/>
    <w:tmpl w:val="566E54FA"/>
    <w:lvl w:ilvl="0" w:tplc="8C96B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7697"/>
    <w:multiLevelType w:val="hybridMultilevel"/>
    <w:tmpl w:val="0E7AAD90"/>
    <w:lvl w:ilvl="0" w:tplc="2B828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21186139">
    <w:abstractNumId w:val="1"/>
  </w:num>
  <w:num w:numId="2" w16cid:durableId="1740861317">
    <w:abstractNumId w:val="0"/>
  </w:num>
  <w:num w:numId="3" w16cid:durableId="1289161892">
    <w:abstractNumId w:val="2"/>
  </w:num>
  <w:num w:numId="4" w16cid:durableId="693458988">
    <w:abstractNumId w:val="0"/>
    <w:lvlOverride w:ilvl="0">
      <w:startOverride w:val="2"/>
    </w:lvlOverride>
    <w:lvlOverride w:ilvl="1">
      <w:startOverride w:val="5"/>
    </w:lvlOverride>
  </w:num>
  <w:num w:numId="5" w16cid:durableId="9427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B3"/>
    <w:rsid w:val="000144F7"/>
    <w:rsid w:val="0002059F"/>
    <w:rsid w:val="0002180A"/>
    <w:rsid w:val="00064984"/>
    <w:rsid w:val="000703F2"/>
    <w:rsid w:val="00080AB2"/>
    <w:rsid w:val="00082FE7"/>
    <w:rsid w:val="0009273D"/>
    <w:rsid w:val="000928A8"/>
    <w:rsid w:val="000951AA"/>
    <w:rsid w:val="00096E9C"/>
    <w:rsid w:val="000A0B3F"/>
    <w:rsid w:val="000A22DB"/>
    <w:rsid w:val="000A3FB3"/>
    <w:rsid w:val="000A5497"/>
    <w:rsid w:val="000D1396"/>
    <w:rsid w:val="000E2529"/>
    <w:rsid w:val="000E5A79"/>
    <w:rsid w:val="000E793A"/>
    <w:rsid w:val="000F20C3"/>
    <w:rsid w:val="0010016C"/>
    <w:rsid w:val="00110D25"/>
    <w:rsid w:val="001269C1"/>
    <w:rsid w:val="00127157"/>
    <w:rsid w:val="00127DF7"/>
    <w:rsid w:val="001343F5"/>
    <w:rsid w:val="00137A9F"/>
    <w:rsid w:val="001410EF"/>
    <w:rsid w:val="00141B31"/>
    <w:rsid w:val="001433F6"/>
    <w:rsid w:val="00144F11"/>
    <w:rsid w:val="001538A5"/>
    <w:rsid w:val="00162BC3"/>
    <w:rsid w:val="00195C26"/>
    <w:rsid w:val="001A402C"/>
    <w:rsid w:val="001D6189"/>
    <w:rsid w:val="001E7420"/>
    <w:rsid w:val="001E749C"/>
    <w:rsid w:val="001F2955"/>
    <w:rsid w:val="001F5B73"/>
    <w:rsid w:val="00201AE6"/>
    <w:rsid w:val="00236795"/>
    <w:rsid w:val="002464E0"/>
    <w:rsid w:val="00250162"/>
    <w:rsid w:val="00253698"/>
    <w:rsid w:val="00260E96"/>
    <w:rsid w:val="00262CD6"/>
    <w:rsid w:val="002674A0"/>
    <w:rsid w:val="00270A15"/>
    <w:rsid w:val="00271337"/>
    <w:rsid w:val="002732F2"/>
    <w:rsid w:val="00282DCE"/>
    <w:rsid w:val="002A24C9"/>
    <w:rsid w:val="002A4766"/>
    <w:rsid w:val="002B3691"/>
    <w:rsid w:val="002B6211"/>
    <w:rsid w:val="002C6DB1"/>
    <w:rsid w:val="002C6EA2"/>
    <w:rsid w:val="002D0B22"/>
    <w:rsid w:val="002D4163"/>
    <w:rsid w:val="00314688"/>
    <w:rsid w:val="00315C99"/>
    <w:rsid w:val="003431A4"/>
    <w:rsid w:val="00347C62"/>
    <w:rsid w:val="00350363"/>
    <w:rsid w:val="003542AF"/>
    <w:rsid w:val="003551B7"/>
    <w:rsid w:val="003818A2"/>
    <w:rsid w:val="0039505A"/>
    <w:rsid w:val="003A00C9"/>
    <w:rsid w:val="003B377E"/>
    <w:rsid w:val="003B649F"/>
    <w:rsid w:val="003C0095"/>
    <w:rsid w:val="003C2841"/>
    <w:rsid w:val="003D2C75"/>
    <w:rsid w:val="003D40C6"/>
    <w:rsid w:val="003E4E42"/>
    <w:rsid w:val="003E650A"/>
    <w:rsid w:val="00430071"/>
    <w:rsid w:val="004309B4"/>
    <w:rsid w:val="00433526"/>
    <w:rsid w:val="00433B6E"/>
    <w:rsid w:val="004358E6"/>
    <w:rsid w:val="004429AD"/>
    <w:rsid w:val="004523B7"/>
    <w:rsid w:val="004527C8"/>
    <w:rsid w:val="0047177E"/>
    <w:rsid w:val="00471BB4"/>
    <w:rsid w:val="00481A69"/>
    <w:rsid w:val="0048462F"/>
    <w:rsid w:val="00490CF3"/>
    <w:rsid w:val="00490F4F"/>
    <w:rsid w:val="004B4759"/>
    <w:rsid w:val="004C56B5"/>
    <w:rsid w:val="004C5A0E"/>
    <w:rsid w:val="004D7182"/>
    <w:rsid w:val="004E530B"/>
    <w:rsid w:val="004E6CA1"/>
    <w:rsid w:val="004F0B4F"/>
    <w:rsid w:val="00502BE2"/>
    <w:rsid w:val="005123E6"/>
    <w:rsid w:val="0051434C"/>
    <w:rsid w:val="00514A5B"/>
    <w:rsid w:val="00517D41"/>
    <w:rsid w:val="00523E67"/>
    <w:rsid w:val="00524965"/>
    <w:rsid w:val="0054019A"/>
    <w:rsid w:val="005419D9"/>
    <w:rsid w:val="00553DA7"/>
    <w:rsid w:val="0055437A"/>
    <w:rsid w:val="00563E92"/>
    <w:rsid w:val="0056720A"/>
    <w:rsid w:val="005A1EA1"/>
    <w:rsid w:val="005B108F"/>
    <w:rsid w:val="005B4D5E"/>
    <w:rsid w:val="005E3C62"/>
    <w:rsid w:val="005F6E4F"/>
    <w:rsid w:val="00607551"/>
    <w:rsid w:val="00615102"/>
    <w:rsid w:val="00615D7A"/>
    <w:rsid w:val="00617112"/>
    <w:rsid w:val="0062282C"/>
    <w:rsid w:val="00636ED9"/>
    <w:rsid w:val="00647470"/>
    <w:rsid w:val="0065598A"/>
    <w:rsid w:val="00662278"/>
    <w:rsid w:val="006636C1"/>
    <w:rsid w:val="006748C2"/>
    <w:rsid w:val="00675E32"/>
    <w:rsid w:val="00683EB2"/>
    <w:rsid w:val="00690558"/>
    <w:rsid w:val="006A38E7"/>
    <w:rsid w:val="006C1760"/>
    <w:rsid w:val="006C2EAC"/>
    <w:rsid w:val="006C64C4"/>
    <w:rsid w:val="006D1251"/>
    <w:rsid w:val="006D226C"/>
    <w:rsid w:val="006D59A8"/>
    <w:rsid w:val="006E211F"/>
    <w:rsid w:val="00703CAE"/>
    <w:rsid w:val="0071439B"/>
    <w:rsid w:val="0071440F"/>
    <w:rsid w:val="0072262D"/>
    <w:rsid w:val="0075311B"/>
    <w:rsid w:val="0075608A"/>
    <w:rsid w:val="00767CBE"/>
    <w:rsid w:val="007762DE"/>
    <w:rsid w:val="00792A52"/>
    <w:rsid w:val="007A2C53"/>
    <w:rsid w:val="007A35CB"/>
    <w:rsid w:val="007B2E47"/>
    <w:rsid w:val="007C4234"/>
    <w:rsid w:val="007D0137"/>
    <w:rsid w:val="007E1A39"/>
    <w:rsid w:val="007E6697"/>
    <w:rsid w:val="007F043C"/>
    <w:rsid w:val="007F4F80"/>
    <w:rsid w:val="008046B0"/>
    <w:rsid w:val="008051C5"/>
    <w:rsid w:val="008212F9"/>
    <w:rsid w:val="008711D7"/>
    <w:rsid w:val="0087327A"/>
    <w:rsid w:val="008931A4"/>
    <w:rsid w:val="0089774C"/>
    <w:rsid w:val="008A70A9"/>
    <w:rsid w:val="008B5D06"/>
    <w:rsid w:val="008D211C"/>
    <w:rsid w:val="008D7881"/>
    <w:rsid w:val="008F411D"/>
    <w:rsid w:val="009006E2"/>
    <w:rsid w:val="0096726E"/>
    <w:rsid w:val="00972731"/>
    <w:rsid w:val="0098545B"/>
    <w:rsid w:val="00990627"/>
    <w:rsid w:val="009D6934"/>
    <w:rsid w:val="009E34BB"/>
    <w:rsid w:val="009F0685"/>
    <w:rsid w:val="009F3D7B"/>
    <w:rsid w:val="009F4607"/>
    <w:rsid w:val="009F49C5"/>
    <w:rsid w:val="00A04980"/>
    <w:rsid w:val="00A10B2B"/>
    <w:rsid w:val="00A17E02"/>
    <w:rsid w:val="00A22307"/>
    <w:rsid w:val="00A23D1A"/>
    <w:rsid w:val="00A370EB"/>
    <w:rsid w:val="00A42545"/>
    <w:rsid w:val="00A91528"/>
    <w:rsid w:val="00AA03C8"/>
    <w:rsid w:val="00AA06EB"/>
    <w:rsid w:val="00AA52C2"/>
    <w:rsid w:val="00AC209C"/>
    <w:rsid w:val="00AE5CD6"/>
    <w:rsid w:val="00AE68E9"/>
    <w:rsid w:val="00AE7562"/>
    <w:rsid w:val="00AF468C"/>
    <w:rsid w:val="00B03D17"/>
    <w:rsid w:val="00B04E51"/>
    <w:rsid w:val="00B06317"/>
    <w:rsid w:val="00B15AC6"/>
    <w:rsid w:val="00B2070A"/>
    <w:rsid w:val="00B36E92"/>
    <w:rsid w:val="00B409B7"/>
    <w:rsid w:val="00B4359C"/>
    <w:rsid w:val="00B4419E"/>
    <w:rsid w:val="00B53816"/>
    <w:rsid w:val="00B55DA4"/>
    <w:rsid w:val="00B60412"/>
    <w:rsid w:val="00B74325"/>
    <w:rsid w:val="00B77017"/>
    <w:rsid w:val="00B8131E"/>
    <w:rsid w:val="00B93A1E"/>
    <w:rsid w:val="00BA0E9E"/>
    <w:rsid w:val="00BA0F5B"/>
    <w:rsid w:val="00BA2210"/>
    <w:rsid w:val="00BB43A9"/>
    <w:rsid w:val="00BB6A55"/>
    <w:rsid w:val="00BD0785"/>
    <w:rsid w:val="00BD2679"/>
    <w:rsid w:val="00BE392C"/>
    <w:rsid w:val="00BE5C10"/>
    <w:rsid w:val="00BF5477"/>
    <w:rsid w:val="00C023CD"/>
    <w:rsid w:val="00C027EA"/>
    <w:rsid w:val="00C02A33"/>
    <w:rsid w:val="00C11BCD"/>
    <w:rsid w:val="00C34EA2"/>
    <w:rsid w:val="00C359B2"/>
    <w:rsid w:val="00C4308E"/>
    <w:rsid w:val="00C601A7"/>
    <w:rsid w:val="00C6333A"/>
    <w:rsid w:val="00C66769"/>
    <w:rsid w:val="00C70769"/>
    <w:rsid w:val="00C7541C"/>
    <w:rsid w:val="00C840D2"/>
    <w:rsid w:val="00C84467"/>
    <w:rsid w:val="00C8569D"/>
    <w:rsid w:val="00C85734"/>
    <w:rsid w:val="00CA63B3"/>
    <w:rsid w:val="00CB19D2"/>
    <w:rsid w:val="00CC5997"/>
    <w:rsid w:val="00CD0A00"/>
    <w:rsid w:val="00CE7AE5"/>
    <w:rsid w:val="00CF6518"/>
    <w:rsid w:val="00D00DA3"/>
    <w:rsid w:val="00D02243"/>
    <w:rsid w:val="00D15534"/>
    <w:rsid w:val="00D177EC"/>
    <w:rsid w:val="00D247EA"/>
    <w:rsid w:val="00D31286"/>
    <w:rsid w:val="00D4760F"/>
    <w:rsid w:val="00D5287C"/>
    <w:rsid w:val="00D54A32"/>
    <w:rsid w:val="00D62A37"/>
    <w:rsid w:val="00D656A1"/>
    <w:rsid w:val="00D67A00"/>
    <w:rsid w:val="00D7497E"/>
    <w:rsid w:val="00D74A07"/>
    <w:rsid w:val="00D8578B"/>
    <w:rsid w:val="00D90841"/>
    <w:rsid w:val="00D9345A"/>
    <w:rsid w:val="00DA153D"/>
    <w:rsid w:val="00DB2CE9"/>
    <w:rsid w:val="00DC0158"/>
    <w:rsid w:val="00DF6F0B"/>
    <w:rsid w:val="00DF7D9F"/>
    <w:rsid w:val="00E31B7A"/>
    <w:rsid w:val="00E35A66"/>
    <w:rsid w:val="00E610C0"/>
    <w:rsid w:val="00E720BF"/>
    <w:rsid w:val="00E74CB9"/>
    <w:rsid w:val="00E76246"/>
    <w:rsid w:val="00E77CD4"/>
    <w:rsid w:val="00EC3E05"/>
    <w:rsid w:val="00EC62CB"/>
    <w:rsid w:val="00EC6633"/>
    <w:rsid w:val="00EF27D1"/>
    <w:rsid w:val="00F006E6"/>
    <w:rsid w:val="00F02899"/>
    <w:rsid w:val="00F11AB0"/>
    <w:rsid w:val="00F12A35"/>
    <w:rsid w:val="00F169C1"/>
    <w:rsid w:val="00F324C3"/>
    <w:rsid w:val="00F37B61"/>
    <w:rsid w:val="00F76BE0"/>
    <w:rsid w:val="00F85053"/>
    <w:rsid w:val="00F857AB"/>
    <w:rsid w:val="00F97F63"/>
    <w:rsid w:val="00FA24B4"/>
    <w:rsid w:val="00FB320A"/>
    <w:rsid w:val="00FB55CD"/>
    <w:rsid w:val="00FC7CCC"/>
    <w:rsid w:val="00FD0117"/>
    <w:rsid w:val="00FD0DB6"/>
    <w:rsid w:val="00FD6839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05AB"/>
  <w15:docId w15:val="{BF00A08C-E5F8-4E42-BB0F-70D56EF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3B3"/>
    <w:pPr>
      <w:spacing w:after="0" w:line="276" w:lineRule="auto"/>
    </w:pPr>
    <w:rPr>
      <w:rFonts w:ascii="Arial" w:eastAsia="Arial" w:hAnsi="Arial" w:cs="Arial"/>
      <w:lang w:val="es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674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3B3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3B3"/>
    <w:rPr>
      <w:rFonts w:ascii="Arial" w:eastAsia="Arial" w:hAnsi="Arial" w:cs="Arial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CA63B3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3B3"/>
    <w:rPr>
      <w:rFonts w:ascii="Arial" w:eastAsia="Arial" w:hAnsi="Arial" w:cs="Arial"/>
      <w:lang w:val="es" w:eastAsia="es-AR"/>
    </w:rPr>
  </w:style>
  <w:style w:type="paragraph" w:styleId="Prrafodelista">
    <w:name w:val="List Paragraph"/>
    <w:basedOn w:val="Normal"/>
    <w:uiPriority w:val="34"/>
    <w:qFormat/>
    <w:rsid w:val="00BD078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674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es-AR"/>
    </w:rPr>
  </w:style>
  <w:style w:type="paragraph" w:customStyle="1" w:styleId="titulo1">
    <w:name w:val="titulo 1"/>
    <w:basedOn w:val="Ttulo1"/>
    <w:link w:val="titulo1Car"/>
    <w:qFormat/>
    <w:rsid w:val="002674A0"/>
    <w:pPr>
      <w:numPr>
        <w:numId w:val="2"/>
      </w:numPr>
    </w:pPr>
    <w:rPr>
      <w:rFonts w:ascii="Times New Roman" w:hAnsi="Times New Roman"/>
      <w:b/>
      <w:color w:val="000000" w:themeColor="text1"/>
      <w:sz w:val="24"/>
    </w:rPr>
  </w:style>
  <w:style w:type="character" w:customStyle="1" w:styleId="titulo1Car">
    <w:name w:val="titulo 1 Car"/>
    <w:basedOn w:val="Ttulo1Car"/>
    <w:link w:val="titulo1"/>
    <w:rsid w:val="002674A0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" w:eastAsia="es-AR"/>
    </w:rPr>
  </w:style>
  <w:style w:type="paragraph" w:styleId="Descripcin">
    <w:name w:val="caption"/>
    <w:basedOn w:val="Normal"/>
    <w:next w:val="Normal"/>
    <w:uiPriority w:val="35"/>
    <w:unhideWhenUsed/>
    <w:qFormat/>
    <w:rsid w:val="00703C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sis-Texto">
    <w:name w:val="Tesis - Texto"/>
    <w:basedOn w:val="Normal"/>
    <w:link w:val="Tesis-TextoCar"/>
    <w:qFormat/>
    <w:rsid w:val="00CF6518"/>
    <w:pPr>
      <w:spacing w:before="200" w:after="200"/>
      <w:jc w:val="both"/>
    </w:pPr>
    <w:rPr>
      <w:rFonts w:asciiTheme="minorHAnsi" w:eastAsia="SimSun" w:hAnsiTheme="minorHAnsi" w:cstheme="minorBidi"/>
      <w:sz w:val="24"/>
      <w:lang w:val="es-AR" w:eastAsia="en-US"/>
    </w:rPr>
  </w:style>
  <w:style w:type="character" w:customStyle="1" w:styleId="Tesis-TextoCar">
    <w:name w:val="Tesis - Texto Car"/>
    <w:basedOn w:val="Fuentedeprrafopredeter"/>
    <w:link w:val="Tesis-Texto"/>
    <w:rsid w:val="00CF6518"/>
    <w:rPr>
      <w:rFonts w:eastAsia="SimSu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12715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85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7AB"/>
    <w:rPr>
      <w:rFonts w:ascii="Arial" w:eastAsia="Arial" w:hAnsi="Arial" w:cs="Arial"/>
      <w:sz w:val="20"/>
      <w:szCs w:val="20"/>
      <w:lang w:val="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7AB"/>
    <w:rPr>
      <w:rFonts w:ascii="Arial" w:eastAsia="Arial" w:hAnsi="Arial" w:cs="Arial"/>
      <w:b/>
      <w:bCs/>
      <w:sz w:val="20"/>
      <w:szCs w:val="20"/>
      <w:lang w:val="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7AB"/>
    <w:rPr>
      <w:rFonts w:ascii="Segoe UI" w:eastAsia="Arial" w:hAnsi="Segoe UI" w:cs="Segoe UI"/>
      <w:sz w:val="18"/>
      <w:szCs w:val="18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57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about:blank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Cristalización!$J$14</c:f>
              <c:strCache>
                <c:ptCount val="1"/>
                <c:pt idx="0">
                  <c:v>15 días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Cristalización!$K$13:$P$13</c:f>
              <c:strCache>
                <c:ptCount val="6"/>
                <c:pt idx="0">
                  <c:v>Control</c:v>
                </c:pt>
                <c:pt idx="1">
                  <c:v>NaClO</c:v>
                </c:pt>
                <c:pt idx="2">
                  <c:v>5' Oz</c:v>
                </c:pt>
                <c:pt idx="3">
                  <c:v>10' Oz</c:v>
                </c:pt>
                <c:pt idx="4">
                  <c:v>15' UV-C</c:v>
                </c:pt>
                <c:pt idx="5">
                  <c:v>30' UV-C</c:v>
                </c:pt>
              </c:strCache>
            </c:strRef>
          </c:cat>
          <c:val>
            <c:numRef>
              <c:f>Cristalización!$K$14:$P$14</c:f>
              <c:numCache>
                <c:formatCode>General</c:formatCode>
                <c:ptCount val="6"/>
                <c:pt idx="0">
                  <c:v>2.8124001278363697</c:v>
                </c:pt>
                <c:pt idx="1">
                  <c:v>1.6676573542038176</c:v>
                </c:pt>
                <c:pt idx="2">
                  <c:v>1.9674109837054921</c:v>
                </c:pt>
                <c:pt idx="3">
                  <c:v>3.4502735757965883</c:v>
                </c:pt>
                <c:pt idx="4">
                  <c:v>2.2874191944306315</c:v>
                </c:pt>
                <c:pt idx="5">
                  <c:v>1.9705735514375495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D-46E7-A581-2D744534D6CF}"/>
            </c:ext>
          </c:extLst>
        </c:ser>
        <c:ser>
          <c:idx val="1"/>
          <c:order val="1"/>
          <c:tx>
            <c:strRef>
              <c:f>Cristalización!$J$15</c:f>
              <c:strCache>
                <c:ptCount val="1"/>
                <c:pt idx="0">
                  <c:v> 30 días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Cristalización!$K$13:$P$13</c:f>
              <c:strCache>
                <c:ptCount val="6"/>
                <c:pt idx="0">
                  <c:v>Control</c:v>
                </c:pt>
                <c:pt idx="1">
                  <c:v>NaClO</c:v>
                </c:pt>
                <c:pt idx="2">
                  <c:v>5' Oz</c:v>
                </c:pt>
                <c:pt idx="3">
                  <c:v>10' Oz</c:v>
                </c:pt>
                <c:pt idx="4">
                  <c:v>15' UV-C</c:v>
                </c:pt>
                <c:pt idx="5">
                  <c:v>30' UV-C</c:v>
                </c:pt>
              </c:strCache>
            </c:strRef>
          </c:cat>
          <c:val>
            <c:numRef>
              <c:f>Cristalización!$K$15:$P$15</c:f>
              <c:numCache>
                <c:formatCode>General</c:formatCode>
                <c:ptCount val="6"/>
                <c:pt idx="0">
                  <c:v>4.5705595133274635</c:v>
                </c:pt>
                <c:pt idx="1">
                  <c:v>3.1406869220607661</c:v>
                </c:pt>
                <c:pt idx="2">
                  <c:v>4.7479625716872924</c:v>
                </c:pt>
                <c:pt idx="3">
                  <c:v>7.7238396488283518</c:v>
                </c:pt>
                <c:pt idx="4">
                  <c:v>5.6779194929680754</c:v>
                </c:pt>
                <c:pt idx="5">
                  <c:v>7.3334703343804133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FD-46E7-A581-2D744534D6CF}"/>
            </c:ext>
          </c:extLst>
        </c:ser>
        <c:ser>
          <c:idx val="2"/>
          <c:order val="2"/>
          <c:tx>
            <c:strRef>
              <c:f>Cristalización!$J$16</c:f>
              <c:strCache>
                <c:ptCount val="1"/>
                <c:pt idx="0">
                  <c:v>45 días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Cristalización!$K$13:$P$13</c:f>
              <c:strCache>
                <c:ptCount val="6"/>
                <c:pt idx="0">
                  <c:v>Control</c:v>
                </c:pt>
                <c:pt idx="1">
                  <c:v>NaClO</c:v>
                </c:pt>
                <c:pt idx="2">
                  <c:v>5' Oz</c:v>
                </c:pt>
                <c:pt idx="3">
                  <c:v>10' Oz</c:v>
                </c:pt>
                <c:pt idx="4">
                  <c:v>15' UV-C</c:v>
                </c:pt>
                <c:pt idx="5">
                  <c:v>30' UV-C</c:v>
                </c:pt>
              </c:strCache>
            </c:strRef>
          </c:cat>
          <c:val>
            <c:numRef>
              <c:f>Cristalización!$K$16:$P$16</c:f>
              <c:numCache>
                <c:formatCode>General</c:formatCode>
                <c:ptCount val="6"/>
                <c:pt idx="0">
                  <c:v>29.338247075789134</c:v>
                </c:pt>
                <c:pt idx="1">
                  <c:v>36.508672050840723</c:v>
                </c:pt>
                <c:pt idx="2">
                  <c:v>14.52081316553727</c:v>
                </c:pt>
                <c:pt idx="3">
                  <c:v>37.166768992147865</c:v>
                </c:pt>
                <c:pt idx="4">
                  <c:v>37.707231040564373</c:v>
                </c:pt>
                <c:pt idx="5">
                  <c:v>38.10185306528976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FD-46E7-A581-2D744534D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76448"/>
        <c:axId val="223675136"/>
      </c:barChart>
      <c:catAx>
        <c:axId val="223576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Tratamientos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675136"/>
        <c:crosses val="autoZero"/>
        <c:auto val="1"/>
        <c:lblAlgn val="ctr"/>
        <c:lblOffset val="100"/>
        <c:noMultiLvlLbl val="0"/>
      </c:catAx>
      <c:valAx>
        <c:axId val="22367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 baseline="0"/>
                  <a:t> Porcentaje de cristalización</a:t>
                </a:r>
                <a:endParaRPr lang="es-AR"/>
              </a:p>
            </c:rich>
          </c:tx>
          <c:layout>
            <c:manualLayout>
              <c:xMode val="edge"/>
              <c:yMode val="edge"/>
              <c:x val="1.3232764324467381E-2"/>
              <c:y val="0.1376817224222683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57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</dc:creator>
  <cp:lastModifiedBy>Paula Sol Pok</cp:lastModifiedBy>
  <cp:revision>5</cp:revision>
  <cp:lastPrinted>2023-08-23T02:16:00Z</cp:lastPrinted>
  <dcterms:created xsi:type="dcterms:W3CDTF">2023-08-24T18:52:00Z</dcterms:created>
  <dcterms:modified xsi:type="dcterms:W3CDTF">2025-09-04T13:30:00Z</dcterms:modified>
</cp:coreProperties>
</file>