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205E0" w14:textId="77777777" w:rsidR="002C3F4D" w:rsidRPr="000A3754" w:rsidRDefault="002C3F4D" w:rsidP="002C3F4D">
      <w:pPr>
        <w:rPr>
          <w:color w:val="5FC6CB" w:themeColor="text1"/>
          <w:sz w:val="32"/>
          <w:szCs w:val="32"/>
        </w:rPr>
      </w:pPr>
      <w:r w:rsidRPr="000A3754">
        <w:rPr>
          <w:b/>
          <w:color w:val="5FC6CB" w:themeColor="text1"/>
          <w:sz w:val="32"/>
          <w:szCs w:val="32"/>
        </w:rPr>
        <w:t xml:space="preserve">Quality Practice - </w:t>
      </w:r>
      <w:r w:rsidRPr="000A3754">
        <w:rPr>
          <w:b/>
          <w:i/>
          <w:color w:val="5FC6CB" w:themeColor="text1"/>
          <w:sz w:val="32"/>
          <w:szCs w:val="32"/>
        </w:rPr>
        <w:t>Standards for the Teachin</w:t>
      </w:r>
      <w:r>
        <w:rPr>
          <w:b/>
          <w:i/>
          <w:color w:val="5FC6CB" w:themeColor="text1"/>
          <w:sz w:val="32"/>
          <w:szCs w:val="32"/>
        </w:rPr>
        <w:t>g Profession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3"/>
        <w:gridCol w:w="5203"/>
        <w:gridCol w:w="7229"/>
        <w:gridCol w:w="4775"/>
      </w:tblGrid>
      <w:tr w:rsidR="002C3F4D" w14:paraId="7F4585C8" w14:textId="77777777" w:rsidTr="00CD5156">
        <w:tc>
          <w:tcPr>
            <w:tcW w:w="3723" w:type="dxa"/>
          </w:tcPr>
          <w:p w14:paraId="49284F8C" w14:textId="77777777" w:rsidR="002C3F4D" w:rsidRDefault="002C3F4D" w:rsidP="00CD5156">
            <w:pPr>
              <w:rPr>
                <w:rFonts w:eastAsia="Times New Roman"/>
                <w:b/>
                <w:sz w:val="28"/>
                <w:szCs w:val="28"/>
              </w:rPr>
            </w:pPr>
            <w:r w:rsidRPr="00C35B87">
              <w:rPr>
                <w:rFonts w:eastAsia="Times New Roman"/>
                <w:b/>
                <w:sz w:val="28"/>
                <w:szCs w:val="28"/>
              </w:rPr>
              <w:t>Standard</w:t>
            </w:r>
          </w:p>
          <w:p w14:paraId="2A807A4A" w14:textId="77777777" w:rsidR="002C3F4D" w:rsidRPr="00E7088B" w:rsidRDefault="002C3F4D" w:rsidP="00CD5156">
            <w:pPr>
              <w:rPr>
                <w:rFonts w:eastAsia="Times New Roman"/>
                <w:b/>
                <w:i/>
                <w:iCs/>
                <w:sz w:val="28"/>
                <w:szCs w:val="28"/>
              </w:rPr>
            </w:pPr>
            <w:r w:rsidRPr="00E7088B">
              <w:rPr>
                <w:rFonts w:eastAsia="Times New Roman"/>
                <w:b/>
                <w:i/>
                <w:iCs/>
                <w:sz w:val="28"/>
                <w:szCs w:val="28"/>
              </w:rPr>
              <w:t>Across all domains</w:t>
            </w:r>
          </w:p>
        </w:tc>
        <w:tc>
          <w:tcPr>
            <w:tcW w:w="5203" w:type="dxa"/>
          </w:tcPr>
          <w:p w14:paraId="1DE026DA" w14:textId="77777777" w:rsidR="002C3F4D" w:rsidRPr="00C35B87" w:rsidRDefault="002C3F4D" w:rsidP="00CD5156">
            <w:pPr>
              <w:pStyle w:val="ColorfulList-Accent11"/>
              <w:ind w:left="421"/>
              <w:rPr>
                <w:rFonts w:eastAsia="Times New Roman"/>
                <w:b/>
                <w:bCs/>
                <w:sz w:val="28"/>
                <w:szCs w:val="28"/>
              </w:rPr>
            </w:pPr>
            <w:r w:rsidRPr="105E81B0">
              <w:rPr>
                <w:rFonts w:eastAsia="Times New Roman"/>
                <w:b/>
                <w:bCs/>
                <w:sz w:val="28"/>
                <w:szCs w:val="28"/>
              </w:rPr>
              <w:t>Focus Areas of the standard</w:t>
            </w:r>
          </w:p>
        </w:tc>
        <w:tc>
          <w:tcPr>
            <w:tcW w:w="7229" w:type="dxa"/>
          </w:tcPr>
          <w:p w14:paraId="3B3F34FD" w14:textId="77777777" w:rsidR="002C3F4D" w:rsidRPr="00C35B87" w:rsidRDefault="002C3F4D" w:rsidP="00CD5156">
            <w:pPr>
              <w:rPr>
                <w:b/>
                <w:sz w:val="28"/>
                <w:szCs w:val="28"/>
              </w:rPr>
            </w:pPr>
            <w:r w:rsidRPr="00C35B87">
              <w:rPr>
                <w:b/>
                <w:sz w:val="28"/>
                <w:szCs w:val="28"/>
              </w:rPr>
              <w:t>What quality practices do you use in your setting that connect with this standard?</w:t>
            </w:r>
          </w:p>
        </w:tc>
        <w:tc>
          <w:tcPr>
            <w:tcW w:w="4775" w:type="dxa"/>
          </w:tcPr>
          <w:p w14:paraId="02E0A5CE" w14:textId="77777777" w:rsidR="002C3F4D" w:rsidRPr="00C35B87" w:rsidRDefault="002C3F4D" w:rsidP="00CD5156">
            <w:pPr>
              <w:rPr>
                <w:b/>
                <w:sz w:val="28"/>
                <w:szCs w:val="28"/>
              </w:rPr>
            </w:pPr>
            <w:r w:rsidRPr="00C35B87">
              <w:rPr>
                <w:b/>
                <w:sz w:val="28"/>
                <w:szCs w:val="28"/>
              </w:rPr>
              <w:t>What evidence do you use that demonstrates these quality practices?</w:t>
            </w:r>
          </w:p>
        </w:tc>
      </w:tr>
      <w:tr w:rsidR="002C3F4D" w14:paraId="525786D4" w14:textId="77777777" w:rsidTr="00CD5156">
        <w:tc>
          <w:tcPr>
            <w:tcW w:w="3723" w:type="dxa"/>
          </w:tcPr>
          <w:p w14:paraId="292A4178" w14:textId="77777777" w:rsidR="002C3F4D" w:rsidRDefault="002C3F4D" w:rsidP="00CD5156">
            <w:pPr>
              <w:rPr>
                <w:rFonts w:cs="Calibri"/>
              </w:rPr>
            </w:pPr>
            <w:r w:rsidRPr="105E81B0">
              <w:rPr>
                <w:rFonts w:cs="Calibri"/>
                <w:b/>
                <w:bCs/>
              </w:rPr>
              <w:t xml:space="preserve">Standard 1: Te </w:t>
            </w:r>
            <w:proofErr w:type="spellStart"/>
            <w:r w:rsidRPr="105E81B0">
              <w:rPr>
                <w:rFonts w:cs="Calibri"/>
                <w:b/>
                <w:bCs/>
              </w:rPr>
              <w:t>Tiriti</w:t>
            </w:r>
            <w:proofErr w:type="spellEnd"/>
            <w:r w:rsidRPr="105E81B0">
              <w:rPr>
                <w:rFonts w:cs="Calibri"/>
                <w:b/>
                <w:bCs/>
              </w:rPr>
              <w:t xml:space="preserve"> o Waitangi</w:t>
            </w:r>
            <w:r w:rsidRPr="105E81B0">
              <w:rPr>
                <w:rFonts w:cs="Calibri"/>
              </w:rPr>
              <w:t xml:space="preserve"> </w:t>
            </w:r>
            <w:r w:rsidRPr="004D5FD7">
              <w:rPr>
                <w:rFonts w:cs="Calibri"/>
                <w:b/>
                <w:bCs/>
              </w:rPr>
              <w:t>partnership</w:t>
            </w:r>
            <w:r>
              <w:rPr>
                <w:rFonts w:cs="Calibri"/>
                <w:b/>
                <w:bCs/>
              </w:rPr>
              <w:t>.</w:t>
            </w:r>
            <w:r w:rsidRPr="105E81B0">
              <w:rPr>
                <w:rFonts w:cs="Calibri"/>
              </w:rPr>
              <w:t xml:space="preserve"> </w:t>
            </w:r>
          </w:p>
          <w:p w14:paraId="551E7415" w14:textId="77777777" w:rsidR="002C3F4D" w:rsidRDefault="002C3F4D" w:rsidP="00CD5156">
            <w:r w:rsidRPr="105E81B0">
              <w:rPr>
                <w:rFonts w:cs="Calibri"/>
              </w:rPr>
              <w:t xml:space="preserve">Demonstrate commitment to </w:t>
            </w:r>
            <w:proofErr w:type="spellStart"/>
            <w:r w:rsidRPr="105E81B0">
              <w:rPr>
                <w:rFonts w:cs="Calibri"/>
              </w:rPr>
              <w:t>tangata</w:t>
            </w:r>
            <w:proofErr w:type="spellEnd"/>
            <w:r w:rsidRPr="105E81B0">
              <w:rPr>
                <w:rFonts w:cs="Calibri"/>
              </w:rPr>
              <w:t xml:space="preserve"> </w:t>
            </w:r>
            <w:proofErr w:type="spellStart"/>
            <w:r w:rsidRPr="105E81B0">
              <w:rPr>
                <w:rFonts w:cs="Calibri"/>
              </w:rPr>
              <w:t>whenuatanga</w:t>
            </w:r>
            <w:proofErr w:type="spellEnd"/>
            <w:r w:rsidRPr="105E81B0">
              <w:rPr>
                <w:rFonts w:cs="Calibri"/>
              </w:rPr>
              <w:t xml:space="preserve"> and Te </w:t>
            </w:r>
            <w:proofErr w:type="spellStart"/>
            <w:r w:rsidRPr="105E81B0">
              <w:rPr>
                <w:rFonts w:cs="Calibri"/>
              </w:rPr>
              <w:t>Tiriti</w:t>
            </w:r>
            <w:proofErr w:type="spellEnd"/>
            <w:r w:rsidRPr="105E81B0">
              <w:rPr>
                <w:rFonts w:cs="Calibri"/>
              </w:rPr>
              <w:t xml:space="preserve"> o Waitangi partnership in Aotearoa New Zealand.</w:t>
            </w:r>
          </w:p>
          <w:p w14:paraId="0C581B28" w14:textId="77777777" w:rsidR="002C3F4D" w:rsidRPr="00B022AB" w:rsidRDefault="002C3F4D" w:rsidP="00CD5156"/>
          <w:p w14:paraId="2B16729F" w14:textId="77777777" w:rsidR="002C3F4D" w:rsidRPr="00B022AB" w:rsidRDefault="002C3F4D" w:rsidP="00CD5156"/>
        </w:tc>
        <w:tc>
          <w:tcPr>
            <w:tcW w:w="5203" w:type="dxa"/>
          </w:tcPr>
          <w:p w14:paraId="1738143B" w14:textId="77777777" w:rsidR="002C3F4D" w:rsidRPr="00C35B87" w:rsidRDefault="002C3F4D" w:rsidP="00CD5156">
            <w:pPr>
              <w:pStyle w:val="ColorfulList-Accent11"/>
              <w:ind w:left="360"/>
              <w:rPr>
                <w:rFonts w:eastAsia="Times New Roman"/>
                <w:sz w:val="24"/>
                <w:szCs w:val="24"/>
              </w:rPr>
            </w:pPr>
          </w:p>
          <w:p w14:paraId="5D6CE66F" w14:textId="77777777" w:rsidR="002C3F4D" w:rsidRPr="00C35B87" w:rsidRDefault="002C3F4D" w:rsidP="00CD5156">
            <w:pPr>
              <w:pStyle w:val="ColorfulList-Accent11"/>
              <w:ind w:left="0"/>
              <w:rPr>
                <w:rFonts w:eastAsia="Times New Roman"/>
                <w:sz w:val="24"/>
                <w:szCs w:val="24"/>
              </w:rPr>
            </w:pPr>
            <w:r w:rsidRPr="105E81B0">
              <w:rPr>
                <w:b/>
                <w:bCs/>
              </w:rPr>
              <w:t xml:space="preserve">Focus area 1.1 </w:t>
            </w:r>
            <w:r w:rsidRPr="00F6609D">
              <w:rPr>
                <w:color w:val="009499" w:themeColor="accent1"/>
              </w:rPr>
              <w:t xml:space="preserve">Understand and recognise the unique status of </w:t>
            </w:r>
            <w:proofErr w:type="spellStart"/>
            <w:r w:rsidRPr="00F6609D">
              <w:rPr>
                <w:color w:val="009499" w:themeColor="accent1"/>
              </w:rPr>
              <w:t>tangata</w:t>
            </w:r>
            <w:proofErr w:type="spellEnd"/>
            <w:r w:rsidRPr="00F6609D">
              <w:rPr>
                <w:color w:val="009499" w:themeColor="accent1"/>
              </w:rPr>
              <w:t xml:space="preserve"> whenua in Aotearoa New Zealand.</w:t>
            </w:r>
          </w:p>
          <w:p w14:paraId="35D129B6" w14:textId="77777777" w:rsidR="002C3F4D" w:rsidRDefault="002C3F4D" w:rsidP="00CD5156">
            <w:pPr>
              <w:pStyle w:val="ColorfulList-Accent11"/>
              <w:ind w:left="360"/>
              <w:rPr>
                <w:rFonts w:eastAsia="Times New Roman"/>
                <w:sz w:val="24"/>
                <w:szCs w:val="24"/>
              </w:rPr>
            </w:pPr>
          </w:p>
          <w:p w14:paraId="3439E87C" w14:textId="77777777" w:rsidR="002C3F4D" w:rsidRDefault="002C3F4D" w:rsidP="00CD5156">
            <w:pPr>
              <w:pStyle w:val="ColorfulList-Accent11"/>
              <w:ind w:left="360"/>
              <w:rPr>
                <w:rFonts w:eastAsia="Times New Roman"/>
                <w:sz w:val="24"/>
                <w:szCs w:val="24"/>
              </w:rPr>
            </w:pPr>
          </w:p>
          <w:p w14:paraId="2C98ADD2" w14:textId="77777777" w:rsidR="002C3F4D" w:rsidRPr="00C35B87" w:rsidRDefault="002C3F4D" w:rsidP="00CD5156">
            <w:pPr>
              <w:pStyle w:val="ColorfulList-Accent11"/>
              <w:ind w:left="360"/>
              <w:rPr>
                <w:rFonts w:eastAsia="Times New Roman"/>
                <w:sz w:val="24"/>
                <w:szCs w:val="24"/>
              </w:rPr>
            </w:pPr>
          </w:p>
          <w:p w14:paraId="785123C8" w14:textId="77777777" w:rsidR="002C3F4D" w:rsidRPr="00F6609D" w:rsidRDefault="002C3F4D" w:rsidP="00CD5156">
            <w:pPr>
              <w:pStyle w:val="ColorfulList-Accent11"/>
              <w:ind w:left="0"/>
              <w:rPr>
                <w:color w:val="009499" w:themeColor="accent1"/>
              </w:rPr>
            </w:pPr>
            <w:r w:rsidRPr="105E81B0">
              <w:rPr>
                <w:b/>
                <w:bCs/>
              </w:rPr>
              <w:t xml:space="preserve">Focus area 1.2 </w:t>
            </w:r>
            <w:r w:rsidRPr="00F6609D">
              <w:rPr>
                <w:color w:val="009499" w:themeColor="accent1"/>
              </w:rPr>
              <w:t xml:space="preserve">Understand and acknowledge the histories, heritages, languages, and cultures of partners to Te </w:t>
            </w:r>
            <w:proofErr w:type="spellStart"/>
            <w:r w:rsidRPr="00F6609D">
              <w:rPr>
                <w:color w:val="009499" w:themeColor="accent1"/>
              </w:rPr>
              <w:t>Tiriti</w:t>
            </w:r>
            <w:proofErr w:type="spellEnd"/>
            <w:r w:rsidRPr="00F6609D">
              <w:rPr>
                <w:color w:val="009499" w:themeColor="accent1"/>
              </w:rPr>
              <w:t xml:space="preserve"> o Waitangi.</w:t>
            </w:r>
          </w:p>
          <w:p w14:paraId="5BD6AF55" w14:textId="77777777" w:rsidR="002C3F4D" w:rsidRDefault="002C3F4D" w:rsidP="00CD5156">
            <w:pPr>
              <w:pStyle w:val="ColorfulList-Accent11"/>
              <w:ind w:left="360"/>
              <w:rPr>
                <w:rFonts w:eastAsia="Times New Roman"/>
                <w:sz w:val="24"/>
                <w:szCs w:val="24"/>
              </w:rPr>
            </w:pPr>
          </w:p>
          <w:p w14:paraId="56113D7F" w14:textId="77777777" w:rsidR="002C3F4D" w:rsidRDefault="002C3F4D" w:rsidP="00CD5156">
            <w:pPr>
              <w:pStyle w:val="ColorfulList-Accent11"/>
              <w:ind w:left="360"/>
              <w:rPr>
                <w:rFonts w:eastAsia="Times New Roman"/>
                <w:sz w:val="24"/>
                <w:szCs w:val="24"/>
              </w:rPr>
            </w:pPr>
          </w:p>
          <w:p w14:paraId="6E71275F" w14:textId="77777777" w:rsidR="002C3F4D" w:rsidRPr="00C35B87" w:rsidRDefault="002C3F4D" w:rsidP="00CD5156">
            <w:pPr>
              <w:pStyle w:val="ColorfulList-Accent11"/>
              <w:ind w:left="360"/>
              <w:rPr>
                <w:rFonts w:eastAsia="Times New Roman"/>
                <w:sz w:val="24"/>
                <w:szCs w:val="24"/>
              </w:rPr>
            </w:pPr>
          </w:p>
          <w:p w14:paraId="0600597B" w14:textId="77777777" w:rsidR="002C3F4D" w:rsidRPr="00F6609D" w:rsidRDefault="002C3F4D" w:rsidP="00CD5156">
            <w:pPr>
              <w:pStyle w:val="ColorfulList-Accent11"/>
              <w:ind w:left="0"/>
              <w:rPr>
                <w:color w:val="009499" w:themeColor="accent1"/>
              </w:rPr>
            </w:pPr>
            <w:r w:rsidRPr="105E81B0">
              <w:rPr>
                <w:b/>
                <w:bCs/>
              </w:rPr>
              <w:t>Focus area 1.3</w:t>
            </w:r>
            <w:r w:rsidRPr="105E81B0">
              <w:t xml:space="preserve"> </w:t>
            </w:r>
            <w:r w:rsidRPr="00F6609D">
              <w:rPr>
                <w:color w:val="009499" w:themeColor="accent1"/>
              </w:rPr>
              <w:t xml:space="preserve">Design teaching and learning experiences that reflect Te </w:t>
            </w:r>
            <w:proofErr w:type="spellStart"/>
            <w:r w:rsidRPr="00F6609D">
              <w:rPr>
                <w:color w:val="009499" w:themeColor="accent1"/>
              </w:rPr>
              <w:t>Tiriti</w:t>
            </w:r>
            <w:proofErr w:type="spellEnd"/>
            <w:r w:rsidRPr="00F6609D">
              <w:rPr>
                <w:color w:val="009499" w:themeColor="accent1"/>
              </w:rPr>
              <w:t xml:space="preserve"> o Waitangi partnership in New Zealand including affirming for all learners the knowledge, identity, language. and culture of </w:t>
            </w:r>
            <w:proofErr w:type="spellStart"/>
            <w:r w:rsidRPr="00F6609D">
              <w:rPr>
                <w:color w:val="009499" w:themeColor="accent1"/>
              </w:rPr>
              <w:t>te</w:t>
            </w:r>
            <w:proofErr w:type="spellEnd"/>
            <w:r w:rsidRPr="00F6609D">
              <w:rPr>
                <w:color w:val="009499" w:themeColor="accent1"/>
              </w:rPr>
              <w:t xml:space="preserve"> </w:t>
            </w:r>
            <w:proofErr w:type="spellStart"/>
            <w:r w:rsidRPr="00F6609D">
              <w:rPr>
                <w:color w:val="009499" w:themeColor="accent1"/>
              </w:rPr>
              <w:t>ao</w:t>
            </w:r>
            <w:proofErr w:type="spellEnd"/>
            <w:r w:rsidRPr="00F6609D">
              <w:rPr>
                <w:color w:val="009499" w:themeColor="accent1"/>
              </w:rPr>
              <w:t xml:space="preserve"> </w:t>
            </w:r>
            <w:proofErr w:type="spellStart"/>
            <w:r w:rsidRPr="00F6609D">
              <w:rPr>
                <w:color w:val="009499" w:themeColor="accent1"/>
              </w:rPr>
              <w:t>Māori</w:t>
            </w:r>
            <w:proofErr w:type="spellEnd"/>
            <w:r w:rsidRPr="00F6609D">
              <w:rPr>
                <w:color w:val="009499" w:themeColor="accent1"/>
              </w:rPr>
              <w:t xml:space="preserve"> and </w:t>
            </w:r>
            <w:proofErr w:type="spellStart"/>
            <w:r w:rsidRPr="00F6609D">
              <w:rPr>
                <w:color w:val="009499" w:themeColor="accent1"/>
              </w:rPr>
              <w:t>tangata</w:t>
            </w:r>
            <w:proofErr w:type="spellEnd"/>
            <w:r w:rsidRPr="00F6609D">
              <w:rPr>
                <w:color w:val="009499" w:themeColor="accent1"/>
              </w:rPr>
              <w:t xml:space="preserve"> </w:t>
            </w:r>
            <w:proofErr w:type="spellStart"/>
            <w:r w:rsidRPr="00F6609D">
              <w:rPr>
                <w:color w:val="009499" w:themeColor="accent1"/>
              </w:rPr>
              <w:t>whenuatanga</w:t>
            </w:r>
            <w:proofErr w:type="spellEnd"/>
            <w:r w:rsidRPr="00F6609D">
              <w:rPr>
                <w:color w:val="009499" w:themeColor="accent1"/>
              </w:rPr>
              <w:t>.</w:t>
            </w:r>
            <w:r w:rsidRPr="00F6609D">
              <w:rPr>
                <w:rStyle w:val="FootnoteReference"/>
                <w:color w:val="009499" w:themeColor="accent1"/>
              </w:rPr>
              <w:footnoteReference w:id="1"/>
            </w:r>
          </w:p>
          <w:p w14:paraId="567581CC" w14:textId="77777777" w:rsidR="002C3F4D" w:rsidRDefault="002C3F4D" w:rsidP="00CD5156">
            <w:pPr>
              <w:pStyle w:val="ColorfulList-Accent11"/>
              <w:ind w:left="0"/>
            </w:pPr>
          </w:p>
          <w:p w14:paraId="75015F33" w14:textId="77777777" w:rsidR="002C3F4D" w:rsidRDefault="002C3F4D" w:rsidP="00CD5156">
            <w:pPr>
              <w:pStyle w:val="ColorfulList-Accent11"/>
              <w:ind w:left="0"/>
            </w:pPr>
          </w:p>
          <w:p w14:paraId="50AE1D8A" w14:textId="77777777" w:rsidR="002C3F4D" w:rsidRDefault="002C3F4D" w:rsidP="00CD5156">
            <w:pPr>
              <w:pStyle w:val="ColorfulList-Accent11"/>
              <w:ind w:left="0"/>
            </w:pPr>
          </w:p>
          <w:p w14:paraId="42B01445" w14:textId="77777777" w:rsidR="002C3F4D" w:rsidRPr="00F6609D" w:rsidRDefault="002C3F4D" w:rsidP="00CD5156">
            <w:pPr>
              <w:pStyle w:val="ColorfulList-Accent11"/>
              <w:ind w:left="0"/>
              <w:rPr>
                <w:color w:val="009499" w:themeColor="accent1"/>
              </w:rPr>
            </w:pPr>
            <w:r w:rsidRPr="105E81B0">
              <w:rPr>
                <w:b/>
                <w:bCs/>
              </w:rPr>
              <w:t>Focus area 1.4</w:t>
            </w:r>
            <w:r w:rsidRPr="105E81B0">
              <w:t xml:space="preserve"> </w:t>
            </w:r>
            <w:r w:rsidRPr="00F6609D">
              <w:rPr>
                <w:color w:val="009499" w:themeColor="accent1"/>
              </w:rPr>
              <w:t xml:space="preserve">Practise and develop the use of </w:t>
            </w:r>
            <w:proofErr w:type="spellStart"/>
            <w:r w:rsidRPr="00F6609D">
              <w:rPr>
                <w:color w:val="009499" w:themeColor="accent1"/>
              </w:rPr>
              <w:t>te</w:t>
            </w:r>
            <w:proofErr w:type="spellEnd"/>
            <w:r w:rsidRPr="00F6609D">
              <w:rPr>
                <w:color w:val="009499" w:themeColor="accent1"/>
              </w:rPr>
              <w:t xml:space="preserve"> </w:t>
            </w:r>
            <w:proofErr w:type="spellStart"/>
            <w:r w:rsidRPr="00F6609D">
              <w:rPr>
                <w:color w:val="009499" w:themeColor="accent1"/>
              </w:rPr>
              <w:t>reo</w:t>
            </w:r>
            <w:proofErr w:type="spellEnd"/>
            <w:r w:rsidRPr="00F6609D">
              <w:rPr>
                <w:color w:val="009499" w:themeColor="accent1"/>
              </w:rPr>
              <w:t xml:space="preserve"> and tikanga Māori, including in support of positive engagement with Māori learners and their whānau and communities</w:t>
            </w:r>
          </w:p>
          <w:p w14:paraId="78066C6F" w14:textId="77777777" w:rsidR="002C3F4D" w:rsidRPr="00C35B87" w:rsidRDefault="002C3F4D" w:rsidP="00CD5156">
            <w:pPr>
              <w:pStyle w:val="ColorfulList-Accent11"/>
              <w:ind w:left="360"/>
              <w:rPr>
                <w:rFonts w:eastAsia="Times New Roman"/>
                <w:sz w:val="24"/>
                <w:szCs w:val="24"/>
              </w:rPr>
            </w:pPr>
          </w:p>
          <w:p w14:paraId="297AE892" w14:textId="77777777" w:rsidR="002C3F4D" w:rsidRDefault="002C3F4D" w:rsidP="00CD5156">
            <w:pPr>
              <w:pStyle w:val="ColorfulList-Accent11"/>
              <w:ind w:left="360"/>
              <w:rPr>
                <w:rFonts w:eastAsia="Times New Roman"/>
                <w:sz w:val="24"/>
                <w:szCs w:val="24"/>
              </w:rPr>
            </w:pPr>
          </w:p>
          <w:p w14:paraId="6B38E175" w14:textId="77777777" w:rsidR="002C3F4D" w:rsidRDefault="002C3F4D" w:rsidP="00CD5156">
            <w:pPr>
              <w:pStyle w:val="ColorfulList-Accent11"/>
              <w:ind w:left="360"/>
              <w:rPr>
                <w:rFonts w:eastAsia="Times New Roman"/>
                <w:sz w:val="24"/>
                <w:szCs w:val="24"/>
              </w:rPr>
            </w:pPr>
          </w:p>
          <w:p w14:paraId="002E3D18" w14:textId="77777777" w:rsidR="002C3F4D" w:rsidRDefault="002C3F4D" w:rsidP="00CD5156">
            <w:pPr>
              <w:pStyle w:val="ColorfulList-Accent11"/>
              <w:ind w:left="360"/>
              <w:rPr>
                <w:rFonts w:eastAsia="Times New Roman"/>
                <w:sz w:val="24"/>
                <w:szCs w:val="24"/>
              </w:rPr>
            </w:pPr>
          </w:p>
          <w:p w14:paraId="08EA714D" w14:textId="77777777" w:rsidR="002C3F4D" w:rsidRPr="00C35B87" w:rsidRDefault="002C3F4D" w:rsidP="00CD5156">
            <w:pPr>
              <w:pStyle w:val="ColorfulList-Accent11"/>
              <w:ind w:left="0"/>
              <w:rPr>
                <w:rFonts w:eastAsia="Times New Roman"/>
                <w:sz w:val="24"/>
                <w:szCs w:val="24"/>
              </w:rPr>
            </w:pPr>
          </w:p>
          <w:p w14:paraId="25095790" w14:textId="77777777" w:rsidR="002C3F4D" w:rsidRDefault="002C3F4D" w:rsidP="00CD5156">
            <w:pPr>
              <w:pStyle w:val="ColorfulList-Accent11"/>
              <w:ind w:left="360"/>
              <w:rPr>
                <w:rFonts w:eastAsia="Times New Roman"/>
                <w:sz w:val="24"/>
                <w:szCs w:val="24"/>
              </w:rPr>
            </w:pPr>
          </w:p>
          <w:p w14:paraId="72710731" w14:textId="77777777" w:rsidR="002C3F4D" w:rsidRPr="00C35B87" w:rsidRDefault="002C3F4D" w:rsidP="00CD5156">
            <w:pPr>
              <w:pStyle w:val="ColorfulList-Accent11"/>
              <w:ind w:left="360"/>
              <w:rPr>
                <w:rFonts w:eastAsia="Times New Roman"/>
                <w:sz w:val="24"/>
                <w:szCs w:val="24"/>
              </w:rPr>
            </w:pPr>
          </w:p>
          <w:p w14:paraId="752DD63A" w14:textId="77777777" w:rsidR="002C3F4D" w:rsidRPr="00C35B87" w:rsidRDefault="002C3F4D" w:rsidP="00CD5156">
            <w:pPr>
              <w:pStyle w:val="ColorfulList-Accent11"/>
              <w:ind w:left="0"/>
              <w:rPr>
                <w:sz w:val="18"/>
                <w:szCs w:val="18"/>
              </w:rPr>
            </w:pPr>
          </w:p>
        </w:tc>
        <w:tc>
          <w:tcPr>
            <w:tcW w:w="7229" w:type="dxa"/>
          </w:tcPr>
          <w:p w14:paraId="7A805532" w14:textId="77777777" w:rsidR="002C3F4D" w:rsidRDefault="002C3F4D" w:rsidP="00CD5156"/>
        </w:tc>
        <w:tc>
          <w:tcPr>
            <w:tcW w:w="4775" w:type="dxa"/>
          </w:tcPr>
          <w:p w14:paraId="28514F2F" w14:textId="77777777" w:rsidR="002C3F4D" w:rsidRDefault="002C3F4D" w:rsidP="00CD5156"/>
        </w:tc>
      </w:tr>
    </w:tbl>
    <w:p w14:paraId="5FBEA3BB" w14:textId="77777777" w:rsidR="002C3F4D" w:rsidRDefault="002C3F4D" w:rsidP="002C3F4D">
      <w:pPr>
        <w:rPr>
          <w:b/>
          <w:color w:val="5FC6CB" w:themeColor="text1"/>
          <w:sz w:val="32"/>
          <w:szCs w:val="32"/>
        </w:rPr>
      </w:pPr>
      <w:r>
        <w:rPr>
          <w:b/>
          <w:color w:val="5FC6CB" w:themeColor="text1"/>
          <w:sz w:val="32"/>
          <w:szCs w:val="32"/>
        </w:rPr>
        <w:br w:type="page"/>
      </w:r>
    </w:p>
    <w:p w14:paraId="02DC5B2C" w14:textId="632FBA9B" w:rsidR="002C3F4D" w:rsidRPr="007C496C" w:rsidRDefault="002C3F4D" w:rsidP="002C3F4D">
      <w:r>
        <w:rPr>
          <w:b/>
          <w:color w:val="5FC6CB" w:themeColor="text1"/>
          <w:sz w:val="32"/>
          <w:szCs w:val="32"/>
        </w:rPr>
        <w:lastRenderedPageBreak/>
        <w:t>Q</w:t>
      </w:r>
      <w:r w:rsidRPr="000A3754">
        <w:rPr>
          <w:b/>
          <w:color w:val="5FC6CB" w:themeColor="text1"/>
          <w:sz w:val="32"/>
          <w:szCs w:val="32"/>
        </w:rPr>
        <w:t xml:space="preserve">uality Practice - </w:t>
      </w:r>
      <w:r w:rsidRPr="000A3754">
        <w:rPr>
          <w:b/>
          <w:i/>
          <w:color w:val="5FC6CB" w:themeColor="text1"/>
          <w:sz w:val="32"/>
          <w:szCs w:val="32"/>
        </w:rPr>
        <w:t>Standards for the Teaching Profession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3"/>
        <w:gridCol w:w="5244"/>
        <w:gridCol w:w="7188"/>
        <w:gridCol w:w="4775"/>
      </w:tblGrid>
      <w:tr w:rsidR="002C3F4D" w14:paraId="2C8F0562" w14:textId="77777777" w:rsidTr="00CD5156">
        <w:tc>
          <w:tcPr>
            <w:tcW w:w="3723" w:type="dxa"/>
          </w:tcPr>
          <w:p w14:paraId="5AA24687" w14:textId="77777777" w:rsidR="002C3F4D" w:rsidRDefault="002C3F4D" w:rsidP="00CD5156">
            <w:pPr>
              <w:rPr>
                <w:rFonts w:eastAsia="Times New Roman"/>
                <w:b/>
                <w:sz w:val="28"/>
                <w:szCs w:val="28"/>
              </w:rPr>
            </w:pPr>
            <w:r w:rsidRPr="00C35B87">
              <w:rPr>
                <w:rFonts w:eastAsia="Times New Roman"/>
                <w:b/>
                <w:sz w:val="28"/>
                <w:szCs w:val="28"/>
              </w:rPr>
              <w:t>Standard</w:t>
            </w:r>
          </w:p>
          <w:p w14:paraId="1E7894F2" w14:textId="77777777" w:rsidR="002C3F4D" w:rsidRPr="00E7088B" w:rsidRDefault="002C3F4D" w:rsidP="00CD5156">
            <w:pPr>
              <w:rPr>
                <w:rFonts w:eastAsia="Times New Roman"/>
                <w:b/>
                <w:i/>
                <w:iCs/>
                <w:sz w:val="28"/>
                <w:szCs w:val="28"/>
              </w:rPr>
            </w:pPr>
            <w:r>
              <w:rPr>
                <w:rFonts w:eastAsia="Times New Roman"/>
                <w:b/>
                <w:i/>
                <w:iCs/>
                <w:sz w:val="28"/>
                <w:szCs w:val="28"/>
              </w:rPr>
              <w:t>Domain: Professional knowledge</w:t>
            </w:r>
          </w:p>
        </w:tc>
        <w:tc>
          <w:tcPr>
            <w:tcW w:w="5244" w:type="dxa"/>
          </w:tcPr>
          <w:p w14:paraId="12F6C19D" w14:textId="77777777" w:rsidR="002C3F4D" w:rsidRPr="00C35B87" w:rsidRDefault="002C3F4D" w:rsidP="00CD5156">
            <w:pPr>
              <w:pStyle w:val="ColorfulList-Accent11"/>
              <w:ind w:left="421"/>
              <w:rPr>
                <w:rFonts w:eastAsia="Times New Roman"/>
                <w:b/>
                <w:sz w:val="28"/>
                <w:szCs w:val="28"/>
              </w:rPr>
            </w:pPr>
            <w:r>
              <w:rPr>
                <w:rFonts w:eastAsia="Times New Roman"/>
                <w:b/>
                <w:sz w:val="28"/>
                <w:szCs w:val="28"/>
              </w:rPr>
              <w:t xml:space="preserve">Focus Areas </w:t>
            </w:r>
            <w:r w:rsidRPr="00C35B87">
              <w:rPr>
                <w:rFonts w:eastAsia="Times New Roman"/>
                <w:b/>
                <w:sz w:val="28"/>
                <w:szCs w:val="28"/>
              </w:rPr>
              <w:t>of the standard</w:t>
            </w:r>
          </w:p>
        </w:tc>
        <w:tc>
          <w:tcPr>
            <w:tcW w:w="7188" w:type="dxa"/>
          </w:tcPr>
          <w:p w14:paraId="1F6E5245" w14:textId="77777777" w:rsidR="002C3F4D" w:rsidRPr="00C35B87" w:rsidRDefault="002C3F4D" w:rsidP="00CD5156">
            <w:pPr>
              <w:rPr>
                <w:b/>
                <w:sz w:val="28"/>
                <w:szCs w:val="28"/>
              </w:rPr>
            </w:pPr>
            <w:r w:rsidRPr="00C35B87">
              <w:rPr>
                <w:b/>
                <w:sz w:val="28"/>
                <w:szCs w:val="28"/>
              </w:rPr>
              <w:t>What quality practices do you use in your setting that connect with this standard?</w:t>
            </w:r>
          </w:p>
        </w:tc>
        <w:tc>
          <w:tcPr>
            <w:tcW w:w="4775" w:type="dxa"/>
          </w:tcPr>
          <w:p w14:paraId="6656D750" w14:textId="77777777" w:rsidR="002C3F4D" w:rsidRPr="00C35B87" w:rsidRDefault="002C3F4D" w:rsidP="00CD5156">
            <w:pPr>
              <w:rPr>
                <w:b/>
                <w:sz w:val="28"/>
                <w:szCs w:val="28"/>
              </w:rPr>
            </w:pPr>
            <w:r w:rsidRPr="00C35B87">
              <w:rPr>
                <w:b/>
                <w:sz w:val="28"/>
                <w:szCs w:val="28"/>
              </w:rPr>
              <w:t>What evidence do you use that demonstrates these quality practices?</w:t>
            </w:r>
          </w:p>
        </w:tc>
      </w:tr>
      <w:tr w:rsidR="002C3F4D" w14:paraId="29002597" w14:textId="77777777" w:rsidTr="00CD5156">
        <w:tc>
          <w:tcPr>
            <w:tcW w:w="3723" w:type="dxa"/>
          </w:tcPr>
          <w:p w14:paraId="05CE5AF8" w14:textId="77777777" w:rsidR="002C3F4D" w:rsidRPr="008E7FBE" w:rsidRDefault="002C3F4D" w:rsidP="00CD5156">
            <w:pPr>
              <w:rPr>
                <w:b/>
                <w:bCs/>
              </w:rPr>
            </w:pPr>
            <w:r w:rsidRPr="008E7FBE">
              <w:rPr>
                <w:b/>
                <w:bCs/>
              </w:rPr>
              <w:t>Standard 2: Know the content and how to teach it</w:t>
            </w:r>
            <w:r>
              <w:rPr>
                <w:b/>
                <w:bCs/>
              </w:rPr>
              <w:t>.</w:t>
            </w:r>
            <w:r w:rsidRPr="008E7FBE">
              <w:rPr>
                <w:b/>
                <w:bCs/>
              </w:rPr>
              <w:t xml:space="preserve"> </w:t>
            </w:r>
          </w:p>
          <w:p w14:paraId="588491D1" w14:textId="77777777" w:rsidR="002C3F4D" w:rsidRPr="00B022AB" w:rsidRDefault="002C3F4D" w:rsidP="00CD5156">
            <w:r>
              <w:t>Understand how to design learning based on content, curriculum, and pedagogical knowledge.</w:t>
            </w:r>
          </w:p>
        </w:tc>
        <w:tc>
          <w:tcPr>
            <w:tcW w:w="5244" w:type="dxa"/>
          </w:tcPr>
          <w:p w14:paraId="70DAE1D4" w14:textId="77777777" w:rsidR="002C3F4D" w:rsidRDefault="002C3F4D" w:rsidP="00CD5156">
            <w:r w:rsidRPr="00880AE5">
              <w:rPr>
                <w:b/>
                <w:bCs/>
              </w:rPr>
              <w:t>Focus area 2.1</w:t>
            </w:r>
            <w:r>
              <w:t xml:space="preserve"> </w:t>
            </w:r>
            <w:r w:rsidRPr="00F6609D">
              <w:rPr>
                <w:color w:val="009499" w:themeColor="accent1"/>
              </w:rPr>
              <w:t>Understand the content</w:t>
            </w:r>
            <w:r>
              <w:rPr>
                <w:color w:val="009499" w:themeColor="accent1"/>
              </w:rPr>
              <w:t>.</w:t>
            </w:r>
            <w:r w:rsidRPr="00F6609D">
              <w:rPr>
                <w:color w:val="009499" w:themeColor="accent1"/>
              </w:rPr>
              <w:t xml:space="preserve"> </w:t>
            </w:r>
            <w:r>
              <w:t>Demonstrate a developed understanding of the knowledge relevant to the content being taught.</w:t>
            </w:r>
          </w:p>
          <w:p w14:paraId="1816793B" w14:textId="0D2C21BC" w:rsidR="002C3F4D" w:rsidRDefault="002C3F4D" w:rsidP="00CD5156">
            <w:r w:rsidRPr="00880AE5">
              <w:rPr>
                <w:b/>
                <w:bCs/>
              </w:rPr>
              <w:t>Focus area 2.2</w:t>
            </w:r>
            <w:r w:rsidRPr="00756E53">
              <w:t xml:space="preserve"> </w:t>
            </w:r>
            <w:r w:rsidRPr="00F6609D">
              <w:rPr>
                <w:color w:val="009499" w:themeColor="accent1"/>
              </w:rPr>
              <w:t>Understand how to enact the curriculum</w:t>
            </w:r>
            <w:r>
              <w:rPr>
                <w:rStyle w:val="FootnoteReference"/>
              </w:rPr>
              <w:footnoteReference w:id="2"/>
            </w:r>
            <w:r>
              <w:rPr>
                <w:color w:val="009499" w:themeColor="accent1"/>
              </w:rPr>
              <w:t>.</w:t>
            </w:r>
            <w:r w:rsidRPr="00756E53">
              <w:t xml:space="preserve"> Know how to teach the mandated curriculum and its progressions in learning, effectively and in a way that supports every learner to succeed</w:t>
            </w:r>
            <w:r>
              <w:t>.</w:t>
            </w:r>
          </w:p>
          <w:p w14:paraId="31357F9C" w14:textId="77777777" w:rsidR="002C3F4D" w:rsidRDefault="002C3F4D" w:rsidP="00CD5156">
            <w:r w:rsidRPr="00880AE5">
              <w:rPr>
                <w:b/>
                <w:bCs/>
              </w:rPr>
              <w:t>Focus area 2.3</w:t>
            </w:r>
            <w:r w:rsidRPr="00756E53">
              <w:t xml:space="preserve"> </w:t>
            </w:r>
            <w:r w:rsidRPr="00F6609D">
              <w:rPr>
                <w:color w:val="009499" w:themeColor="accent1"/>
              </w:rPr>
              <w:t>Understand evidence-informed teaching strategies and practices</w:t>
            </w:r>
            <w:r>
              <w:rPr>
                <w:color w:val="009499" w:themeColor="accent1"/>
              </w:rPr>
              <w:t>.</w:t>
            </w:r>
            <w:r w:rsidRPr="00F6609D">
              <w:rPr>
                <w:color w:val="009499" w:themeColor="accent1"/>
              </w:rPr>
              <w:t xml:space="preserve"> </w:t>
            </w:r>
            <w:r w:rsidRPr="00756E53">
              <w:t xml:space="preserve">Know how to apply research, evidence, and innovations related to pedagogy, inclusive teaching, and the teaching of </w:t>
            </w:r>
            <w:proofErr w:type="gramStart"/>
            <w:r w:rsidRPr="00756E53">
              <w:t>particular content</w:t>
            </w:r>
            <w:proofErr w:type="gramEnd"/>
            <w:r w:rsidRPr="00756E53">
              <w:t>.</w:t>
            </w:r>
          </w:p>
          <w:p w14:paraId="6C6D5FD5" w14:textId="77777777" w:rsidR="002C3F4D" w:rsidRDefault="002C3F4D" w:rsidP="00CD5156">
            <w:r w:rsidRPr="00880AE5">
              <w:rPr>
                <w:b/>
                <w:bCs/>
              </w:rPr>
              <w:t>Focus area 2.4</w:t>
            </w:r>
            <w:r w:rsidRPr="00880AE5">
              <w:t xml:space="preserve"> </w:t>
            </w:r>
            <w:r w:rsidRPr="00F6609D">
              <w:rPr>
                <w:color w:val="009499" w:themeColor="accent1"/>
              </w:rPr>
              <w:t>Understand how to foster literacy and numeracy as foundational capabilities</w:t>
            </w:r>
            <w:r>
              <w:rPr>
                <w:color w:val="009499" w:themeColor="accent1"/>
              </w:rPr>
              <w:t>.</w:t>
            </w:r>
            <w:r w:rsidRPr="00F6609D">
              <w:rPr>
                <w:color w:val="009499" w:themeColor="accent1"/>
              </w:rPr>
              <w:t xml:space="preserve"> </w:t>
            </w:r>
            <w:r w:rsidRPr="00880AE5">
              <w:t>Demonstrate understanding of oral language, literacy, and numeracy as foundational capabilities that are integrated throughout all learning areas and levels, and knowledge of relevant evidence-informed teaching practices that are effective at fostering these proficiencies</w:t>
            </w:r>
            <w:r>
              <w:t>.</w:t>
            </w:r>
          </w:p>
          <w:p w14:paraId="3B025841" w14:textId="77777777" w:rsidR="002C3F4D" w:rsidRPr="00B022AB" w:rsidRDefault="002C3F4D" w:rsidP="00CD5156">
            <w:pPr>
              <w:ind w:left="113"/>
            </w:pPr>
          </w:p>
          <w:p w14:paraId="6400826A" w14:textId="77777777" w:rsidR="002C3F4D" w:rsidRPr="00C35B87" w:rsidRDefault="002C3F4D" w:rsidP="00CD5156">
            <w:pPr>
              <w:pStyle w:val="ColorfulList-Accent11"/>
              <w:ind w:left="0"/>
              <w:rPr>
                <w:rFonts w:eastAsia="Times New Roman"/>
                <w:sz w:val="24"/>
                <w:szCs w:val="24"/>
              </w:rPr>
            </w:pPr>
          </w:p>
        </w:tc>
        <w:tc>
          <w:tcPr>
            <w:tcW w:w="7188" w:type="dxa"/>
          </w:tcPr>
          <w:p w14:paraId="0297FD52" w14:textId="77777777" w:rsidR="002C3F4D" w:rsidRDefault="002C3F4D" w:rsidP="00CD5156"/>
        </w:tc>
        <w:tc>
          <w:tcPr>
            <w:tcW w:w="4775" w:type="dxa"/>
          </w:tcPr>
          <w:p w14:paraId="1BDDD9FB" w14:textId="77777777" w:rsidR="002C3F4D" w:rsidRDefault="002C3F4D" w:rsidP="00CD5156"/>
        </w:tc>
      </w:tr>
    </w:tbl>
    <w:p w14:paraId="05AECD34" w14:textId="77777777" w:rsidR="002C3F4D" w:rsidRDefault="002C3F4D" w:rsidP="002C3F4D">
      <w:pPr>
        <w:rPr>
          <w:b/>
          <w:color w:val="5FC6CB" w:themeColor="text1"/>
          <w:sz w:val="32"/>
          <w:szCs w:val="32"/>
        </w:rPr>
      </w:pPr>
    </w:p>
    <w:p w14:paraId="1E02F1F9" w14:textId="77777777" w:rsidR="002C3F4D" w:rsidRDefault="002C3F4D" w:rsidP="002C3F4D">
      <w:pPr>
        <w:rPr>
          <w:b/>
          <w:color w:val="5FC6CB" w:themeColor="text1"/>
          <w:sz w:val="32"/>
          <w:szCs w:val="32"/>
        </w:rPr>
      </w:pPr>
    </w:p>
    <w:p w14:paraId="0C76B4B5" w14:textId="77777777" w:rsidR="002C3F4D" w:rsidRDefault="002C3F4D" w:rsidP="002C3F4D">
      <w:pPr>
        <w:rPr>
          <w:b/>
          <w:color w:val="5FC6CB" w:themeColor="text1"/>
          <w:sz w:val="32"/>
          <w:szCs w:val="32"/>
        </w:rPr>
      </w:pPr>
      <w:r>
        <w:rPr>
          <w:b/>
          <w:color w:val="5FC6CB" w:themeColor="text1"/>
          <w:sz w:val="32"/>
          <w:szCs w:val="32"/>
        </w:rPr>
        <w:br w:type="page"/>
      </w:r>
    </w:p>
    <w:p w14:paraId="7209AC21" w14:textId="152D788F" w:rsidR="002C3F4D" w:rsidRPr="000A3754" w:rsidRDefault="002C3F4D" w:rsidP="002C3F4D">
      <w:pPr>
        <w:rPr>
          <w:color w:val="5FC6CB" w:themeColor="text1"/>
          <w:sz w:val="32"/>
          <w:szCs w:val="32"/>
        </w:rPr>
      </w:pPr>
      <w:r w:rsidRPr="000A3754">
        <w:rPr>
          <w:b/>
          <w:color w:val="5FC6CB" w:themeColor="text1"/>
          <w:sz w:val="32"/>
          <w:szCs w:val="32"/>
        </w:rPr>
        <w:lastRenderedPageBreak/>
        <w:t xml:space="preserve">Quality Practice - </w:t>
      </w:r>
      <w:r w:rsidRPr="000A3754">
        <w:rPr>
          <w:b/>
          <w:i/>
          <w:color w:val="5FC6CB" w:themeColor="text1"/>
          <w:sz w:val="32"/>
          <w:szCs w:val="32"/>
        </w:rPr>
        <w:t>Standards for the Teaching Profession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3"/>
        <w:gridCol w:w="5244"/>
        <w:gridCol w:w="7188"/>
        <w:gridCol w:w="4775"/>
      </w:tblGrid>
      <w:tr w:rsidR="002C3F4D" w14:paraId="6508FF39" w14:textId="77777777" w:rsidTr="00CD5156">
        <w:tc>
          <w:tcPr>
            <w:tcW w:w="3723" w:type="dxa"/>
          </w:tcPr>
          <w:p w14:paraId="781D638C" w14:textId="77777777" w:rsidR="002C3F4D" w:rsidRDefault="002C3F4D" w:rsidP="00CD5156">
            <w:pPr>
              <w:rPr>
                <w:rFonts w:eastAsia="Times New Roman"/>
                <w:b/>
                <w:sz w:val="28"/>
                <w:szCs w:val="28"/>
              </w:rPr>
            </w:pPr>
            <w:r w:rsidRPr="00C35B87">
              <w:rPr>
                <w:rFonts w:eastAsia="Times New Roman"/>
                <w:b/>
                <w:sz w:val="28"/>
                <w:szCs w:val="28"/>
              </w:rPr>
              <w:t>Standard</w:t>
            </w:r>
          </w:p>
          <w:p w14:paraId="1A80F1EA" w14:textId="77777777" w:rsidR="002C3F4D" w:rsidRPr="00C35B87" w:rsidRDefault="002C3F4D" w:rsidP="00CD5156">
            <w:pPr>
              <w:rPr>
                <w:rFonts w:eastAsia="Times New Roman"/>
                <w:b/>
                <w:sz w:val="28"/>
                <w:szCs w:val="28"/>
              </w:rPr>
            </w:pPr>
            <w:r>
              <w:rPr>
                <w:rFonts w:eastAsia="Times New Roman"/>
                <w:b/>
                <w:i/>
                <w:iCs/>
                <w:sz w:val="28"/>
                <w:szCs w:val="28"/>
              </w:rPr>
              <w:t>Domain: Professional knowledge</w:t>
            </w:r>
          </w:p>
        </w:tc>
        <w:tc>
          <w:tcPr>
            <w:tcW w:w="5244" w:type="dxa"/>
          </w:tcPr>
          <w:p w14:paraId="5FCD61D1" w14:textId="77777777" w:rsidR="002C3F4D" w:rsidRPr="00C35B87" w:rsidRDefault="002C3F4D" w:rsidP="00CD5156">
            <w:pPr>
              <w:pStyle w:val="ColorfulList-Accent11"/>
              <w:ind w:left="421"/>
              <w:rPr>
                <w:rFonts w:eastAsia="Times New Roman"/>
                <w:b/>
                <w:sz w:val="28"/>
                <w:szCs w:val="28"/>
              </w:rPr>
            </w:pPr>
            <w:r>
              <w:rPr>
                <w:rFonts w:eastAsia="Times New Roman"/>
                <w:b/>
                <w:sz w:val="28"/>
                <w:szCs w:val="28"/>
              </w:rPr>
              <w:t>Focus Areas</w:t>
            </w:r>
            <w:r w:rsidRPr="00C35B87">
              <w:rPr>
                <w:rFonts w:eastAsia="Times New Roman"/>
                <w:b/>
                <w:sz w:val="28"/>
                <w:szCs w:val="28"/>
              </w:rPr>
              <w:t xml:space="preserve"> of the standard</w:t>
            </w:r>
          </w:p>
        </w:tc>
        <w:tc>
          <w:tcPr>
            <w:tcW w:w="7188" w:type="dxa"/>
          </w:tcPr>
          <w:p w14:paraId="652E7786" w14:textId="77777777" w:rsidR="002C3F4D" w:rsidRPr="00C35B87" w:rsidRDefault="002C3F4D" w:rsidP="00CD5156">
            <w:pPr>
              <w:rPr>
                <w:b/>
                <w:sz w:val="28"/>
                <w:szCs w:val="28"/>
              </w:rPr>
            </w:pPr>
            <w:r w:rsidRPr="00C35B87">
              <w:rPr>
                <w:b/>
                <w:sz w:val="28"/>
                <w:szCs w:val="28"/>
              </w:rPr>
              <w:t>What quality practices do you use in your setting that connect with this standard?</w:t>
            </w:r>
          </w:p>
        </w:tc>
        <w:tc>
          <w:tcPr>
            <w:tcW w:w="4775" w:type="dxa"/>
          </w:tcPr>
          <w:p w14:paraId="42AC3F66" w14:textId="77777777" w:rsidR="002C3F4D" w:rsidRPr="00C35B87" w:rsidRDefault="002C3F4D" w:rsidP="00CD5156">
            <w:pPr>
              <w:rPr>
                <w:b/>
                <w:sz w:val="28"/>
                <w:szCs w:val="28"/>
              </w:rPr>
            </w:pPr>
            <w:r w:rsidRPr="00C35B87">
              <w:rPr>
                <w:b/>
                <w:sz w:val="28"/>
                <w:szCs w:val="28"/>
              </w:rPr>
              <w:t>What evidence do you use that demonstrates these quality practices?</w:t>
            </w:r>
          </w:p>
        </w:tc>
      </w:tr>
      <w:tr w:rsidR="002C3F4D" w14:paraId="561B2374" w14:textId="77777777" w:rsidTr="00CD5156">
        <w:tc>
          <w:tcPr>
            <w:tcW w:w="3723" w:type="dxa"/>
          </w:tcPr>
          <w:p w14:paraId="25341F60" w14:textId="77777777" w:rsidR="002C3F4D" w:rsidRPr="0091113E" w:rsidRDefault="002C3F4D" w:rsidP="00CD5156">
            <w:pPr>
              <w:rPr>
                <w:b/>
                <w:bCs/>
              </w:rPr>
            </w:pPr>
            <w:r w:rsidRPr="0091113E">
              <w:rPr>
                <w:b/>
                <w:bCs/>
              </w:rPr>
              <w:t>Standard 3: Know the learner and the learning process</w:t>
            </w:r>
            <w:r>
              <w:rPr>
                <w:b/>
                <w:bCs/>
              </w:rPr>
              <w:t>.</w:t>
            </w:r>
            <w:r w:rsidRPr="0091113E">
              <w:rPr>
                <w:b/>
                <w:bCs/>
              </w:rPr>
              <w:t xml:space="preserve"> </w:t>
            </w:r>
          </w:p>
          <w:p w14:paraId="5BA46E67" w14:textId="77777777" w:rsidR="002C3F4D" w:rsidRPr="00B022AB" w:rsidRDefault="002C3F4D" w:rsidP="00CD5156">
            <w:r>
              <w:t>Understand the learning process and the diversity of learners’ strengths, needs, languages, cultures, identities, and interests.</w:t>
            </w:r>
          </w:p>
          <w:p w14:paraId="4E2C5F07" w14:textId="77777777" w:rsidR="002C3F4D" w:rsidRPr="00B022AB" w:rsidRDefault="002C3F4D" w:rsidP="00CD5156"/>
        </w:tc>
        <w:tc>
          <w:tcPr>
            <w:tcW w:w="5244" w:type="dxa"/>
          </w:tcPr>
          <w:p w14:paraId="174661D1" w14:textId="77777777" w:rsidR="002C3F4D" w:rsidRDefault="002C3F4D" w:rsidP="00CD5156">
            <w:pPr>
              <w:pStyle w:val="ColorfulList-Accent11"/>
              <w:ind w:left="0"/>
            </w:pPr>
            <w:r w:rsidRPr="006308DE">
              <w:rPr>
                <w:b/>
                <w:bCs/>
              </w:rPr>
              <w:t xml:space="preserve">Focus area 3.1 </w:t>
            </w:r>
            <w:r w:rsidRPr="00F6609D">
              <w:rPr>
                <w:color w:val="009499" w:themeColor="accent1"/>
              </w:rPr>
              <w:t>Understand how learning happens</w:t>
            </w:r>
            <w:r>
              <w:rPr>
                <w:color w:val="009499" w:themeColor="accent1"/>
              </w:rPr>
              <w:t>.</w:t>
            </w:r>
            <w:r w:rsidRPr="00F6609D">
              <w:rPr>
                <w:color w:val="009499" w:themeColor="accent1"/>
              </w:rPr>
              <w:t xml:space="preserve"> </w:t>
            </w:r>
            <w:r>
              <w:t>Demonstrate a developed knowledge and understanding of the cognitive, emotional, and social factors that affect how children and young people learn, and their application to teaching practice, informed by the science of learning.</w:t>
            </w:r>
          </w:p>
          <w:p w14:paraId="02235357" w14:textId="77777777" w:rsidR="002C3F4D" w:rsidRDefault="002C3F4D" w:rsidP="00CD5156">
            <w:pPr>
              <w:pStyle w:val="ColorfulList-Accent11"/>
              <w:ind w:left="0"/>
              <w:rPr>
                <w:rFonts w:eastAsia="Times New Roman"/>
              </w:rPr>
            </w:pPr>
          </w:p>
          <w:p w14:paraId="2040DDDD" w14:textId="77777777" w:rsidR="002C3F4D" w:rsidRDefault="002C3F4D" w:rsidP="00CD5156">
            <w:pPr>
              <w:pStyle w:val="ColorfulList-Accent11"/>
              <w:ind w:left="0"/>
              <w:rPr>
                <w:rFonts w:eastAsia="Times New Roman"/>
                <w:sz w:val="24"/>
                <w:szCs w:val="24"/>
              </w:rPr>
            </w:pPr>
            <w:r w:rsidRPr="00F6609D">
              <w:rPr>
                <w:rFonts w:eastAsia="Times New Roman"/>
                <w:b/>
                <w:bCs/>
                <w:sz w:val="24"/>
                <w:szCs w:val="24"/>
              </w:rPr>
              <w:t>Focus area 3.2</w:t>
            </w:r>
            <w:r w:rsidRPr="00F41D45">
              <w:rPr>
                <w:rFonts w:eastAsia="Times New Roman"/>
                <w:sz w:val="24"/>
                <w:szCs w:val="24"/>
              </w:rPr>
              <w:t xml:space="preserve"> </w:t>
            </w:r>
            <w:r w:rsidRPr="00F6609D">
              <w:rPr>
                <w:rFonts w:eastAsia="Times New Roman"/>
                <w:color w:val="009499" w:themeColor="accent1"/>
                <w:sz w:val="24"/>
                <w:szCs w:val="24"/>
              </w:rPr>
              <w:t>Understand how diverse needs can be met</w:t>
            </w:r>
            <w:r>
              <w:rPr>
                <w:rFonts w:eastAsia="Times New Roman"/>
                <w:color w:val="009499" w:themeColor="accent1"/>
                <w:sz w:val="24"/>
                <w:szCs w:val="24"/>
              </w:rPr>
              <w:t>.</w:t>
            </w:r>
            <w:r w:rsidRPr="00F6609D">
              <w:rPr>
                <w:rFonts w:eastAsia="Times New Roman"/>
                <w:color w:val="009499" w:themeColor="accent1"/>
                <w:sz w:val="24"/>
                <w:szCs w:val="24"/>
              </w:rPr>
              <w:t xml:space="preserve"> </w:t>
            </w:r>
            <w:r w:rsidRPr="00F41D45">
              <w:rPr>
                <w:rFonts w:eastAsia="Times New Roman"/>
                <w:sz w:val="24"/>
                <w:szCs w:val="24"/>
              </w:rPr>
              <w:t>Demonstrate understanding of the diverse needs of learners - including those associated with neurodivergence, disabilities, and trauma – and of the learning strategies that can support them, while being willing to seek specialist support where needed</w:t>
            </w:r>
            <w:r>
              <w:rPr>
                <w:rFonts w:eastAsia="Times New Roman"/>
                <w:sz w:val="24"/>
                <w:szCs w:val="24"/>
              </w:rPr>
              <w:t>.</w:t>
            </w:r>
          </w:p>
          <w:p w14:paraId="738C3609" w14:textId="77777777" w:rsidR="002C3F4D" w:rsidRDefault="002C3F4D" w:rsidP="00CD5156">
            <w:pPr>
              <w:pStyle w:val="ColorfulList-Accent11"/>
              <w:ind w:left="0"/>
              <w:rPr>
                <w:rFonts w:eastAsia="Times New Roman"/>
                <w:sz w:val="24"/>
                <w:szCs w:val="24"/>
              </w:rPr>
            </w:pPr>
          </w:p>
          <w:p w14:paraId="6501E470" w14:textId="77777777" w:rsidR="002C3F4D" w:rsidRDefault="002C3F4D" w:rsidP="00CD5156">
            <w:pPr>
              <w:pStyle w:val="ColorfulList-Accent11"/>
              <w:ind w:left="0"/>
              <w:rPr>
                <w:rFonts w:eastAsia="Times New Roman"/>
                <w:sz w:val="24"/>
                <w:szCs w:val="24"/>
              </w:rPr>
            </w:pPr>
            <w:r w:rsidRPr="00F6609D">
              <w:rPr>
                <w:rFonts w:eastAsia="Times New Roman"/>
                <w:b/>
                <w:bCs/>
                <w:sz w:val="24"/>
                <w:szCs w:val="24"/>
              </w:rPr>
              <w:t>Focus area 3.3</w:t>
            </w:r>
            <w:r w:rsidRPr="003D3D7A">
              <w:rPr>
                <w:rFonts w:eastAsia="Times New Roman"/>
                <w:sz w:val="24"/>
                <w:szCs w:val="24"/>
              </w:rPr>
              <w:t xml:space="preserve"> </w:t>
            </w:r>
            <w:r w:rsidRPr="00F6609D">
              <w:rPr>
                <w:rFonts w:eastAsia="Times New Roman"/>
                <w:color w:val="009499" w:themeColor="accent1"/>
                <w:sz w:val="24"/>
                <w:szCs w:val="24"/>
              </w:rPr>
              <w:t>Understand culturally responsive teaching</w:t>
            </w:r>
            <w:r>
              <w:rPr>
                <w:rFonts w:eastAsia="Times New Roman"/>
                <w:color w:val="009499" w:themeColor="accent1"/>
                <w:sz w:val="24"/>
                <w:szCs w:val="24"/>
              </w:rPr>
              <w:t>.</w:t>
            </w:r>
            <w:r w:rsidRPr="00F6609D">
              <w:rPr>
                <w:rFonts w:eastAsia="Times New Roman"/>
                <w:color w:val="009499" w:themeColor="accent1"/>
                <w:sz w:val="24"/>
                <w:szCs w:val="24"/>
              </w:rPr>
              <w:t xml:space="preserve"> </w:t>
            </w:r>
            <w:r w:rsidRPr="003D3D7A">
              <w:rPr>
                <w:rFonts w:eastAsia="Times New Roman"/>
                <w:sz w:val="24"/>
                <w:szCs w:val="24"/>
              </w:rPr>
              <w:t>Demonstrate an understanding of how to richly contextualise teaching and learning experiences to learners’ culture, backgrounds, and interests to bring the curriculum to life and help them progress their learning</w:t>
            </w:r>
            <w:r>
              <w:rPr>
                <w:rFonts w:eastAsia="Times New Roman"/>
                <w:sz w:val="24"/>
                <w:szCs w:val="24"/>
              </w:rPr>
              <w:t>.</w:t>
            </w:r>
          </w:p>
          <w:p w14:paraId="14A58F8E" w14:textId="77777777" w:rsidR="002C3F4D" w:rsidRDefault="002C3F4D" w:rsidP="00CD5156">
            <w:pPr>
              <w:pStyle w:val="ColorfulList-Accent11"/>
              <w:ind w:left="0"/>
              <w:rPr>
                <w:rFonts w:eastAsia="Times New Roman"/>
                <w:sz w:val="24"/>
                <w:szCs w:val="24"/>
              </w:rPr>
            </w:pPr>
          </w:p>
          <w:p w14:paraId="2E80FF85" w14:textId="77777777" w:rsidR="002C3F4D" w:rsidRPr="00C35B87" w:rsidRDefault="002C3F4D" w:rsidP="00CD5156">
            <w:pPr>
              <w:pStyle w:val="ColorfulList-Accent11"/>
              <w:ind w:left="0"/>
              <w:rPr>
                <w:rFonts w:eastAsia="Times New Roman"/>
                <w:sz w:val="24"/>
                <w:szCs w:val="24"/>
              </w:rPr>
            </w:pPr>
          </w:p>
          <w:p w14:paraId="25D76F5A" w14:textId="77777777" w:rsidR="002C3F4D" w:rsidRPr="00C35B87" w:rsidRDefault="002C3F4D" w:rsidP="00CD5156">
            <w:pPr>
              <w:pStyle w:val="ColorfulList-Accent11"/>
              <w:ind w:left="0"/>
              <w:rPr>
                <w:rFonts w:eastAsia="Times New Roman"/>
                <w:sz w:val="24"/>
                <w:szCs w:val="24"/>
              </w:rPr>
            </w:pPr>
            <w:r w:rsidRPr="00F6609D">
              <w:rPr>
                <w:b/>
                <w:bCs/>
              </w:rPr>
              <w:t>Focus area 3.4</w:t>
            </w:r>
            <w:r>
              <w:t xml:space="preserve"> </w:t>
            </w:r>
            <w:r w:rsidRPr="00F6609D">
              <w:rPr>
                <w:color w:val="009499" w:themeColor="accent1"/>
              </w:rPr>
              <w:t>Understand own assumptions and beliefs</w:t>
            </w:r>
            <w:r>
              <w:rPr>
                <w:color w:val="009499" w:themeColor="accent1"/>
              </w:rPr>
              <w:t>.</w:t>
            </w:r>
            <w:r>
              <w:t xml:space="preserve"> Critically examine how one’s own assumptions and beliefs, including cultural beliefs, impact on one’s practice, and on the achievement of learners including those with different abilities and needs, backgrounds, genders, identities, languages, and cultures.</w:t>
            </w:r>
          </w:p>
          <w:p w14:paraId="54D7A7F6" w14:textId="77777777" w:rsidR="002C3F4D" w:rsidRPr="00C35B87" w:rsidRDefault="002C3F4D" w:rsidP="00CD5156">
            <w:pPr>
              <w:pStyle w:val="ColorfulList-Accent11"/>
              <w:ind w:left="360"/>
              <w:rPr>
                <w:rFonts w:eastAsia="Times New Roman"/>
                <w:sz w:val="24"/>
                <w:szCs w:val="24"/>
              </w:rPr>
            </w:pPr>
          </w:p>
          <w:p w14:paraId="70536128" w14:textId="77777777" w:rsidR="002C3F4D" w:rsidRPr="00C35B87" w:rsidRDefault="002C3F4D" w:rsidP="00CD5156">
            <w:pPr>
              <w:pStyle w:val="ColorfulList-Accent11"/>
              <w:ind w:left="0"/>
              <w:rPr>
                <w:rFonts w:eastAsia="Times New Roman"/>
                <w:sz w:val="24"/>
                <w:szCs w:val="24"/>
              </w:rPr>
            </w:pPr>
          </w:p>
          <w:p w14:paraId="49C31EBC" w14:textId="77777777" w:rsidR="002C3F4D" w:rsidRPr="00C35B87" w:rsidRDefault="002C3F4D" w:rsidP="00CD5156">
            <w:pPr>
              <w:pStyle w:val="ColorfulList-Accent11"/>
              <w:ind w:left="360"/>
              <w:rPr>
                <w:rFonts w:eastAsia="Times New Roman"/>
                <w:sz w:val="24"/>
                <w:szCs w:val="24"/>
              </w:rPr>
            </w:pPr>
          </w:p>
          <w:p w14:paraId="5D7EFF04" w14:textId="77777777" w:rsidR="002C3F4D" w:rsidRPr="00C35B87" w:rsidRDefault="002C3F4D" w:rsidP="00CD5156">
            <w:pPr>
              <w:pStyle w:val="ColorfulList-Accent11"/>
              <w:ind w:left="0"/>
              <w:rPr>
                <w:rFonts w:eastAsia="Times New Roman"/>
                <w:sz w:val="24"/>
                <w:szCs w:val="24"/>
              </w:rPr>
            </w:pPr>
          </w:p>
        </w:tc>
        <w:tc>
          <w:tcPr>
            <w:tcW w:w="7188" w:type="dxa"/>
          </w:tcPr>
          <w:p w14:paraId="6C0A2BCB" w14:textId="77777777" w:rsidR="002C3F4D" w:rsidRDefault="002C3F4D" w:rsidP="00CD5156"/>
        </w:tc>
        <w:tc>
          <w:tcPr>
            <w:tcW w:w="4775" w:type="dxa"/>
          </w:tcPr>
          <w:p w14:paraId="5D3F07CD" w14:textId="77777777" w:rsidR="002C3F4D" w:rsidRDefault="002C3F4D" w:rsidP="00CD5156"/>
        </w:tc>
      </w:tr>
    </w:tbl>
    <w:p w14:paraId="6A2C0D21" w14:textId="77777777" w:rsidR="002C3F4D" w:rsidRDefault="002C3F4D" w:rsidP="002C3F4D">
      <w:pPr>
        <w:rPr>
          <w:b/>
          <w:color w:val="5FC6CB" w:themeColor="text1"/>
          <w:sz w:val="32"/>
          <w:szCs w:val="32"/>
        </w:rPr>
      </w:pPr>
    </w:p>
    <w:p w14:paraId="766B45F4" w14:textId="77777777" w:rsidR="002C3F4D" w:rsidRDefault="002C3F4D" w:rsidP="002C3F4D">
      <w:pPr>
        <w:rPr>
          <w:b/>
          <w:color w:val="5FC6CB" w:themeColor="text1"/>
          <w:sz w:val="32"/>
          <w:szCs w:val="32"/>
        </w:rPr>
      </w:pPr>
      <w:r>
        <w:rPr>
          <w:b/>
          <w:color w:val="5FC6CB" w:themeColor="text1"/>
          <w:sz w:val="32"/>
          <w:szCs w:val="32"/>
        </w:rPr>
        <w:br w:type="page"/>
      </w:r>
    </w:p>
    <w:p w14:paraId="37008BB9" w14:textId="5E8120AA" w:rsidR="002C3F4D" w:rsidRPr="007C496C" w:rsidRDefault="002C3F4D" w:rsidP="002C3F4D">
      <w:pPr>
        <w:rPr>
          <w:b/>
          <w:sz w:val="32"/>
          <w:szCs w:val="32"/>
        </w:rPr>
      </w:pPr>
      <w:r w:rsidRPr="000A3754">
        <w:rPr>
          <w:b/>
          <w:color w:val="5FC6CB" w:themeColor="text1"/>
          <w:sz w:val="32"/>
          <w:szCs w:val="32"/>
        </w:rPr>
        <w:lastRenderedPageBreak/>
        <w:t xml:space="preserve">Quality Practice - </w:t>
      </w:r>
      <w:r w:rsidRPr="000A3754">
        <w:rPr>
          <w:b/>
          <w:i/>
          <w:color w:val="5FC6CB" w:themeColor="text1"/>
          <w:sz w:val="32"/>
          <w:szCs w:val="32"/>
        </w:rPr>
        <w:t>Standards for the Teaching Profession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3"/>
        <w:gridCol w:w="5244"/>
        <w:gridCol w:w="7188"/>
        <w:gridCol w:w="4775"/>
      </w:tblGrid>
      <w:tr w:rsidR="002C3F4D" w:rsidRPr="00B022AB" w14:paraId="24682F08" w14:textId="77777777" w:rsidTr="00CD5156">
        <w:tc>
          <w:tcPr>
            <w:tcW w:w="3723" w:type="dxa"/>
          </w:tcPr>
          <w:p w14:paraId="2AFCFECB" w14:textId="77777777" w:rsidR="002C3F4D" w:rsidRDefault="002C3F4D" w:rsidP="00CD5156">
            <w:pPr>
              <w:rPr>
                <w:rFonts w:eastAsia="Times New Roman"/>
                <w:b/>
                <w:sz w:val="28"/>
                <w:szCs w:val="28"/>
              </w:rPr>
            </w:pPr>
            <w:r w:rsidRPr="00C35B87">
              <w:rPr>
                <w:rFonts w:eastAsia="Times New Roman"/>
                <w:b/>
                <w:sz w:val="28"/>
                <w:szCs w:val="28"/>
              </w:rPr>
              <w:t>Standard</w:t>
            </w:r>
          </w:p>
          <w:p w14:paraId="46C76945" w14:textId="77777777" w:rsidR="002C3F4D" w:rsidRPr="00C35B87" w:rsidRDefault="002C3F4D" w:rsidP="00CD5156">
            <w:pPr>
              <w:rPr>
                <w:rFonts w:eastAsia="Times New Roman"/>
                <w:b/>
                <w:sz w:val="28"/>
                <w:szCs w:val="28"/>
              </w:rPr>
            </w:pPr>
            <w:r>
              <w:rPr>
                <w:rFonts w:eastAsia="Times New Roman"/>
                <w:b/>
                <w:i/>
                <w:iCs/>
                <w:sz w:val="28"/>
                <w:szCs w:val="28"/>
              </w:rPr>
              <w:t>Domain: Professional practice</w:t>
            </w:r>
          </w:p>
        </w:tc>
        <w:tc>
          <w:tcPr>
            <w:tcW w:w="5244" w:type="dxa"/>
          </w:tcPr>
          <w:p w14:paraId="6B1E4665" w14:textId="77777777" w:rsidR="002C3F4D" w:rsidRPr="00C35B87" w:rsidRDefault="002C3F4D" w:rsidP="00CD5156">
            <w:pPr>
              <w:pStyle w:val="ColorfulList-Accent11"/>
              <w:ind w:left="421"/>
              <w:rPr>
                <w:rFonts w:eastAsia="Times New Roman"/>
                <w:b/>
                <w:sz w:val="28"/>
                <w:szCs w:val="28"/>
              </w:rPr>
            </w:pPr>
            <w:r>
              <w:rPr>
                <w:rFonts w:eastAsia="Times New Roman"/>
                <w:b/>
                <w:sz w:val="28"/>
                <w:szCs w:val="28"/>
              </w:rPr>
              <w:t>Focus Areas</w:t>
            </w:r>
            <w:r w:rsidRPr="00C35B87">
              <w:rPr>
                <w:rFonts w:eastAsia="Times New Roman"/>
                <w:b/>
                <w:sz w:val="28"/>
                <w:szCs w:val="28"/>
              </w:rPr>
              <w:t xml:space="preserve"> of the standard</w:t>
            </w:r>
          </w:p>
        </w:tc>
        <w:tc>
          <w:tcPr>
            <w:tcW w:w="7188" w:type="dxa"/>
          </w:tcPr>
          <w:p w14:paraId="037F71BA" w14:textId="77777777" w:rsidR="002C3F4D" w:rsidRPr="00C35B87" w:rsidRDefault="002C3F4D" w:rsidP="00CD5156">
            <w:pPr>
              <w:rPr>
                <w:b/>
                <w:sz w:val="28"/>
                <w:szCs w:val="28"/>
              </w:rPr>
            </w:pPr>
            <w:r w:rsidRPr="00C35B87">
              <w:rPr>
                <w:b/>
                <w:sz w:val="28"/>
                <w:szCs w:val="28"/>
              </w:rPr>
              <w:t>What quality practices do you use in your setting that connect with this standard?</w:t>
            </w:r>
          </w:p>
        </w:tc>
        <w:tc>
          <w:tcPr>
            <w:tcW w:w="4775" w:type="dxa"/>
          </w:tcPr>
          <w:p w14:paraId="4B3AA8BD" w14:textId="77777777" w:rsidR="002C3F4D" w:rsidRPr="00C35B87" w:rsidRDefault="002C3F4D" w:rsidP="00CD5156">
            <w:pPr>
              <w:rPr>
                <w:b/>
                <w:sz w:val="28"/>
                <w:szCs w:val="28"/>
              </w:rPr>
            </w:pPr>
            <w:r w:rsidRPr="00C35B87">
              <w:rPr>
                <w:b/>
                <w:sz w:val="28"/>
                <w:szCs w:val="28"/>
              </w:rPr>
              <w:t>What evidence do you use that demonstrates these quality practices?</w:t>
            </w:r>
          </w:p>
        </w:tc>
      </w:tr>
      <w:tr w:rsidR="002C3F4D" w14:paraId="00F979B2" w14:textId="77777777" w:rsidTr="00CD5156">
        <w:tc>
          <w:tcPr>
            <w:tcW w:w="3723" w:type="dxa"/>
          </w:tcPr>
          <w:p w14:paraId="4BE10D9D" w14:textId="77777777" w:rsidR="002C3F4D" w:rsidRPr="00D06D5A" w:rsidRDefault="002C3F4D" w:rsidP="00CD5156">
            <w:pPr>
              <w:rPr>
                <w:b/>
                <w:bCs/>
              </w:rPr>
            </w:pPr>
            <w:r w:rsidRPr="00D06D5A">
              <w:rPr>
                <w:b/>
                <w:bCs/>
              </w:rPr>
              <w:t>Standard 4: Plan for and implement effective teaching and learning</w:t>
            </w:r>
            <w:r>
              <w:rPr>
                <w:b/>
                <w:bCs/>
              </w:rPr>
              <w:t>.</w:t>
            </w:r>
            <w:r w:rsidRPr="00D06D5A">
              <w:rPr>
                <w:b/>
                <w:bCs/>
              </w:rPr>
              <w:t xml:space="preserve"> </w:t>
            </w:r>
          </w:p>
          <w:p w14:paraId="13D4135C" w14:textId="77777777" w:rsidR="002C3F4D" w:rsidRPr="00B022AB" w:rsidRDefault="002C3F4D" w:rsidP="00CD5156">
            <w:r>
              <w:t>Plan for learning, teach, and respond to learners during teaching to progress their learning at an appropriate depth and pace.</w:t>
            </w:r>
          </w:p>
        </w:tc>
        <w:tc>
          <w:tcPr>
            <w:tcW w:w="5244" w:type="dxa"/>
          </w:tcPr>
          <w:p w14:paraId="49F7634C" w14:textId="77777777" w:rsidR="002C3F4D" w:rsidRDefault="002C3F4D" w:rsidP="00CD5156">
            <w:r w:rsidRPr="00655D4F">
              <w:rPr>
                <w:b/>
                <w:bCs/>
              </w:rPr>
              <w:t>Focus area 4</w:t>
            </w:r>
            <w:r w:rsidRPr="00655D4F">
              <w:t>.1</w:t>
            </w:r>
            <w:r>
              <w:t xml:space="preserve"> </w:t>
            </w:r>
            <w:r w:rsidRPr="00655D4F">
              <w:rPr>
                <w:color w:val="009499" w:themeColor="accent1"/>
              </w:rPr>
              <w:t>Set high expectations</w:t>
            </w:r>
            <w:r>
              <w:rPr>
                <w:color w:val="009499" w:themeColor="accent1"/>
              </w:rPr>
              <w:t>.</w:t>
            </w:r>
            <w:r w:rsidRPr="00655D4F">
              <w:rPr>
                <w:color w:val="009499" w:themeColor="accent1"/>
              </w:rPr>
              <w:t xml:space="preserve"> </w:t>
            </w:r>
            <w:r>
              <w:t>Set high expectations for the learning outcomes of every learner.</w:t>
            </w:r>
          </w:p>
          <w:p w14:paraId="32A94143" w14:textId="77777777" w:rsidR="002C3F4D" w:rsidRDefault="002C3F4D" w:rsidP="00CD5156">
            <w:r w:rsidRPr="00655D4F">
              <w:rPr>
                <w:b/>
                <w:bCs/>
              </w:rPr>
              <w:t>Focus area 4.2</w:t>
            </w:r>
            <w:r>
              <w:t xml:space="preserve"> </w:t>
            </w:r>
            <w:r w:rsidRPr="00655D4F">
              <w:rPr>
                <w:color w:val="009499" w:themeColor="accent1"/>
              </w:rPr>
              <w:t>Prepare learning experiences that are coherent and well organised</w:t>
            </w:r>
            <w:r>
              <w:rPr>
                <w:color w:val="009499" w:themeColor="accent1"/>
              </w:rPr>
              <w:t>.</w:t>
            </w:r>
            <w:r w:rsidRPr="00655D4F">
              <w:rPr>
                <w:color w:val="009499" w:themeColor="accent1"/>
              </w:rPr>
              <w:t xml:space="preserve"> </w:t>
            </w:r>
            <w:r>
              <w:t>Use a mixture of forward planning and planning in action to ensure that the curriculum is enacted in an intentional way for each learner.</w:t>
            </w:r>
          </w:p>
          <w:p w14:paraId="22397B56" w14:textId="77777777" w:rsidR="002C3F4D" w:rsidRDefault="002C3F4D" w:rsidP="00CD5156">
            <w:r w:rsidRPr="00655D4F">
              <w:rPr>
                <w:b/>
                <w:bCs/>
              </w:rPr>
              <w:t>Focus area 4.3</w:t>
            </w:r>
            <w:r>
              <w:t xml:space="preserve"> </w:t>
            </w:r>
            <w:r w:rsidRPr="00655D4F">
              <w:rPr>
                <w:color w:val="009499" w:themeColor="accent1"/>
              </w:rPr>
              <w:t>Advance the progress and achievement of all learners</w:t>
            </w:r>
            <w:r>
              <w:rPr>
                <w:color w:val="009499" w:themeColor="accent1"/>
              </w:rPr>
              <w:t>.</w:t>
            </w:r>
            <w:r w:rsidRPr="00655D4F">
              <w:rPr>
                <w:color w:val="009499" w:themeColor="accent1"/>
              </w:rPr>
              <w:t xml:space="preserve"> </w:t>
            </w:r>
            <w:r>
              <w:t>Teach in ways that ensure sufficient progress for the diverse range of learners, providing additional support or extension when needed.</w:t>
            </w:r>
          </w:p>
          <w:p w14:paraId="123D5D79" w14:textId="77777777" w:rsidR="002C3F4D" w:rsidRDefault="002C3F4D" w:rsidP="00CD5156">
            <w:r w:rsidRPr="00655D4F">
              <w:rPr>
                <w:b/>
                <w:bCs/>
              </w:rPr>
              <w:t>Focus area 4.4</w:t>
            </w:r>
            <w:r>
              <w:t xml:space="preserve"> </w:t>
            </w:r>
            <w:r w:rsidRPr="00655D4F">
              <w:rPr>
                <w:color w:val="009499" w:themeColor="accent1"/>
              </w:rPr>
              <w:t>Use and adapt teaching strategies</w:t>
            </w:r>
            <w:r>
              <w:rPr>
                <w:color w:val="009499" w:themeColor="accent1"/>
              </w:rPr>
              <w:t>.</w:t>
            </w:r>
            <w:r w:rsidRPr="00655D4F">
              <w:rPr>
                <w:color w:val="009499" w:themeColor="accent1"/>
              </w:rPr>
              <w:t xml:space="preserve"> </w:t>
            </w:r>
            <w:r>
              <w:t>Make use of a range of evidence-informed teaching strategies, approaches, and learning activities and use them adaptively in response to the needs of individuals and groups of learners.</w:t>
            </w:r>
          </w:p>
          <w:p w14:paraId="5737AC85" w14:textId="77777777" w:rsidR="002C3F4D" w:rsidRDefault="002C3F4D" w:rsidP="00CD5156">
            <w:r w:rsidRPr="00655D4F">
              <w:rPr>
                <w:b/>
                <w:bCs/>
              </w:rPr>
              <w:t>Focus area 4.5</w:t>
            </w:r>
            <w:r>
              <w:t xml:space="preserve"> </w:t>
            </w:r>
            <w:r w:rsidRPr="00655D4F">
              <w:rPr>
                <w:color w:val="009499" w:themeColor="accent1"/>
              </w:rPr>
              <w:t>Enable learning-focused capabilities</w:t>
            </w:r>
            <w:r>
              <w:rPr>
                <w:color w:val="009499" w:themeColor="accent1"/>
              </w:rPr>
              <w:t>.</w:t>
            </w:r>
            <w:r w:rsidRPr="00655D4F">
              <w:rPr>
                <w:color w:val="009499" w:themeColor="accent1"/>
              </w:rPr>
              <w:t xml:space="preserve"> </w:t>
            </w:r>
            <w:r>
              <w:t>Enable learners to be active participants in their learning, so that they are well placed to develop self-regulation, agency, collaborative capabilities, self-reflection, and critical thinking.</w:t>
            </w:r>
          </w:p>
          <w:p w14:paraId="0DE241B0" w14:textId="77777777" w:rsidR="002C3F4D" w:rsidRPr="00844976" w:rsidRDefault="002C3F4D" w:rsidP="00CD5156">
            <w:r w:rsidRPr="00655D4F">
              <w:rPr>
                <w:b/>
                <w:bCs/>
              </w:rPr>
              <w:t>Focus area 4.6</w:t>
            </w:r>
            <w:r>
              <w:t xml:space="preserve"> </w:t>
            </w:r>
            <w:r w:rsidRPr="00655D4F">
              <w:rPr>
                <w:color w:val="009499" w:themeColor="accent1"/>
              </w:rPr>
              <w:t>Māori succeeding as Māori</w:t>
            </w:r>
            <w:r>
              <w:rPr>
                <w:color w:val="009499" w:themeColor="accent1"/>
              </w:rPr>
              <w:t>.</w:t>
            </w:r>
            <w:r w:rsidRPr="00655D4F">
              <w:rPr>
                <w:color w:val="009499" w:themeColor="accent1"/>
              </w:rPr>
              <w:t xml:space="preserve"> </w:t>
            </w:r>
            <w:r>
              <w:t>Specifically support the educational aspirations for Māori learners, taking shared responsibility for these learners to achieve educational success as Māori.</w:t>
            </w:r>
          </w:p>
        </w:tc>
        <w:tc>
          <w:tcPr>
            <w:tcW w:w="7188" w:type="dxa"/>
          </w:tcPr>
          <w:p w14:paraId="3BFEA879" w14:textId="77777777" w:rsidR="002C3F4D" w:rsidRDefault="002C3F4D" w:rsidP="00CD5156"/>
        </w:tc>
        <w:tc>
          <w:tcPr>
            <w:tcW w:w="4775" w:type="dxa"/>
          </w:tcPr>
          <w:p w14:paraId="3391F1E4" w14:textId="77777777" w:rsidR="002C3F4D" w:rsidRDefault="002C3F4D" w:rsidP="00CD5156"/>
        </w:tc>
      </w:tr>
    </w:tbl>
    <w:p w14:paraId="7DBE482C" w14:textId="77777777" w:rsidR="002C3F4D" w:rsidRDefault="002C3F4D" w:rsidP="002C3F4D">
      <w:pPr>
        <w:rPr>
          <w:b/>
          <w:color w:val="5FC6CB" w:themeColor="text1"/>
          <w:sz w:val="32"/>
          <w:szCs w:val="32"/>
        </w:rPr>
      </w:pPr>
    </w:p>
    <w:p w14:paraId="07E3CE21" w14:textId="77777777" w:rsidR="002C3F4D" w:rsidRDefault="002C3F4D" w:rsidP="002C3F4D">
      <w:pPr>
        <w:rPr>
          <w:b/>
          <w:color w:val="5FC6CB" w:themeColor="text1"/>
          <w:sz w:val="32"/>
          <w:szCs w:val="32"/>
        </w:rPr>
      </w:pPr>
    </w:p>
    <w:p w14:paraId="41996A29" w14:textId="77777777" w:rsidR="002C3F4D" w:rsidRDefault="002C3F4D" w:rsidP="002C3F4D">
      <w:pPr>
        <w:rPr>
          <w:b/>
          <w:color w:val="5FC6CB" w:themeColor="text1"/>
          <w:sz w:val="32"/>
          <w:szCs w:val="32"/>
        </w:rPr>
      </w:pPr>
      <w:r>
        <w:rPr>
          <w:b/>
          <w:color w:val="5FC6CB" w:themeColor="text1"/>
          <w:sz w:val="32"/>
          <w:szCs w:val="32"/>
        </w:rPr>
        <w:br w:type="page"/>
      </w:r>
    </w:p>
    <w:p w14:paraId="496776AB" w14:textId="7B5D33CE" w:rsidR="002C3F4D" w:rsidRPr="000A3754" w:rsidRDefault="002C3F4D" w:rsidP="002C3F4D">
      <w:pPr>
        <w:rPr>
          <w:color w:val="5FC6CB" w:themeColor="text1"/>
          <w:sz w:val="32"/>
          <w:szCs w:val="32"/>
        </w:rPr>
      </w:pPr>
      <w:r w:rsidRPr="000A3754">
        <w:rPr>
          <w:b/>
          <w:color w:val="5FC6CB" w:themeColor="text1"/>
          <w:sz w:val="32"/>
          <w:szCs w:val="32"/>
        </w:rPr>
        <w:lastRenderedPageBreak/>
        <w:t xml:space="preserve">Quality Practice - </w:t>
      </w:r>
      <w:r w:rsidRPr="000A3754">
        <w:rPr>
          <w:b/>
          <w:i/>
          <w:color w:val="5FC6CB" w:themeColor="text1"/>
          <w:sz w:val="32"/>
          <w:szCs w:val="32"/>
        </w:rPr>
        <w:t>Standards for the Teaching Profession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3"/>
        <w:gridCol w:w="5203"/>
        <w:gridCol w:w="7229"/>
        <w:gridCol w:w="4775"/>
      </w:tblGrid>
      <w:tr w:rsidR="002C3F4D" w14:paraId="1EE1BCFC" w14:textId="77777777" w:rsidTr="00CD5156">
        <w:tc>
          <w:tcPr>
            <w:tcW w:w="3723" w:type="dxa"/>
          </w:tcPr>
          <w:p w14:paraId="21405E2E" w14:textId="77777777" w:rsidR="002C3F4D" w:rsidRDefault="002C3F4D" w:rsidP="00CD5156">
            <w:pPr>
              <w:rPr>
                <w:rFonts w:eastAsia="Times New Roman"/>
                <w:b/>
                <w:sz w:val="28"/>
                <w:szCs w:val="28"/>
              </w:rPr>
            </w:pPr>
            <w:r w:rsidRPr="00C35B87">
              <w:rPr>
                <w:rFonts w:eastAsia="Times New Roman"/>
                <w:b/>
                <w:sz w:val="28"/>
                <w:szCs w:val="28"/>
              </w:rPr>
              <w:t>Standard</w:t>
            </w:r>
          </w:p>
          <w:p w14:paraId="3D69DF4E" w14:textId="77777777" w:rsidR="002C3F4D" w:rsidRPr="00C35B87" w:rsidRDefault="002C3F4D" w:rsidP="00CD5156">
            <w:pPr>
              <w:rPr>
                <w:rFonts w:eastAsia="Times New Roman"/>
                <w:b/>
                <w:sz w:val="28"/>
                <w:szCs w:val="28"/>
              </w:rPr>
            </w:pPr>
            <w:r>
              <w:rPr>
                <w:rFonts w:eastAsia="Times New Roman"/>
                <w:b/>
                <w:i/>
                <w:iCs/>
                <w:sz w:val="28"/>
                <w:szCs w:val="28"/>
              </w:rPr>
              <w:t>Domain: Professional practice</w:t>
            </w:r>
          </w:p>
        </w:tc>
        <w:tc>
          <w:tcPr>
            <w:tcW w:w="5203" w:type="dxa"/>
          </w:tcPr>
          <w:p w14:paraId="21A88FF3" w14:textId="77777777" w:rsidR="002C3F4D" w:rsidRPr="00C35B87" w:rsidRDefault="002C3F4D" w:rsidP="00CD5156">
            <w:pPr>
              <w:pStyle w:val="ColorfulList-Accent11"/>
              <w:ind w:left="421"/>
              <w:rPr>
                <w:rFonts w:eastAsia="Times New Roman"/>
                <w:b/>
                <w:sz w:val="28"/>
                <w:szCs w:val="28"/>
              </w:rPr>
            </w:pPr>
            <w:r>
              <w:rPr>
                <w:rFonts w:eastAsia="Times New Roman"/>
                <w:b/>
                <w:sz w:val="28"/>
                <w:szCs w:val="28"/>
              </w:rPr>
              <w:t>Focu</w:t>
            </w:r>
            <w:r w:rsidRPr="00C35B87">
              <w:rPr>
                <w:rFonts w:eastAsia="Times New Roman"/>
                <w:b/>
                <w:sz w:val="28"/>
                <w:szCs w:val="28"/>
              </w:rPr>
              <w:t>s</w:t>
            </w:r>
            <w:r>
              <w:rPr>
                <w:rFonts w:eastAsia="Times New Roman"/>
                <w:b/>
                <w:sz w:val="28"/>
                <w:szCs w:val="28"/>
              </w:rPr>
              <w:t xml:space="preserve"> Areas</w:t>
            </w:r>
            <w:r w:rsidRPr="00C35B87">
              <w:rPr>
                <w:rFonts w:eastAsia="Times New Roman"/>
                <w:b/>
                <w:sz w:val="28"/>
                <w:szCs w:val="28"/>
              </w:rPr>
              <w:t xml:space="preserve"> of the standard</w:t>
            </w:r>
          </w:p>
        </w:tc>
        <w:tc>
          <w:tcPr>
            <w:tcW w:w="7229" w:type="dxa"/>
          </w:tcPr>
          <w:p w14:paraId="5AA7243C" w14:textId="77777777" w:rsidR="002C3F4D" w:rsidRPr="00C35B87" w:rsidRDefault="002C3F4D" w:rsidP="00CD5156">
            <w:pPr>
              <w:rPr>
                <w:b/>
                <w:sz w:val="28"/>
                <w:szCs w:val="28"/>
              </w:rPr>
            </w:pPr>
            <w:r w:rsidRPr="00C35B87">
              <w:rPr>
                <w:b/>
                <w:sz w:val="28"/>
                <w:szCs w:val="28"/>
              </w:rPr>
              <w:t>What quality practices do you use in your setting that connect with this standard?</w:t>
            </w:r>
          </w:p>
        </w:tc>
        <w:tc>
          <w:tcPr>
            <w:tcW w:w="4775" w:type="dxa"/>
          </w:tcPr>
          <w:p w14:paraId="5925EC29" w14:textId="77777777" w:rsidR="002C3F4D" w:rsidRPr="00C35B87" w:rsidRDefault="002C3F4D" w:rsidP="00CD5156">
            <w:pPr>
              <w:rPr>
                <w:b/>
                <w:sz w:val="28"/>
                <w:szCs w:val="28"/>
              </w:rPr>
            </w:pPr>
            <w:r w:rsidRPr="00C35B87">
              <w:rPr>
                <w:b/>
                <w:sz w:val="28"/>
                <w:szCs w:val="28"/>
              </w:rPr>
              <w:t>What evidence do you use that demonstrates these quality practices?</w:t>
            </w:r>
          </w:p>
        </w:tc>
      </w:tr>
      <w:tr w:rsidR="002C3F4D" w14:paraId="6CAAE936" w14:textId="77777777" w:rsidTr="00CD5156">
        <w:tc>
          <w:tcPr>
            <w:tcW w:w="3723" w:type="dxa"/>
          </w:tcPr>
          <w:p w14:paraId="551BCC17" w14:textId="77777777" w:rsidR="002C3F4D" w:rsidRPr="00BA3166" w:rsidRDefault="002C3F4D" w:rsidP="00CD5156">
            <w:pPr>
              <w:rPr>
                <w:b/>
                <w:bCs/>
              </w:rPr>
            </w:pPr>
            <w:r w:rsidRPr="00BA3166">
              <w:rPr>
                <w:b/>
                <w:bCs/>
              </w:rPr>
              <w:t>Standard 5: Create and maintain supportive and safe learning environments</w:t>
            </w:r>
            <w:r>
              <w:rPr>
                <w:b/>
                <w:bCs/>
              </w:rPr>
              <w:t>.</w:t>
            </w:r>
          </w:p>
          <w:p w14:paraId="26715F34" w14:textId="77777777" w:rsidR="002C3F4D" w:rsidRPr="00B022AB" w:rsidRDefault="002C3F4D" w:rsidP="00CD5156">
            <w:r>
              <w:t>Develop a culture where learners feel safe, have their needs met, and are focussed on learning, with appropriate use of equipment and technologies.</w:t>
            </w:r>
          </w:p>
          <w:p w14:paraId="665E275A" w14:textId="77777777" w:rsidR="002C3F4D" w:rsidRPr="00B022AB" w:rsidRDefault="002C3F4D" w:rsidP="00CD5156"/>
          <w:p w14:paraId="4518A341" w14:textId="77777777" w:rsidR="002C3F4D" w:rsidRPr="00B022AB" w:rsidRDefault="002C3F4D" w:rsidP="00CD5156"/>
        </w:tc>
        <w:tc>
          <w:tcPr>
            <w:tcW w:w="5203" w:type="dxa"/>
          </w:tcPr>
          <w:p w14:paraId="5D3BBC3E" w14:textId="77777777" w:rsidR="002C3F4D" w:rsidRDefault="002C3F4D" w:rsidP="00CD5156">
            <w:pPr>
              <w:pStyle w:val="ColorfulList-Accent11"/>
              <w:ind w:left="0"/>
            </w:pPr>
            <w:r w:rsidRPr="006A6644">
              <w:rPr>
                <w:b/>
                <w:bCs/>
              </w:rPr>
              <w:t>Focus area 5.1</w:t>
            </w:r>
            <w:r w:rsidRPr="006A6644">
              <w:t xml:space="preserve"> </w:t>
            </w:r>
            <w:r w:rsidRPr="006A6644">
              <w:rPr>
                <w:color w:val="009499" w:themeColor="accent1"/>
              </w:rPr>
              <w:t xml:space="preserve">Support learners to feel safe to participate in learning. </w:t>
            </w:r>
            <w:r w:rsidRPr="006A6644">
              <w:t>Build genuine, respectful relationships with and among learners so that all learners feel their identities, languages, cultures, and abilities are valued and respected, fostering trust, cooperation, and confidence to participate fully in learning.</w:t>
            </w:r>
          </w:p>
          <w:p w14:paraId="57B1893D" w14:textId="77777777" w:rsidR="002C3F4D" w:rsidRPr="006A6644" w:rsidRDefault="002C3F4D" w:rsidP="00CD5156">
            <w:pPr>
              <w:pStyle w:val="ColorfulList-Accent11"/>
              <w:ind w:left="0"/>
            </w:pPr>
          </w:p>
          <w:p w14:paraId="50EAC685" w14:textId="77777777" w:rsidR="002C3F4D" w:rsidRPr="006A6644" w:rsidRDefault="002C3F4D" w:rsidP="00CD5156">
            <w:pPr>
              <w:pStyle w:val="ColorfulList-Accent11"/>
              <w:ind w:left="0"/>
            </w:pPr>
          </w:p>
          <w:p w14:paraId="59CEC298" w14:textId="77777777" w:rsidR="002C3F4D" w:rsidRDefault="002C3F4D" w:rsidP="00CD5156">
            <w:pPr>
              <w:pStyle w:val="ColorfulList-Accent11"/>
              <w:ind w:left="0"/>
            </w:pPr>
            <w:r w:rsidRPr="006A6644">
              <w:rPr>
                <w:b/>
                <w:bCs/>
              </w:rPr>
              <w:t>Focus area 5.2</w:t>
            </w:r>
            <w:r w:rsidRPr="006A6644">
              <w:t xml:space="preserve"> </w:t>
            </w:r>
            <w:r w:rsidRPr="006A6644">
              <w:rPr>
                <w:color w:val="009499" w:themeColor="accent1"/>
              </w:rPr>
              <w:t xml:space="preserve">Ensure the learning setting meets diverse needs. </w:t>
            </w:r>
            <w:r w:rsidRPr="006A6644">
              <w:t>Establish workable routines and learning environments that support different physical, social, emotional, and intellectual development needs to ensure access to learning for all.</w:t>
            </w:r>
          </w:p>
          <w:p w14:paraId="6C0C18BC" w14:textId="77777777" w:rsidR="002C3F4D" w:rsidRPr="006A6644" w:rsidRDefault="002C3F4D" w:rsidP="00CD5156">
            <w:pPr>
              <w:pStyle w:val="ColorfulList-Accent11"/>
              <w:ind w:left="0"/>
            </w:pPr>
          </w:p>
          <w:p w14:paraId="271DC422" w14:textId="77777777" w:rsidR="002C3F4D" w:rsidRPr="006A6644" w:rsidRDefault="002C3F4D" w:rsidP="00CD5156">
            <w:pPr>
              <w:pStyle w:val="ColorfulList-Accent11"/>
              <w:ind w:left="0"/>
            </w:pPr>
          </w:p>
          <w:p w14:paraId="3BFA0C1E" w14:textId="77777777" w:rsidR="002C3F4D" w:rsidRDefault="002C3F4D" w:rsidP="00CD5156">
            <w:pPr>
              <w:pStyle w:val="ColorfulList-Accent11"/>
              <w:ind w:left="0"/>
            </w:pPr>
            <w:r w:rsidRPr="006A6644">
              <w:rPr>
                <w:b/>
                <w:bCs/>
              </w:rPr>
              <w:t>Focus area 5.3</w:t>
            </w:r>
            <w:r w:rsidRPr="006A6644">
              <w:t xml:space="preserve"> </w:t>
            </w:r>
            <w:r w:rsidRPr="006A6644">
              <w:rPr>
                <w:color w:val="009499" w:themeColor="accent1"/>
              </w:rPr>
              <w:t>Manage the learning setting and promote positive behaviour</w:t>
            </w:r>
            <w:r w:rsidRPr="006A6644">
              <w:t>. Develop a shared understanding of positive behaviour, with clear boundaries and a framework for effectively responding to challenging behaviour, including a range of preventative and restorative approaches.</w:t>
            </w:r>
          </w:p>
          <w:p w14:paraId="02AFA47B" w14:textId="77777777" w:rsidR="002C3F4D" w:rsidRPr="006A6644" w:rsidRDefault="002C3F4D" w:rsidP="00CD5156">
            <w:pPr>
              <w:pStyle w:val="ColorfulList-Accent11"/>
              <w:ind w:left="0"/>
            </w:pPr>
          </w:p>
          <w:p w14:paraId="2745C466" w14:textId="77777777" w:rsidR="002C3F4D" w:rsidRPr="006A6644" w:rsidRDefault="002C3F4D" w:rsidP="00CD5156">
            <w:pPr>
              <w:pStyle w:val="ColorfulList-Accent11"/>
              <w:ind w:left="0"/>
            </w:pPr>
          </w:p>
          <w:p w14:paraId="3A8C3BFF" w14:textId="77777777" w:rsidR="002C3F4D" w:rsidRPr="006A6644" w:rsidRDefault="002C3F4D" w:rsidP="00CD5156">
            <w:pPr>
              <w:pStyle w:val="ColorfulList-Accent11"/>
              <w:ind w:left="0"/>
              <w:rPr>
                <w:rFonts w:eastAsia="Times New Roman"/>
              </w:rPr>
            </w:pPr>
            <w:r w:rsidRPr="006A6644">
              <w:rPr>
                <w:rFonts w:eastAsia="Times New Roman"/>
                <w:b/>
                <w:bCs/>
              </w:rPr>
              <w:t>Focus area 5.4</w:t>
            </w:r>
            <w:r w:rsidRPr="006A6644">
              <w:rPr>
                <w:rFonts w:eastAsia="Times New Roman"/>
              </w:rPr>
              <w:t xml:space="preserve"> </w:t>
            </w:r>
            <w:r w:rsidRPr="006A6644">
              <w:rPr>
                <w:rFonts w:eastAsia="Times New Roman"/>
                <w:color w:val="009499" w:themeColor="accent1"/>
              </w:rPr>
              <w:t xml:space="preserve">Use equipment and technologies appropriately and effectively to support learning. </w:t>
            </w:r>
            <w:r w:rsidRPr="006A6644">
              <w:rPr>
                <w:rFonts w:eastAsia="Times New Roman"/>
              </w:rPr>
              <w:t>Have strategies in place for any equipment and technologies utilised, including digital devices and artificial intelligence, to be used safely, responsibly, ethically, and in ways that contribute positively to teaching and learning.</w:t>
            </w:r>
          </w:p>
          <w:p w14:paraId="30E6864C" w14:textId="77777777" w:rsidR="002C3F4D" w:rsidRPr="006A6644" w:rsidRDefault="002C3F4D" w:rsidP="00CD5156">
            <w:pPr>
              <w:pStyle w:val="ColorfulList-Accent11"/>
              <w:ind w:left="360"/>
              <w:rPr>
                <w:rFonts w:eastAsia="Times New Roman"/>
              </w:rPr>
            </w:pPr>
          </w:p>
          <w:p w14:paraId="16BAD13A" w14:textId="77777777" w:rsidR="002C3F4D" w:rsidRPr="006A6644" w:rsidRDefault="002C3F4D" w:rsidP="00CD5156">
            <w:pPr>
              <w:pStyle w:val="ColorfulList-Accent11"/>
              <w:ind w:left="0"/>
              <w:rPr>
                <w:rFonts w:eastAsia="Times New Roman"/>
              </w:rPr>
            </w:pPr>
          </w:p>
          <w:p w14:paraId="17F959B7" w14:textId="77777777" w:rsidR="002C3F4D" w:rsidRPr="006A6644" w:rsidRDefault="002C3F4D" w:rsidP="00CD5156">
            <w:pPr>
              <w:pStyle w:val="ColorfulList-Accent11"/>
              <w:ind w:left="360"/>
              <w:rPr>
                <w:rFonts w:eastAsia="Times New Roman"/>
              </w:rPr>
            </w:pPr>
          </w:p>
          <w:p w14:paraId="53F38B6F" w14:textId="77777777" w:rsidR="002C3F4D" w:rsidRPr="006A6644" w:rsidRDefault="002C3F4D" w:rsidP="00CD5156">
            <w:pPr>
              <w:pStyle w:val="ColorfulList-Accent11"/>
              <w:ind w:left="0"/>
              <w:rPr>
                <w:rFonts w:eastAsia="Times New Roman"/>
              </w:rPr>
            </w:pPr>
          </w:p>
        </w:tc>
        <w:tc>
          <w:tcPr>
            <w:tcW w:w="7229" w:type="dxa"/>
          </w:tcPr>
          <w:p w14:paraId="413905E1" w14:textId="77777777" w:rsidR="002C3F4D" w:rsidRDefault="002C3F4D" w:rsidP="00CD5156"/>
        </w:tc>
        <w:tc>
          <w:tcPr>
            <w:tcW w:w="4775" w:type="dxa"/>
          </w:tcPr>
          <w:p w14:paraId="43A35970" w14:textId="77777777" w:rsidR="002C3F4D" w:rsidRDefault="002C3F4D" w:rsidP="00CD5156"/>
        </w:tc>
      </w:tr>
    </w:tbl>
    <w:p w14:paraId="73C1C06A" w14:textId="2FBE5052" w:rsidR="002C3F4D" w:rsidRDefault="002C3F4D" w:rsidP="002C3F4D"/>
    <w:p w14:paraId="1A1418BB" w14:textId="77777777" w:rsidR="002C3F4D" w:rsidRDefault="002C3F4D" w:rsidP="002C3F4D">
      <w:pPr>
        <w:rPr>
          <w:b/>
          <w:color w:val="5FC6CB" w:themeColor="text1"/>
          <w:sz w:val="32"/>
          <w:szCs w:val="32"/>
        </w:rPr>
      </w:pPr>
      <w:r>
        <w:rPr>
          <w:b/>
          <w:color w:val="5FC6CB" w:themeColor="text1"/>
          <w:sz w:val="32"/>
          <w:szCs w:val="32"/>
        </w:rPr>
        <w:br w:type="page"/>
      </w:r>
    </w:p>
    <w:p w14:paraId="6AFF8FD3" w14:textId="1C378C75" w:rsidR="002C3F4D" w:rsidRPr="000A3754" w:rsidRDefault="002C3F4D" w:rsidP="002C3F4D">
      <w:pPr>
        <w:rPr>
          <w:color w:val="5FC6CB" w:themeColor="text1"/>
          <w:sz w:val="32"/>
          <w:szCs w:val="32"/>
        </w:rPr>
      </w:pPr>
      <w:r w:rsidRPr="000A3754">
        <w:rPr>
          <w:b/>
          <w:color w:val="5FC6CB" w:themeColor="text1"/>
          <w:sz w:val="32"/>
          <w:szCs w:val="32"/>
        </w:rPr>
        <w:lastRenderedPageBreak/>
        <w:t xml:space="preserve">Quality Practice - </w:t>
      </w:r>
      <w:r w:rsidRPr="000A3754">
        <w:rPr>
          <w:b/>
          <w:i/>
          <w:color w:val="5FC6CB" w:themeColor="text1"/>
          <w:sz w:val="32"/>
          <w:szCs w:val="32"/>
        </w:rPr>
        <w:t>Standards for the Teaching Profession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3"/>
        <w:gridCol w:w="4777"/>
        <w:gridCol w:w="7197"/>
        <w:gridCol w:w="5233"/>
      </w:tblGrid>
      <w:tr w:rsidR="002C3F4D" w14:paraId="66B57306" w14:textId="77777777" w:rsidTr="00CD5156">
        <w:tc>
          <w:tcPr>
            <w:tcW w:w="3723" w:type="dxa"/>
          </w:tcPr>
          <w:p w14:paraId="693D9274" w14:textId="77777777" w:rsidR="002C3F4D" w:rsidRDefault="002C3F4D" w:rsidP="00CD5156">
            <w:pPr>
              <w:rPr>
                <w:rFonts w:eastAsia="Times New Roman"/>
                <w:b/>
                <w:sz w:val="28"/>
                <w:szCs w:val="28"/>
              </w:rPr>
            </w:pPr>
            <w:r w:rsidRPr="00C35B87">
              <w:rPr>
                <w:rFonts w:eastAsia="Times New Roman"/>
                <w:b/>
                <w:sz w:val="28"/>
                <w:szCs w:val="28"/>
              </w:rPr>
              <w:t>Standard</w:t>
            </w:r>
          </w:p>
          <w:p w14:paraId="7A284F44" w14:textId="77777777" w:rsidR="002C3F4D" w:rsidRPr="00C35B87" w:rsidRDefault="002C3F4D" w:rsidP="00CD5156">
            <w:pPr>
              <w:rPr>
                <w:rFonts w:eastAsia="Times New Roman"/>
                <w:b/>
                <w:sz w:val="28"/>
                <w:szCs w:val="28"/>
              </w:rPr>
            </w:pPr>
            <w:r>
              <w:rPr>
                <w:rFonts w:eastAsia="Times New Roman"/>
                <w:b/>
                <w:i/>
                <w:iCs/>
                <w:sz w:val="28"/>
                <w:szCs w:val="28"/>
              </w:rPr>
              <w:t>Domain: Professional practice</w:t>
            </w:r>
          </w:p>
        </w:tc>
        <w:tc>
          <w:tcPr>
            <w:tcW w:w="4777" w:type="dxa"/>
          </w:tcPr>
          <w:p w14:paraId="7775EFD1" w14:textId="77777777" w:rsidR="002C3F4D" w:rsidRPr="00C35B87" w:rsidRDefault="002C3F4D" w:rsidP="00CD5156">
            <w:pPr>
              <w:pStyle w:val="ColorfulList-Accent11"/>
              <w:ind w:left="421"/>
              <w:rPr>
                <w:rFonts w:eastAsia="Times New Roman"/>
                <w:b/>
                <w:sz w:val="28"/>
                <w:szCs w:val="28"/>
              </w:rPr>
            </w:pPr>
            <w:r>
              <w:rPr>
                <w:rFonts w:eastAsia="Times New Roman"/>
                <w:b/>
                <w:sz w:val="28"/>
                <w:szCs w:val="28"/>
              </w:rPr>
              <w:t>Focus Areas</w:t>
            </w:r>
            <w:r w:rsidRPr="00C35B87">
              <w:rPr>
                <w:rFonts w:eastAsia="Times New Roman"/>
                <w:b/>
                <w:sz w:val="28"/>
                <w:szCs w:val="28"/>
              </w:rPr>
              <w:t xml:space="preserve"> of the standard</w:t>
            </w:r>
          </w:p>
        </w:tc>
        <w:tc>
          <w:tcPr>
            <w:tcW w:w="7197" w:type="dxa"/>
          </w:tcPr>
          <w:p w14:paraId="027E188B" w14:textId="77777777" w:rsidR="002C3F4D" w:rsidRPr="00C35B87" w:rsidRDefault="002C3F4D" w:rsidP="00CD5156">
            <w:pPr>
              <w:rPr>
                <w:b/>
                <w:sz w:val="28"/>
                <w:szCs w:val="28"/>
              </w:rPr>
            </w:pPr>
            <w:r w:rsidRPr="00C35B87">
              <w:rPr>
                <w:b/>
                <w:sz w:val="28"/>
                <w:szCs w:val="28"/>
              </w:rPr>
              <w:t>What quality practices do you use in your setting that connect with this standard?</w:t>
            </w:r>
          </w:p>
        </w:tc>
        <w:tc>
          <w:tcPr>
            <w:tcW w:w="5233" w:type="dxa"/>
          </w:tcPr>
          <w:p w14:paraId="3A804A76" w14:textId="77777777" w:rsidR="002C3F4D" w:rsidRPr="00C35B87" w:rsidRDefault="002C3F4D" w:rsidP="00CD5156">
            <w:pPr>
              <w:rPr>
                <w:b/>
                <w:sz w:val="28"/>
                <w:szCs w:val="28"/>
              </w:rPr>
            </w:pPr>
            <w:r w:rsidRPr="00C35B87">
              <w:rPr>
                <w:b/>
                <w:sz w:val="28"/>
                <w:szCs w:val="28"/>
              </w:rPr>
              <w:t>What evidence do you use that demonstrates these quality practices?</w:t>
            </w:r>
          </w:p>
        </w:tc>
      </w:tr>
      <w:tr w:rsidR="002C3F4D" w14:paraId="7C9D4636" w14:textId="77777777" w:rsidTr="00CD5156">
        <w:tc>
          <w:tcPr>
            <w:tcW w:w="3723" w:type="dxa"/>
          </w:tcPr>
          <w:p w14:paraId="5A0A9C13" w14:textId="77777777" w:rsidR="002C3F4D" w:rsidRPr="00871467" w:rsidRDefault="002C3F4D" w:rsidP="00CD5156">
            <w:pPr>
              <w:spacing w:before="60"/>
              <w:rPr>
                <w:b/>
                <w:bCs/>
              </w:rPr>
            </w:pPr>
            <w:r w:rsidRPr="00871467">
              <w:rPr>
                <w:b/>
                <w:bCs/>
              </w:rPr>
              <w:t>Standard 6: Assess, provide feedback, and report on learning.</w:t>
            </w:r>
          </w:p>
          <w:p w14:paraId="64125825" w14:textId="77777777" w:rsidR="002C3F4D" w:rsidRPr="00C35B87" w:rsidRDefault="002C3F4D" w:rsidP="00CD5156">
            <w:pPr>
              <w:spacing w:before="60"/>
              <w:rPr>
                <w:rFonts w:eastAsia="Times New Roman"/>
                <w:b/>
              </w:rPr>
            </w:pPr>
            <w:r>
              <w:t>Use regular and consistent assessment to inform teaching and share information on learner progress.</w:t>
            </w:r>
          </w:p>
          <w:p w14:paraId="2ECC7C14" w14:textId="77777777" w:rsidR="002C3F4D" w:rsidRPr="00245B3C" w:rsidRDefault="002C3F4D" w:rsidP="00CD5156"/>
        </w:tc>
        <w:tc>
          <w:tcPr>
            <w:tcW w:w="4777" w:type="dxa"/>
          </w:tcPr>
          <w:p w14:paraId="75C0CFAC" w14:textId="77777777" w:rsidR="002C3F4D" w:rsidRDefault="002C3F4D" w:rsidP="00CD5156">
            <w:r w:rsidRPr="004B2D1C">
              <w:rPr>
                <w:b/>
                <w:bCs/>
              </w:rPr>
              <w:t>Focus area 6.1</w:t>
            </w:r>
            <w:r>
              <w:t xml:space="preserve"> </w:t>
            </w:r>
            <w:r w:rsidRPr="004B2D1C">
              <w:rPr>
                <w:color w:val="009499" w:themeColor="accent1"/>
              </w:rPr>
              <w:t xml:space="preserve">Monitor the extent and pace of learning. </w:t>
            </w:r>
            <w:r>
              <w:t xml:space="preserve">Make effective and regular use of high-quality assessment and/or </w:t>
            </w:r>
            <w:proofErr w:type="spellStart"/>
            <w:r>
              <w:t>aromatawai</w:t>
            </w:r>
            <w:proofErr w:type="spellEnd"/>
            <w:r>
              <w:t xml:space="preserve"> practices to gather, analyse, and use appropriate information about the pace of learners’ progress</w:t>
            </w:r>
          </w:p>
          <w:p w14:paraId="00EBF379" w14:textId="77777777" w:rsidR="002C3F4D" w:rsidRDefault="002C3F4D" w:rsidP="00CD5156">
            <w:r>
              <w:t>.</w:t>
            </w:r>
          </w:p>
          <w:p w14:paraId="76E81157" w14:textId="77777777" w:rsidR="002C3F4D" w:rsidRDefault="002C3F4D" w:rsidP="00CD5156">
            <w:r w:rsidRPr="004B2D1C">
              <w:rPr>
                <w:b/>
                <w:bCs/>
              </w:rPr>
              <w:t>Focus area 6.2</w:t>
            </w:r>
            <w:r>
              <w:t xml:space="preserve"> </w:t>
            </w:r>
            <w:r w:rsidRPr="003A0025">
              <w:rPr>
                <w:color w:val="009499" w:themeColor="accent1"/>
              </w:rPr>
              <w:t>Identify progress and respond to learners’ needs</w:t>
            </w:r>
            <w:r>
              <w:rPr>
                <w:color w:val="009499" w:themeColor="accent1"/>
              </w:rPr>
              <w:t>.</w:t>
            </w:r>
            <w:r w:rsidRPr="003A0025">
              <w:rPr>
                <w:color w:val="009499" w:themeColor="accent1"/>
              </w:rPr>
              <w:t xml:space="preserve"> </w:t>
            </w:r>
            <w:r>
              <w:t>Use information on learner progress, in relation to goals or outcomes that have been identified, to design clear next steps in learning and identify additional support, extension, or adaptations to teaching practice that may be required.</w:t>
            </w:r>
          </w:p>
          <w:p w14:paraId="3FEE3323" w14:textId="77777777" w:rsidR="002C3F4D" w:rsidRDefault="002C3F4D" w:rsidP="00CD5156"/>
          <w:p w14:paraId="302CA6C0" w14:textId="77777777" w:rsidR="002C3F4D" w:rsidRDefault="002C3F4D" w:rsidP="00CD5156">
            <w:r w:rsidRPr="004B2D1C">
              <w:rPr>
                <w:b/>
                <w:bCs/>
              </w:rPr>
              <w:t>Focus area 6.3</w:t>
            </w:r>
            <w:r>
              <w:t xml:space="preserve"> </w:t>
            </w:r>
            <w:r w:rsidRPr="003A0025">
              <w:rPr>
                <w:color w:val="009499" w:themeColor="accent1"/>
              </w:rPr>
              <w:t>Provide constructive and understandable feedback</w:t>
            </w:r>
            <w:r>
              <w:t xml:space="preserve">. Ensure learners (and/or their parents/caregivers and whānau, as appropriate) receive and understand ongoing feedback about their </w:t>
            </w:r>
            <w:proofErr w:type="gramStart"/>
            <w:r>
              <w:t>progress, and</w:t>
            </w:r>
            <w:proofErr w:type="gramEnd"/>
            <w:r>
              <w:t xml:space="preserve"> use this information to enhance their engagement with learning.</w:t>
            </w:r>
          </w:p>
          <w:p w14:paraId="3C05CFD8" w14:textId="77777777" w:rsidR="002C3F4D" w:rsidRDefault="002C3F4D" w:rsidP="00CD5156"/>
          <w:p w14:paraId="46035EDF" w14:textId="77777777" w:rsidR="002C3F4D" w:rsidRDefault="002C3F4D" w:rsidP="00CD5156">
            <w:r w:rsidRPr="004B2D1C">
              <w:rPr>
                <w:b/>
                <w:bCs/>
              </w:rPr>
              <w:t>Focus area 6.4</w:t>
            </w:r>
            <w:r>
              <w:t xml:space="preserve"> </w:t>
            </w:r>
            <w:r w:rsidRPr="003A0025">
              <w:rPr>
                <w:color w:val="009499" w:themeColor="accent1"/>
              </w:rPr>
              <w:t>Communicate assessment information</w:t>
            </w:r>
            <w:r>
              <w:t>.</w:t>
            </w:r>
            <w:r w:rsidRPr="003A0025">
              <w:t xml:space="preserve"> </w:t>
            </w:r>
            <w:r>
              <w:t>Communicate clear and accurate information to parents/caregivers and whānau that identifies progress, strengths, and areas for development.</w:t>
            </w:r>
          </w:p>
          <w:p w14:paraId="0A5B5CD8" w14:textId="77777777" w:rsidR="002C3F4D" w:rsidRDefault="002C3F4D" w:rsidP="00CD5156"/>
          <w:p w14:paraId="6E05770C" w14:textId="77777777" w:rsidR="002C3F4D" w:rsidRPr="00844976" w:rsidRDefault="002C3F4D" w:rsidP="00CD5156"/>
        </w:tc>
        <w:tc>
          <w:tcPr>
            <w:tcW w:w="7197" w:type="dxa"/>
          </w:tcPr>
          <w:p w14:paraId="62B50A7B" w14:textId="77777777" w:rsidR="002C3F4D" w:rsidRDefault="002C3F4D" w:rsidP="00CD5156"/>
        </w:tc>
        <w:tc>
          <w:tcPr>
            <w:tcW w:w="5233" w:type="dxa"/>
          </w:tcPr>
          <w:p w14:paraId="56600C17" w14:textId="77777777" w:rsidR="002C3F4D" w:rsidRDefault="002C3F4D" w:rsidP="00CD5156"/>
          <w:p w14:paraId="3DBCAE6A" w14:textId="77777777" w:rsidR="002C3F4D" w:rsidRDefault="002C3F4D" w:rsidP="00CD5156"/>
          <w:p w14:paraId="0A7BED1B" w14:textId="77777777" w:rsidR="002C3F4D" w:rsidRDefault="002C3F4D" w:rsidP="00CD5156"/>
          <w:p w14:paraId="4F43DB0E" w14:textId="77777777" w:rsidR="002C3F4D" w:rsidRDefault="002C3F4D" w:rsidP="00CD5156"/>
          <w:p w14:paraId="79379567" w14:textId="77777777" w:rsidR="002C3F4D" w:rsidRDefault="002C3F4D" w:rsidP="00CD5156"/>
          <w:p w14:paraId="646B9125" w14:textId="77777777" w:rsidR="002C3F4D" w:rsidRDefault="002C3F4D" w:rsidP="00CD5156"/>
          <w:p w14:paraId="0DAC14AE" w14:textId="77777777" w:rsidR="002C3F4D" w:rsidRDefault="002C3F4D" w:rsidP="00CD5156"/>
          <w:p w14:paraId="1DA221B1" w14:textId="77777777" w:rsidR="002C3F4D" w:rsidRDefault="002C3F4D" w:rsidP="00CD5156"/>
          <w:p w14:paraId="6FF34BE7" w14:textId="77777777" w:rsidR="002C3F4D" w:rsidRDefault="002C3F4D" w:rsidP="00CD5156"/>
          <w:p w14:paraId="63B3DD7E" w14:textId="77777777" w:rsidR="002C3F4D" w:rsidRDefault="002C3F4D" w:rsidP="00CD5156"/>
          <w:p w14:paraId="06451F4A" w14:textId="77777777" w:rsidR="002C3F4D" w:rsidRDefault="002C3F4D" w:rsidP="00CD5156"/>
          <w:p w14:paraId="24CE1EAB" w14:textId="77777777" w:rsidR="002C3F4D" w:rsidRDefault="002C3F4D" w:rsidP="00CD5156"/>
          <w:p w14:paraId="127B5639" w14:textId="77777777" w:rsidR="002C3F4D" w:rsidRDefault="002C3F4D" w:rsidP="00CD5156"/>
          <w:p w14:paraId="20A782DB" w14:textId="77777777" w:rsidR="002C3F4D" w:rsidRDefault="002C3F4D" w:rsidP="00CD5156"/>
          <w:p w14:paraId="5553BD3C" w14:textId="77777777" w:rsidR="002C3F4D" w:rsidRDefault="002C3F4D" w:rsidP="00CD5156"/>
          <w:p w14:paraId="088F910D" w14:textId="77777777" w:rsidR="002C3F4D" w:rsidRDefault="002C3F4D" w:rsidP="00CD5156"/>
          <w:p w14:paraId="06BC4291" w14:textId="77777777" w:rsidR="002C3F4D" w:rsidRDefault="002C3F4D" w:rsidP="00CD5156"/>
          <w:p w14:paraId="7F5279E8" w14:textId="77777777" w:rsidR="002C3F4D" w:rsidRDefault="002C3F4D" w:rsidP="00CD5156"/>
          <w:p w14:paraId="1A1BB331" w14:textId="77777777" w:rsidR="002C3F4D" w:rsidRDefault="002C3F4D" w:rsidP="00CD5156"/>
          <w:p w14:paraId="33B626A8" w14:textId="77777777" w:rsidR="002C3F4D" w:rsidRDefault="002C3F4D" w:rsidP="00CD5156"/>
          <w:p w14:paraId="6DF5DC49" w14:textId="77777777" w:rsidR="002C3F4D" w:rsidRDefault="002C3F4D" w:rsidP="00CD5156"/>
          <w:p w14:paraId="0C10D3E2" w14:textId="77777777" w:rsidR="002C3F4D" w:rsidRDefault="002C3F4D" w:rsidP="00CD5156">
            <w:pPr>
              <w:tabs>
                <w:tab w:val="left" w:pos="1935"/>
              </w:tabs>
            </w:pPr>
          </w:p>
        </w:tc>
      </w:tr>
    </w:tbl>
    <w:p w14:paraId="3429ED88" w14:textId="77777777" w:rsidR="002C3F4D" w:rsidRDefault="002C3F4D" w:rsidP="002C3F4D">
      <w:pPr>
        <w:rPr>
          <w:b/>
          <w:color w:val="5FC6CB" w:themeColor="text1"/>
          <w:sz w:val="32"/>
          <w:szCs w:val="32"/>
        </w:rPr>
      </w:pPr>
      <w:r>
        <w:rPr>
          <w:b/>
          <w:color w:val="5FC6CB" w:themeColor="text1"/>
          <w:sz w:val="32"/>
          <w:szCs w:val="32"/>
        </w:rPr>
        <w:br w:type="page"/>
      </w:r>
    </w:p>
    <w:p w14:paraId="389B7FE7" w14:textId="3F54D2DB" w:rsidR="002C3F4D" w:rsidRPr="000A3754" w:rsidRDefault="002C3F4D" w:rsidP="002C3F4D">
      <w:pPr>
        <w:rPr>
          <w:color w:val="5FC6CB" w:themeColor="text1"/>
          <w:sz w:val="32"/>
          <w:szCs w:val="32"/>
        </w:rPr>
      </w:pPr>
      <w:r w:rsidRPr="000A3754">
        <w:rPr>
          <w:b/>
          <w:color w:val="5FC6CB" w:themeColor="text1"/>
          <w:sz w:val="32"/>
          <w:szCs w:val="32"/>
        </w:rPr>
        <w:lastRenderedPageBreak/>
        <w:t xml:space="preserve">Quality Practice - </w:t>
      </w:r>
      <w:r w:rsidRPr="000A3754">
        <w:rPr>
          <w:b/>
          <w:i/>
          <w:color w:val="5FC6CB" w:themeColor="text1"/>
          <w:sz w:val="32"/>
          <w:szCs w:val="32"/>
        </w:rPr>
        <w:t>Standards for the Teaching Profession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3"/>
        <w:gridCol w:w="4777"/>
        <w:gridCol w:w="7197"/>
        <w:gridCol w:w="5233"/>
      </w:tblGrid>
      <w:tr w:rsidR="002C3F4D" w14:paraId="72706D8C" w14:textId="77777777" w:rsidTr="00CD5156">
        <w:tc>
          <w:tcPr>
            <w:tcW w:w="3723" w:type="dxa"/>
          </w:tcPr>
          <w:p w14:paraId="4086852E" w14:textId="77777777" w:rsidR="002C3F4D" w:rsidRDefault="002C3F4D" w:rsidP="00CD5156">
            <w:pPr>
              <w:rPr>
                <w:rFonts w:eastAsia="Times New Roman"/>
                <w:b/>
                <w:sz w:val="28"/>
                <w:szCs w:val="28"/>
              </w:rPr>
            </w:pPr>
            <w:r w:rsidRPr="00C35B87">
              <w:rPr>
                <w:rFonts w:eastAsia="Times New Roman"/>
                <w:b/>
                <w:sz w:val="28"/>
                <w:szCs w:val="28"/>
              </w:rPr>
              <w:t>Standard</w:t>
            </w:r>
          </w:p>
          <w:p w14:paraId="03AFFB66" w14:textId="77777777" w:rsidR="002C3F4D" w:rsidRPr="00C35B87" w:rsidRDefault="002C3F4D" w:rsidP="00CD5156">
            <w:pPr>
              <w:rPr>
                <w:rFonts w:eastAsia="Times New Roman"/>
                <w:b/>
                <w:sz w:val="28"/>
                <w:szCs w:val="28"/>
              </w:rPr>
            </w:pPr>
            <w:r>
              <w:rPr>
                <w:rFonts w:eastAsia="Times New Roman"/>
                <w:b/>
                <w:i/>
                <w:iCs/>
                <w:sz w:val="28"/>
                <w:szCs w:val="28"/>
              </w:rPr>
              <w:t>Domain: Professional engagement</w:t>
            </w:r>
          </w:p>
        </w:tc>
        <w:tc>
          <w:tcPr>
            <w:tcW w:w="4777" w:type="dxa"/>
          </w:tcPr>
          <w:p w14:paraId="114C28B0" w14:textId="77777777" w:rsidR="002C3F4D" w:rsidRPr="00C35B87" w:rsidRDefault="002C3F4D" w:rsidP="00CD5156">
            <w:pPr>
              <w:pStyle w:val="ColorfulList-Accent11"/>
              <w:ind w:left="421"/>
              <w:rPr>
                <w:rFonts w:eastAsia="Times New Roman"/>
                <w:b/>
                <w:sz w:val="28"/>
                <w:szCs w:val="28"/>
              </w:rPr>
            </w:pPr>
            <w:r>
              <w:rPr>
                <w:rFonts w:eastAsia="Times New Roman"/>
                <w:b/>
                <w:sz w:val="28"/>
                <w:szCs w:val="28"/>
              </w:rPr>
              <w:t>Focus Areas</w:t>
            </w:r>
            <w:r w:rsidRPr="00C35B87">
              <w:rPr>
                <w:rFonts w:eastAsia="Times New Roman"/>
                <w:b/>
                <w:sz w:val="28"/>
                <w:szCs w:val="28"/>
              </w:rPr>
              <w:t xml:space="preserve"> of the standard</w:t>
            </w:r>
          </w:p>
        </w:tc>
        <w:tc>
          <w:tcPr>
            <w:tcW w:w="7197" w:type="dxa"/>
          </w:tcPr>
          <w:p w14:paraId="31C196FE" w14:textId="77777777" w:rsidR="002C3F4D" w:rsidRPr="00C35B87" w:rsidRDefault="002C3F4D" w:rsidP="00CD5156">
            <w:pPr>
              <w:rPr>
                <w:b/>
                <w:sz w:val="28"/>
                <w:szCs w:val="28"/>
              </w:rPr>
            </w:pPr>
            <w:r w:rsidRPr="00C35B87">
              <w:rPr>
                <w:b/>
                <w:sz w:val="28"/>
                <w:szCs w:val="28"/>
              </w:rPr>
              <w:t>What quality practices do you use in your setting that connect with this standard?</w:t>
            </w:r>
          </w:p>
        </w:tc>
        <w:tc>
          <w:tcPr>
            <w:tcW w:w="5233" w:type="dxa"/>
          </w:tcPr>
          <w:p w14:paraId="6ACA6ACF" w14:textId="77777777" w:rsidR="002C3F4D" w:rsidRPr="00C35B87" w:rsidRDefault="002C3F4D" w:rsidP="00CD5156">
            <w:pPr>
              <w:rPr>
                <w:b/>
                <w:sz w:val="28"/>
                <w:szCs w:val="28"/>
              </w:rPr>
            </w:pPr>
            <w:r w:rsidRPr="00C35B87">
              <w:rPr>
                <w:b/>
                <w:sz w:val="28"/>
                <w:szCs w:val="28"/>
              </w:rPr>
              <w:t>What evidence do you use that demonstrates these quality practices?</w:t>
            </w:r>
          </w:p>
        </w:tc>
      </w:tr>
      <w:tr w:rsidR="002C3F4D" w14:paraId="65266107" w14:textId="77777777" w:rsidTr="00CD5156">
        <w:tc>
          <w:tcPr>
            <w:tcW w:w="3723" w:type="dxa"/>
          </w:tcPr>
          <w:p w14:paraId="5E2798DB" w14:textId="77777777" w:rsidR="002C3F4D" w:rsidRPr="00884D51" w:rsidRDefault="002C3F4D" w:rsidP="00CD5156">
            <w:pPr>
              <w:spacing w:before="60"/>
              <w:rPr>
                <w:b/>
                <w:bCs/>
              </w:rPr>
            </w:pPr>
            <w:r w:rsidRPr="00884D51">
              <w:rPr>
                <w:b/>
                <w:bCs/>
              </w:rPr>
              <w:t xml:space="preserve">Standard 7: Engage in professional learning. </w:t>
            </w:r>
          </w:p>
          <w:p w14:paraId="301FF349" w14:textId="77777777" w:rsidR="002C3F4D" w:rsidRPr="00245B3C" w:rsidRDefault="002C3F4D" w:rsidP="00CD5156">
            <w:pPr>
              <w:spacing w:before="60"/>
            </w:pPr>
            <w:r>
              <w:t>Improve professional capability through evidence-based reflection, professional learning, and engagement with colleagues.</w:t>
            </w:r>
          </w:p>
        </w:tc>
        <w:tc>
          <w:tcPr>
            <w:tcW w:w="4777" w:type="dxa"/>
          </w:tcPr>
          <w:p w14:paraId="54C4F64F" w14:textId="77777777" w:rsidR="002C3F4D" w:rsidRDefault="002C3F4D" w:rsidP="00CD5156">
            <w:r w:rsidRPr="00884D51">
              <w:rPr>
                <w:b/>
                <w:bCs/>
              </w:rPr>
              <w:t>Focus area 7.1</w:t>
            </w:r>
            <w:r>
              <w:t xml:space="preserve"> </w:t>
            </w:r>
            <w:r w:rsidRPr="00884D51">
              <w:rPr>
                <w:color w:val="009499" w:themeColor="accent1"/>
              </w:rPr>
              <w:t>Participate in a continuous cycle of professional growth</w:t>
            </w:r>
            <w:r>
              <w:rPr>
                <w:color w:val="009499" w:themeColor="accent1"/>
              </w:rPr>
              <w:t>.</w:t>
            </w:r>
            <w:r w:rsidRPr="00884D51">
              <w:rPr>
                <w:color w:val="009499" w:themeColor="accent1"/>
              </w:rPr>
              <w:t xml:space="preserve"> </w:t>
            </w:r>
            <w:r>
              <w:t>Reflect on the effectiveness of practice in an ongoing way to ensure a cycle of improvement and development, informed by evidence from a range of sources including learner perspectives.</w:t>
            </w:r>
          </w:p>
          <w:p w14:paraId="232A16C8" w14:textId="77777777" w:rsidR="002C3F4D" w:rsidRDefault="002C3F4D" w:rsidP="00CD5156"/>
          <w:p w14:paraId="20B8C795" w14:textId="77777777" w:rsidR="002C3F4D" w:rsidRDefault="002C3F4D" w:rsidP="00CD5156"/>
          <w:p w14:paraId="6BCD5932" w14:textId="77777777" w:rsidR="002C3F4D" w:rsidRDefault="002C3F4D" w:rsidP="00CD5156">
            <w:r w:rsidRPr="00884D51">
              <w:rPr>
                <w:b/>
                <w:bCs/>
                <w:color w:val="5FC6CB" w:themeColor="text1"/>
              </w:rPr>
              <w:t>Focus area 7.2</w:t>
            </w:r>
            <w:r w:rsidRPr="00884D51">
              <w:rPr>
                <w:color w:val="5FC6CB" w:themeColor="text1"/>
              </w:rPr>
              <w:t xml:space="preserve"> </w:t>
            </w:r>
            <w:r w:rsidRPr="00884D51">
              <w:rPr>
                <w:color w:val="009499" w:themeColor="accent1"/>
              </w:rPr>
              <w:t>Undertake professional learning to improve practice</w:t>
            </w:r>
            <w:r>
              <w:rPr>
                <w:color w:val="009499" w:themeColor="accent1"/>
              </w:rPr>
              <w:t>.</w:t>
            </w:r>
            <w:r w:rsidRPr="00884D51">
              <w:rPr>
                <w:color w:val="009499" w:themeColor="accent1"/>
              </w:rPr>
              <w:t xml:space="preserve"> </w:t>
            </w:r>
            <w:r w:rsidRPr="00C80764">
              <w:t>Participate in professional learning, targeted to identified professional needs and school/service/system priorities, and adaptively apply this learning in practice</w:t>
            </w:r>
            <w:r>
              <w:t>.</w:t>
            </w:r>
          </w:p>
          <w:p w14:paraId="3FE3CA9A" w14:textId="77777777" w:rsidR="002C3F4D" w:rsidRDefault="002C3F4D" w:rsidP="00CD5156"/>
          <w:p w14:paraId="20E03E1A" w14:textId="77777777" w:rsidR="002C3F4D" w:rsidRDefault="002C3F4D" w:rsidP="00CD5156"/>
          <w:p w14:paraId="55BB4236" w14:textId="77777777" w:rsidR="002C3F4D" w:rsidRPr="00844976" w:rsidRDefault="002C3F4D" w:rsidP="00CD5156">
            <w:r w:rsidRPr="00884D51">
              <w:rPr>
                <w:b/>
                <w:bCs/>
              </w:rPr>
              <w:t>Focus area 7.3</w:t>
            </w:r>
            <w:r>
              <w:t xml:space="preserve"> </w:t>
            </w:r>
            <w:r w:rsidRPr="00884D51">
              <w:rPr>
                <w:color w:val="009499" w:themeColor="accent1"/>
              </w:rPr>
              <w:t>Engage with colleagues to improve practice</w:t>
            </w:r>
            <w:r>
              <w:rPr>
                <w:color w:val="009499" w:themeColor="accent1"/>
              </w:rPr>
              <w:t>.</w:t>
            </w:r>
            <w:r w:rsidRPr="00884D51">
              <w:rPr>
                <w:color w:val="009499" w:themeColor="accent1"/>
              </w:rPr>
              <w:t xml:space="preserve"> </w:t>
            </w:r>
            <w:r>
              <w:t>Invite and respond to feedback from colleagues and other education professionals, collaborate to address challenges, and engage in learning-focused collegial discussions or networks.</w:t>
            </w:r>
          </w:p>
        </w:tc>
        <w:tc>
          <w:tcPr>
            <w:tcW w:w="7197" w:type="dxa"/>
          </w:tcPr>
          <w:p w14:paraId="0BE7F87F" w14:textId="77777777" w:rsidR="002C3F4D" w:rsidRDefault="002C3F4D" w:rsidP="00CD5156"/>
        </w:tc>
        <w:tc>
          <w:tcPr>
            <w:tcW w:w="5233" w:type="dxa"/>
          </w:tcPr>
          <w:p w14:paraId="5D34E2AC" w14:textId="77777777" w:rsidR="002C3F4D" w:rsidRDefault="002C3F4D" w:rsidP="00CD5156"/>
          <w:p w14:paraId="50E8C5B6" w14:textId="77777777" w:rsidR="002C3F4D" w:rsidRDefault="002C3F4D" w:rsidP="00CD5156"/>
          <w:p w14:paraId="0CF5C02C" w14:textId="77777777" w:rsidR="002C3F4D" w:rsidRDefault="002C3F4D" w:rsidP="00CD5156"/>
          <w:p w14:paraId="4AD9FE6C" w14:textId="77777777" w:rsidR="002C3F4D" w:rsidRDefault="002C3F4D" w:rsidP="00CD5156"/>
          <w:p w14:paraId="2802560B" w14:textId="77777777" w:rsidR="002C3F4D" w:rsidRDefault="002C3F4D" w:rsidP="00CD5156"/>
          <w:p w14:paraId="7CABB18B" w14:textId="77777777" w:rsidR="002C3F4D" w:rsidRDefault="002C3F4D" w:rsidP="00CD5156"/>
          <w:p w14:paraId="61C7219F" w14:textId="77777777" w:rsidR="002C3F4D" w:rsidRDefault="002C3F4D" w:rsidP="00CD5156"/>
          <w:p w14:paraId="2F61C1FB" w14:textId="77777777" w:rsidR="002C3F4D" w:rsidRDefault="002C3F4D" w:rsidP="00CD5156"/>
          <w:p w14:paraId="545B7F44" w14:textId="77777777" w:rsidR="002C3F4D" w:rsidRDefault="002C3F4D" w:rsidP="00CD5156"/>
          <w:p w14:paraId="552E3FAC" w14:textId="77777777" w:rsidR="002C3F4D" w:rsidRDefault="002C3F4D" w:rsidP="00CD5156"/>
          <w:p w14:paraId="6A4D9FDE" w14:textId="77777777" w:rsidR="002C3F4D" w:rsidRDefault="002C3F4D" w:rsidP="00CD5156"/>
          <w:p w14:paraId="3EFB078D" w14:textId="77777777" w:rsidR="002C3F4D" w:rsidRDefault="002C3F4D" w:rsidP="00CD5156"/>
          <w:p w14:paraId="3F5D8863" w14:textId="77777777" w:rsidR="002C3F4D" w:rsidRDefault="002C3F4D" w:rsidP="00CD5156"/>
          <w:p w14:paraId="0246017B" w14:textId="77777777" w:rsidR="002C3F4D" w:rsidRDefault="002C3F4D" w:rsidP="00CD5156"/>
          <w:p w14:paraId="52B3720C" w14:textId="77777777" w:rsidR="002C3F4D" w:rsidRDefault="002C3F4D" w:rsidP="00CD5156"/>
          <w:p w14:paraId="492B1033" w14:textId="77777777" w:rsidR="002C3F4D" w:rsidRDefault="002C3F4D" w:rsidP="00CD5156"/>
          <w:p w14:paraId="14195D35" w14:textId="77777777" w:rsidR="002C3F4D" w:rsidRDefault="002C3F4D" w:rsidP="00CD5156"/>
          <w:p w14:paraId="2C196437" w14:textId="77777777" w:rsidR="002C3F4D" w:rsidRDefault="002C3F4D" w:rsidP="00CD5156">
            <w:pPr>
              <w:tabs>
                <w:tab w:val="left" w:pos="1935"/>
              </w:tabs>
            </w:pPr>
          </w:p>
        </w:tc>
      </w:tr>
    </w:tbl>
    <w:p w14:paraId="0C653B96" w14:textId="77777777" w:rsidR="002C3F4D" w:rsidRDefault="002C3F4D" w:rsidP="002C3F4D">
      <w:pPr>
        <w:spacing w:after="0" w:line="240" w:lineRule="auto"/>
        <w:rPr>
          <w:i/>
          <w:sz w:val="20"/>
          <w:szCs w:val="20"/>
        </w:rPr>
      </w:pPr>
      <w:r>
        <w:rPr>
          <w:i/>
          <w:sz w:val="20"/>
          <w:szCs w:val="20"/>
        </w:rPr>
        <w:br w:type="page"/>
      </w:r>
    </w:p>
    <w:p w14:paraId="22ABAE81" w14:textId="77777777" w:rsidR="002C3F4D" w:rsidRPr="000A3754" w:rsidRDefault="002C3F4D" w:rsidP="002C3F4D">
      <w:pPr>
        <w:rPr>
          <w:color w:val="5FC6CB" w:themeColor="text1"/>
          <w:sz w:val="32"/>
          <w:szCs w:val="32"/>
        </w:rPr>
      </w:pPr>
      <w:r w:rsidRPr="000A3754">
        <w:rPr>
          <w:b/>
          <w:color w:val="5FC6CB" w:themeColor="text1"/>
          <w:sz w:val="32"/>
          <w:szCs w:val="32"/>
        </w:rPr>
        <w:lastRenderedPageBreak/>
        <w:t xml:space="preserve">Quality Practice - </w:t>
      </w:r>
      <w:r w:rsidRPr="000A3754">
        <w:rPr>
          <w:b/>
          <w:i/>
          <w:color w:val="5FC6CB" w:themeColor="text1"/>
          <w:sz w:val="32"/>
          <w:szCs w:val="32"/>
        </w:rPr>
        <w:t>Standards for the Teaching Profession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3"/>
        <w:gridCol w:w="4777"/>
        <w:gridCol w:w="7197"/>
        <w:gridCol w:w="5233"/>
      </w:tblGrid>
      <w:tr w:rsidR="002C3F4D" w14:paraId="2F60F8E8" w14:textId="77777777" w:rsidTr="00CD5156">
        <w:tc>
          <w:tcPr>
            <w:tcW w:w="3723" w:type="dxa"/>
          </w:tcPr>
          <w:p w14:paraId="2F524981" w14:textId="77777777" w:rsidR="002C3F4D" w:rsidRDefault="002C3F4D" w:rsidP="00CD5156">
            <w:pPr>
              <w:rPr>
                <w:rFonts w:eastAsia="Times New Roman"/>
                <w:b/>
                <w:sz w:val="28"/>
                <w:szCs w:val="28"/>
              </w:rPr>
            </w:pPr>
            <w:r w:rsidRPr="00C35B87">
              <w:rPr>
                <w:rFonts w:eastAsia="Times New Roman"/>
                <w:b/>
                <w:sz w:val="28"/>
                <w:szCs w:val="28"/>
              </w:rPr>
              <w:t>Standard</w:t>
            </w:r>
          </w:p>
          <w:p w14:paraId="02DAAE03" w14:textId="77777777" w:rsidR="002C3F4D" w:rsidRPr="00C35B87" w:rsidRDefault="002C3F4D" w:rsidP="00CD5156">
            <w:pPr>
              <w:rPr>
                <w:rFonts w:eastAsia="Times New Roman"/>
                <w:b/>
                <w:sz w:val="28"/>
                <w:szCs w:val="28"/>
              </w:rPr>
            </w:pPr>
            <w:r>
              <w:rPr>
                <w:rFonts w:eastAsia="Times New Roman"/>
                <w:b/>
                <w:i/>
                <w:iCs/>
                <w:sz w:val="28"/>
                <w:szCs w:val="28"/>
              </w:rPr>
              <w:t>Domain: Professional engagement</w:t>
            </w:r>
          </w:p>
        </w:tc>
        <w:tc>
          <w:tcPr>
            <w:tcW w:w="4777" w:type="dxa"/>
          </w:tcPr>
          <w:p w14:paraId="1A525BE5" w14:textId="77777777" w:rsidR="002C3F4D" w:rsidRPr="00C35B87" w:rsidRDefault="002C3F4D" w:rsidP="00CD5156">
            <w:pPr>
              <w:pStyle w:val="ColorfulList-Accent11"/>
              <w:ind w:left="421"/>
              <w:rPr>
                <w:rFonts w:eastAsia="Times New Roman"/>
                <w:b/>
                <w:sz w:val="28"/>
                <w:szCs w:val="28"/>
              </w:rPr>
            </w:pPr>
            <w:r>
              <w:rPr>
                <w:rFonts w:eastAsia="Times New Roman"/>
                <w:b/>
                <w:sz w:val="28"/>
                <w:szCs w:val="28"/>
              </w:rPr>
              <w:t>Focus Areas</w:t>
            </w:r>
            <w:r w:rsidRPr="00C35B87">
              <w:rPr>
                <w:rFonts w:eastAsia="Times New Roman"/>
                <w:b/>
                <w:sz w:val="28"/>
                <w:szCs w:val="28"/>
              </w:rPr>
              <w:t xml:space="preserve"> of the standard</w:t>
            </w:r>
          </w:p>
        </w:tc>
        <w:tc>
          <w:tcPr>
            <w:tcW w:w="7197" w:type="dxa"/>
          </w:tcPr>
          <w:p w14:paraId="649C1983" w14:textId="77777777" w:rsidR="002C3F4D" w:rsidRPr="00C35B87" w:rsidRDefault="002C3F4D" w:rsidP="00CD5156">
            <w:pPr>
              <w:rPr>
                <w:b/>
                <w:sz w:val="28"/>
                <w:szCs w:val="28"/>
              </w:rPr>
            </w:pPr>
            <w:r w:rsidRPr="00C35B87">
              <w:rPr>
                <w:b/>
                <w:sz w:val="28"/>
                <w:szCs w:val="28"/>
              </w:rPr>
              <w:t>What quality practices do you use in your setting that connect with this standard?</w:t>
            </w:r>
          </w:p>
        </w:tc>
        <w:tc>
          <w:tcPr>
            <w:tcW w:w="5233" w:type="dxa"/>
          </w:tcPr>
          <w:p w14:paraId="538BA5B5" w14:textId="77777777" w:rsidR="002C3F4D" w:rsidRPr="00C35B87" w:rsidRDefault="002C3F4D" w:rsidP="00CD5156">
            <w:pPr>
              <w:rPr>
                <w:b/>
                <w:sz w:val="28"/>
                <w:szCs w:val="28"/>
              </w:rPr>
            </w:pPr>
            <w:r w:rsidRPr="00C35B87">
              <w:rPr>
                <w:b/>
                <w:sz w:val="28"/>
                <w:szCs w:val="28"/>
              </w:rPr>
              <w:t>What evidence do you use that demonstrates these quality practices?</w:t>
            </w:r>
          </w:p>
        </w:tc>
      </w:tr>
      <w:tr w:rsidR="002C3F4D" w14:paraId="72AF0D2D" w14:textId="77777777" w:rsidTr="00CD5156">
        <w:tc>
          <w:tcPr>
            <w:tcW w:w="3723" w:type="dxa"/>
          </w:tcPr>
          <w:p w14:paraId="3639A231" w14:textId="77777777" w:rsidR="002C3F4D" w:rsidRPr="00A57FDA" w:rsidRDefault="002C3F4D" w:rsidP="00CD5156">
            <w:pPr>
              <w:spacing w:before="60"/>
            </w:pPr>
            <w:r w:rsidRPr="00A57FDA">
              <w:rPr>
                <w:b/>
                <w:bCs/>
              </w:rPr>
              <w:t>Standard 8: Engage in productive professional relationships</w:t>
            </w:r>
            <w:r>
              <w:t>.</w:t>
            </w:r>
            <w:r w:rsidRPr="00A57FDA">
              <w:t xml:space="preserve"> </w:t>
            </w:r>
          </w:p>
          <w:p w14:paraId="5C0FF755" w14:textId="77777777" w:rsidR="002C3F4D" w:rsidRPr="00245B3C" w:rsidRDefault="002C3F4D" w:rsidP="00CD5156">
            <w:pPr>
              <w:spacing w:before="60"/>
            </w:pPr>
            <w:r>
              <w:t>Work constructively with colleagues, parents/caregivers, and the community to support the learning and wellbeing of each learner.</w:t>
            </w:r>
          </w:p>
        </w:tc>
        <w:tc>
          <w:tcPr>
            <w:tcW w:w="4777" w:type="dxa"/>
          </w:tcPr>
          <w:p w14:paraId="6B90674C" w14:textId="77777777" w:rsidR="002C3F4D" w:rsidRDefault="002C3F4D" w:rsidP="00CD5156">
            <w:r w:rsidRPr="004A625C">
              <w:rPr>
                <w:b/>
                <w:bCs/>
              </w:rPr>
              <w:t>Focus area 8.1</w:t>
            </w:r>
            <w:r>
              <w:t xml:space="preserve"> </w:t>
            </w:r>
            <w:r w:rsidRPr="00E7088B">
              <w:rPr>
                <w:color w:val="009499" w:themeColor="accent1"/>
              </w:rPr>
              <w:t>Relate effectively with parents/caregivers and whānau</w:t>
            </w:r>
            <w:r>
              <w:t>.</w:t>
            </w:r>
            <w:r w:rsidRPr="00E7088B">
              <w:t xml:space="preserve"> </w:t>
            </w:r>
            <w:r>
              <w:t>Build positive, respectful, and culturally appropriate relationships with parents/caregivers and whānau focussed on the learning, engagement, and wellbeing of learners.</w:t>
            </w:r>
          </w:p>
          <w:p w14:paraId="1DD7AC46" w14:textId="77777777" w:rsidR="002C3F4D" w:rsidRDefault="002C3F4D" w:rsidP="00CD5156"/>
          <w:p w14:paraId="75F8AF00" w14:textId="77777777" w:rsidR="002C3F4D" w:rsidRDefault="002C3F4D" w:rsidP="00CD5156">
            <w:r w:rsidRPr="004A625C">
              <w:rPr>
                <w:b/>
                <w:bCs/>
              </w:rPr>
              <w:t>Focus area 8.2</w:t>
            </w:r>
            <w:r>
              <w:t xml:space="preserve"> </w:t>
            </w:r>
            <w:r w:rsidRPr="005D68F8">
              <w:rPr>
                <w:color w:val="009499" w:themeColor="accent1"/>
              </w:rPr>
              <w:t>Cooperate in the interests of learners</w:t>
            </w:r>
            <w:r>
              <w:rPr>
                <w:color w:val="009499" w:themeColor="accent1"/>
              </w:rPr>
              <w:t>.</w:t>
            </w:r>
            <w:r w:rsidRPr="005D68F8">
              <w:rPr>
                <w:color w:val="009499" w:themeColor="accent1"/>
              </w:rPr>
              <w:t xml:space="preserve"> </w:t>
            </w:r>
            <w:r>
              <w:t>Collaborate reciprocally with leaders, teachers, and other colleagues, and engage professionally with external agencies and the wider community, to meet the needs of each learner.</w:t>
            </w:r>
          </w:p>
          <w:p w14:paraId="605E8E55" w14:textId="77777777" w:rsidR="002C3F4D" w:rsidRDefault="002C3F4D" w:rsidP="00CD5156"/>
          <w:p w14:paraId="26872C1F" w14:textId="77777777" w:rsidR="002C3F4D" w:rsidRDefault="002C3F4D" w:rsidP="00CD5156">
            <w:r w:rsidRPr="005D68F8">
              <w:rPr>
                <w:b/>
                <w:bCs/>
              </w:rPr>
              <w:t>Focus area 8.3</w:t>
            </w:r>
            <w:r>
              <w:t xml:space="preserve"> </w:t>
            </w:r>
            <w:r w:rsidRPr="005D68F8">
              <w:rPr>
                <w:color w:val="009499" w:themeColor="accent1"/>
              </w:rPr>
              <w:t>Actively contribute to the wider educational setting</w:t>
            </w:r>
            <w:r>
              <w:rPr>
                <w:color w:val="009499" w:themeColor="accent1"/>
              </w:rPr>
              <w:t>.</w:t>
            </w:r>
            <w:r>
              <w:t xml:space="preserve"> Work collegially to support ongoing improvement to organisational culture and practice, showing leadership particularly in areas of responsibility or expertise.</w:t>
            </w:r>
          </w:p>
          <w:p w14:paraId="2AB4618D" w14:textId="77777777" w:rsidR="002C3F4D" w:rsidRDefault="002C3F4D" w:rsidP="00CD5156"/>
          <w:p w14:paraId="650F3237" w14:textId="77777777" w:rsidR="002C3F4D" w:rsidRPr="00844976" w:rsidRDefault="002C3F4D" w:rsidP="00CD5156">
            <w:r w:rsidRPr="005D68F8">
              <w:rPr>
                <w:b/>
                <w:bCs/>
              </w:rPr>
              <w:t>Focus area 8.4</w:t>
            </w:r>
            <w:r>
              <w:t xml:space="preserve"> </w:t>
            </w:r>
            <w:r w:rsidRPr="005D68F8">
              <w:rPr>
                <w:color w:val="009499" w:themeColor="accent1"/>
              </w:rPr>
              <w:t>Communicate effectively</w:t>
            </w:r>
            <w:r>
              <w:rPr>
                <w:color w:val="009499" w:themeColor="accent1"/>
              </w:rPr>
              <w:t>.</w:t>
            </w:r>
            <w:r w:rsidRPr="005D68F8">
              <w:rPr>
                <w:color w:val="009499" w:themeColor="accent1"/>
              </w:rPr>
              <w:t xml:space="preserve"> </w:t>
            </w:r>
            <w:r>
              <w:t>Use clear, open, and professional oral and written communication that assists everyone to play their part in supporting learning and wellbeing.</w:t>
            </w:r>
          </w:p>
        </w:tc>
        <w:tc>
          <w:tcPr>
            <w:tcW w:w="7197" w:type="dxa"/>
          </w:tcPr>
          <w:p w14:paraId="13065993" w14:textId="77777777" w:rsidR="002C3F4D" w:rsidRDefault="002C3F4D" w:rsidP="00CD5156"/>
        </w:tc>
        <w:tc>
          <w:tcPr>
            <w:tcW w:w="5233" w:type="dxa"/>
          </w:tcPr>
          <w:p w14:paraId="75A71DF6" w14:textId="77777777" w:rsidR="002C3F4D" w:rsidRDefault="002C3F4D" w:rsidP="00CD5156"/>
          <w:p w14:paraId="27356419" w14:textId="77777777" w:rsidR="002C3F4D" w:rsidRDefault="002C3F4D" w:rsidP="00CD5156"/>
          <w:p w14:paraId="464DE521" w14:textId="77777777" w:rsidR="002C3F4D" w:rsidRDefault="002C3F4D" w:rsidP="00CD5156"/>
          <w:p w14:paraId="355BF8DB" w14:textId="77777777" w:rsidR="002C3F4D" w:rsidRDefault="002C3F4D" w:rsidP="00CD5156"/>
          <w:p w14:paraId="2466C98B" w14:textId="77777777" w:rsidR="002C3F4D" w:rsidRDefault="002C3F4D" w:rsidP="00CD5156"/>
          <w:p w14:paraId="164EA720" w14:textId="77777777" w:rsidR="002C3F4D" w:rsidRDefault="002C3F4D" w:rsidP="00CD5156"/>
          <w:p w14:paraId="626E30FE" w14:textId="77777777" w:rsidR="002C3F4D" w:rsidRDefault="002C3F4D" w:rsidP="00CD5156"/>
          <w:p w14:paraId="385A6D38" w14:textId="77777777" w:rsidR="002C3F4D" w:rsidRDefault="002C3F4D" w:rsidP="00CD5156"/>
          <w:p w14:paraId="001CDB3C" w14:textId="77777777" w:rsidR="002C3F4D" w:rsidRDefault="002C3F4D" w:rsidP="00CD5156"/>
          <w:p w14:paraId="6E1330C3" w14:textId="77777777" w:rsidR="002C3F4D" w:rsidRDefault="002C3F4D" w:rsidP="00CD5156"/>
          <w:p w14:paraId="714289DF" w14:textId="77777777" w:rsidR="002C3F4D" w:rsidRDefault="002C3F4D" w:rsidP="00CD5156"/>
          <w:p w14:paraId="20B020EE" w14:textId="77777777" w:rsidR="002C3F4D" w:rsidRDefault="002C3F4D" w:rsidP="00CD5156"/>
          <w:p w14:paraId="1FEC1A1D" w14:textId="77777777" w:rsidR="002C3F4D" w:rsidRDefault="002C3F4D" w:rsidP="00CD5156"/>
          <w:p w14:paraId="3FB2813C" w14:textId="77777777" w:rsidR="002C3F4D" w:rsidRDefault="002C3F4D" w:rsidP="00CD5156"/>
          <w:p w14:paraId="3E14A533" w14:textId="77777777" w:rsidR="002C3F4D" w:rsidRDefault="002C3F4D" w:rsidP="00CD5156"/>
          <w:p w14:paraId="39127D87" w14:textId="77777777" w:rsidR="002C3F4D" w:rsidRDefault="002C3F4D" w:rsidP="00CD5156"/>
          <w:p w14:paraId="15668261" w14:textId="77777777" w:rsidR="002C3F4D" w:rsidRDefault="002C3F4D" w:rsidP="00CD5156"/>
          <w:p w14:paraId="18A49104" w14:textId="77777777" w:rsidR="002C3F4D" w:rsidRDefault="002C3F4D" w:rsidP="00CD5156"/>
          <w:p w14:paraId="7C5C0EC1" w14:textId="77777777" w:rsidR="002C3F4D" w:rsidRDefault="002C3F4D" w:rsidP="00CD5156">
            <w:pPr>
              <w:tabs>
                <w:tab w:val="left" w:pos="1935"/>
              </w:tabs>
            </w:pPr>
          </w:p>
        </w:tc>
      </w:tr>
    </w:tbl>
    <w:p w14:paraId="40997C58" w14:textId="4FD7E8CD" w:rsidR="002C3F4D" w:rsidRPr="00792AB5" w:rsidRDefault="002C3F4D" w:rsidP="002C3F4D">
      <w:pPr>
        <w:spacing w:after="0"/>
        <w:rPr>
          <w:i/>
          <w:sz w:val="20"/>
          <w:szCs w:val="20"/>
        </w:rPr>
      </w:pPr>
    </w:p>
    <w:p w14:paraId="0D123FEE" w14:textId="442568BF" w:rsidR="003C5EF4" w:rsidRPr="003C5EF4" w:rsidRDefault="003C5EF4" w:rsidP="002C3F4D"/>
    <w:sectPr w:rsidR="003C5EF4" w:rsidRPr="003C5EF4" w:rsidSect="002C3F4D">
      <w:headerReference w:type="even" r:id="rId11"/>
      <w:headerReference w:type="default" r:id="rId12"/>
      <w:footerReference w:type="even" r:id="rId13"/>
      <w:footerReference w:type="default" r:id="rId14"/>
      <w:headerReference w:type="first" r:id="rId15"/>
      <w:footerReference w:type="first" r:id="rId16"/>
      <w:pgSz w:w="23811" w:h="16838" w:orient="landscape" w:code="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C3603" w14:textId="77777777" w:rsidR="002C3F4D" w:rsidRDefault="002C3F4D" w:rsidP="002617EB">
      <w:r>
        <w:separator/>
      </w:r>
    </w:p>
  </w:endnote>
  <w:endnote w:type="continuationSeparator" w:id="0">
    <w:p w14:paraId="669B887A" w14:textId="77777777" w:rsidR="002C3F4D" w:rsidRDefault="002C3F4D" w:rsidP="00261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3451F" w14:textId="77777777" w:rsidR="002E0415" w:rsidRDefault="002E0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62002" w14:textId="77777777" w:rsidR="002E0415" w:rsidRDefault="002E04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BD4EE" w14:textId="77777777" w:rsidR="002E0415" w:rsidRDefault="002E0415" w:rsidP="002E0415">
    <w:pPr>
      <w:pStyle w:val="Footer"/>
      <w:rPr>
        <w:sz w:val="10"/>
        <w:szCs w:val="10"/>
      </w:rPr>
    </w:pPr>
    <w:r>
      <w:rPr>
        <w:noProof/>
      </w:rPr>
      <w:drawing>
        <wp:anchor distT="0" distB="0" distL="114300" distR="114300" simplePos="0" relativeHeight="251664384" behindDoc="1" locked="0" layoutInCell="1" allowOverlap="1" wp14:anchorId="0BFB166D" wp14:editId="3A97FE02">
          <wp:simplePos x="0" y="0"/>
          <wp:positionH relativeFrom="column">
            <wp:posOffset>-711200</wp:posOffset>
          </wp:positionH>
          <wp:positionV relativeFrom="paragraph">
            <wp:posOffset>-56014</wp:posOffset>
          </wp:positionV>
          <wp:extent cx="10668000" cy="9048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0668000" cy="904875"/>
                  </a:xfrm>
                  <a:prstGeom prst="rect">
                    <a:avLst/>
                  </a:prstGeom>
                </pic:spPr>
              </pic:pic>
            </a:graphicData>
          </a:graphic>
          <wp14:sizeRelH relativeFrom="margin">
            <wp14:pctWidth>0</wp14:pctWidth>
          </wp14:sizeRelH>
          <wp14:sizeRelV relativeFrom="margin">
            <wp14:pctHeight>0</wp14:pctHeight>
          </wp14:sizeRelV>
        </wp:anchor>
      </w:drawing>
    </w:r>
  </w:p>
  <w:p w14:paraId="36F48348" w14:textId="77777777" w:rsidR="002E0415" w:rsidRPr="00747705" w:rsidRDefault="002E0415" w:rsidP="002E0415">
    <w:pPr>
      <w:pStyle w:val="Footer"/>
      <w:rPr>
        <w:sz w:val="10"/>
        <w:szCs w:val="10"/>
      </w:rPr>
    </w:pPr>
  </w:p>
  <w:p w14:paraId="5D5D2C4F" w14:textId="77777777" w:rsidR="002E0415" w:rsidRDefault="002E0415" w:rsidP="002E0415">
    <w:pPr>
      <w:pStyle w:val="Footer"/>
    </w:pPr>
  </w:p>
  <w:p w14:paraId="5A79B3A8" w14:textId="77777777" w:rsidR="00E459F6" w:rsidRPr="002E0415" w:rsidRDefault="00E459F6" w:rsidP="002E0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8C476" w14:textId="77777777" w:rsidR="002C3F4D" w:rsidRDefault="002C3F4D" w:rsidP="002617EB">
      <w:r>
        <w:separator/>
      </w:r>
    </w:p>
  </w:footnote>
  <w:footnote w:type="continuationSeparator" w:id="0">
    <w:p w14:paraId="27B3A72F" w14:textId="77777777" w:rsidR="002C3F4D" w:rsidRDefault="002C3F4D" w:rsidP="002617EB">
      <w:r>
        <w:continuationSeparator/>
      </w:r>
    </w:p>
  </w:footnote>
  <w:footnote w:id="1">
    <w:p w14:paraId="2960797A" w14:textId="77777777" w:rsidR="002C3F4D" w:rsidRDefault="002C3F4D" w:rsidP="002C3F4D">
      <w:pPr>
        <w:pStyle w:val="FootnoteText"/>
      </w:pPr>
      <w:r w:rsidRPr="105E81B0">
        <w:rPr>
          <w:rStyle w:val="FootnoteReference"/>
        </w:rPr>
        <w:footnoteRef/>
      </w:r>
      <w:r>
        <w:t xml:space="preserve"> </w:t>
      </w:r>
      <w:r w:rsidRPr="105E81B0">
        <w:t xml:space="preserve">1. </w:t>
      </w:r>
      <w:proofErr w:type="spellStart"/>
      <w:r w:rsidRPr="105E81B0">
        <w:t>Tangata</w:t>
      </w:r>
      <w:proofErr w:type="spellEnd"/>
      <w:r w:rsidRPr="105E81B0">
        <w:t xml:space="preserve"> </w:t>
      </w:r>
      <w:proofErr w:type="spellStart"/>
      <w:r w:rsidRPr="105E81B0">
        <w:t>whenuatanga</w:t>
      </w:r>
      <w:proofErr w:type="spellEnd"/>
      <w:r w:rsidRPr="105E81B0">
        <w:t xml:space="preserve"> (place-based, socio-cultural awareness and knowledge) is one of the five cultural competencies outlined in </w:t>
      </w:r>
      <w:proofErr w:type="spellStart"/>
      <w:r w:rsidRPr="105E81B0">
        <w:t>Tataiako</w:t>
      </w:r>
      <w:proofErr w:type="spellEnd"/>
      <w:r w:rsidRPr="105E81B0">
        <w:t xml:space="preserve">: Cultural competencies for teachers of </w:t>
      </w:r>
      <w:proofErr w:type="spellStart"/>
      <w:r w:rsidRPr="105E81B0">
        <w:t>Maori</w:t>
      </w:r>
      <w:proofErr w:type="spellEnd"/>
      <w:r w:rsidRPr="105E81B0">
        <w:t xml:space="preserve"> learners (Education Council and Ministry of Education, 2011)</w:t>
      </w:r>
      <w:proofErr w:type="gramStart"/>
      <w:r w:rsidRPr="105E81B0">
        <w:t>, .</w:t>
      </w:r>
      <w:proofErr w:type="gramEnd"/>
    </w:p>
  </w:footnote>
  <w:footnote w:id="2">
    <w:p w14:paraId="75211549" w14:textId="77777777" w:rsidR="002C3F4D" w:rsidRPr="00ED1A43" w:rsidRDefault="002C3F4D" w:rsidP="002C3F4D">
      <w:pPr>
        <w:pStyle w:val="FootnoteText"/>
        <w:rPr>
          <w:lang w:val="mi-NZ"/>
        </w:rPr>
      </w:pPr>
      <w:r>
        <w:rPr>
          <w:rStyle w:val="FootnoteReference"/>
        </w:rPr>
        <w:footnoteRef/>
      </w:r>
      <w:r>
        <w:t xml:space="preserve"> . For teachers in state schools, the mandated curriculum refers to national curriculum statements and foundation curriculum policy statements issued under section 90 of the Act (at the time these standards were approved these statements make up the New Zealand Curriculum and Te </w:t>
      </w:r>
      <w:proofErr w:type="spellStart"/>
      <w:r>
        <w:t>Marautanga</w:t>
      </w:r>
      <w:proofErr w:type="spellEnd"/>
      <w:r>
        <w:t xml:space="preserve"> o Aotearoa). For teachers in early childhood education, the mandated curriculum refers to the early childhood curriculum issued under section 23 of the Act (at the time these standards were approved this is the Te </w:t>
      </w:r>
      <w:proofErr w:type="spellStart"/>
      <w:r>
        <w:t>Whāriki</w:t>
      </w:r>
      <w:proofErr w:type="spellEnd"/>
      <w:r>
        <w:t xml:space="preserve"> curriculum framework). For teachers in charter schools and private schools, the mandated curriculum refers to the curriculum for teaching, learning, and assessment developed by the school (which is required to meet tuition standards at least equivalent to those at state schools of the same year level). The Teaching Council acknowledges that Māori medium education may also be undertaken using other curricula including Te Aho Arataki Marau, Te </w:t>
      </w:r>
      <w:proofErr w:type="spellStart"/>
      <w:r>
        <w:t>Marautanga</w:t>
      </w:r>
      <w:proofErr w:type="spellEnd"/>
      <w:r>
        <w:t xml:space="preserve"> o Te Aho Matua and Te </w:t>
      </w:r>
      <w:proofErr w:type="spellStart"/>
      <w:r>
        <w:t>Marautanga</w:t>
      </w:r>
      <w:proofErr w:type="spellEnd"/>
      <w:r>
        <w:t xml:space="preserve"> o </w:t>
      </w:r>
      <w:proofErr w:type="spellStart"/>
      <w:r>
        <w:t>ngā</w:t>
      </w:r>
      <w:proofErr w:type="spellEnd"/>
      <w:r>
        <w:t xml:space="preserve"> Kura ā-iwi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CB206" w14:textId="77777777" w:rsidR="002E0415" w:rsidRDefault="002E04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B52E6" w14:textId="77777777" w:rsidR="00CE4719" w:rsidRPr="00CE4719" w:rsidRDefault="004F44C8" w:rsidP="003C691E">
    <w:r>
      <w:rPr>
        <w:noProof/>
      </w:rPr>
      <w:drawing>
        <wp:anchor distT="0" distB="0" distL="114300" distR="114300" simplePos="0" relativeHeight="251661312" behindDoc="1" locked="0" layoutInCell="1" allowOverlap="1" wp14:anchorId="10692D90" wp14:editId="2E059D6B">
          <wp:simplePos x="0" y="0"/>
          <wp:positionH relativeFrom="column">
            <wp:posOffset>-711998</wp:posOffset>
          </wp:positionH>
          <wp:positionV relativeFrom="page">
            <wp:posOffset>8092</wp:posOffset>
          </wp:positionV>
          <wp:extent cx="10681335" cy="2156460"/>
          <wp:effectExtent l="0" t="0" r="0" b="2540"/>
          <wp:wrapNone/>
          <wp:docPr id="6" name="Picture 6"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ackground pattern&#10;&#10;Description automatically generated with low confidence"/>
                  <pic:cNvPicPr/>
                </pic:nvPicPr>
                <pic:blipFill>
                  <a:blip r:embed="rId1"/>
                  <a:stretch>
                    <a:fillRect/>
                  </a:stretch>
                </pic:blipFill>
                <pic:spPr>
                  <a:xfrm>
                    <a:off x="0" y="0"/>
                    <a:ext cx="10681335" cy="215646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29742" w14:textId="77777777" w:rsidR="00CE4719" w:rsidRDefault="004A5202">
    <w:pPr>
      <w:pStyle w:val="Header"/>
    </w:pPr>
    <w:r>
      <w:rPr>
        <w:noProof/>
      </w:rPr>
      <w:drawing>
        <wp:anchor distT="0" distB="0" distL="114300" distR="114300" simplePos="0" relativeHeight="251662336" behindDoc="1" locked="0" layoutInCell="1" allowOverlap="1" wp14:anchorId="2874DCE0" wp14:editId="264A5066">
          <wp:simplePos x="0" y="0"/>
          <wp:positionH relativeFrom="column">
            <wp:posOffset>-720562</wp:posOffset>
          </wp:positionH>
          <wp:positionV relativeFrom="page">
            <wp:posOffset>7620</wp:posOffset>
          </wp:positionV>
          <wp:extent cx="10700051" cy="2160573"/>
          <wp:effectExtent l="0" t="0" r="0" b="0"/>
          <wp:wrapNone/>
          <wp:docPr id="2" name="Picture 2"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ckground pattern&#10;&#10;Description automatically generated with low confidence"/>
                  <pic:cNvPicPr/>
                </pic:nvPicPr>
                <pic:blipFill>
                  <a:blip r:embed="rId1"/>
                  <a:stretch>
                    <a:fillRect/>
                  </a:stretch>
                </pic:blipFill>
                <pic:spPr>
                  <a:xfrm>
                    <a:off x="0" y="0"/>
                    <a:ext cx="10700051" cy="216057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9CFA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C662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FED5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98075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A0A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DC87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96FB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F47D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C6DEA896"/>
    <w:lvl w:ilvl="0">
      <w:start w:val="1"/>
      <w:numFmt w:val="bullet"/>
      <w:lvlText w:val=""/>
      <w:lvlJc w:val="left"/>
      <w:pPr>
        <w:tabs>
          <w:tab w:val="num" w:pos="425"/>
        </w:tabs>
        <w:ind w:left="425" w:hanging="425"/>
      </w:pPr>
      <w:rPr>
        <w:rFonts w:ascii="Symbol" w:hAnsi="Symbol" w:hint="default"/>
      </w:rPr>
    </w:lvl>
  </w:abstractNum>
  <w:abstractNum w:abstractNumId="9" w15:restartNumberingAfterBreak="0">
    <w:nsid w:val="01D16162"/>
    <w:multiLevelType w:val="hybridMultilevel"/>
    <w:tmpl w:val="5C30191C"/>
    <w:lvl w:ilvl="0" w:tplc="A9686C14">
      <w:start w:val="1"/>
      <w:numFmt w:val="bullet"/>
      <w:lvlText w:val=""/>
      <w:lvlJc w:val="left"/>
      <w:pPr>
        <w:tabs>
          <w:tab w:val="num" w:pos="425"/>
        </w:tabs>
        <w:ind w:left="425" w:hanging="42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166002"/>
    <w:multiLevelType w:val="multilevel"/>
    <w:tmpl w:val="9CE6CB34"/>
    <w:lvl w:ilvl="0">
      <w:start w:val="1"/>
      <w:numFmt w:val="decimal"/>
      <w:lvlText w:val="%1."/>
      <w:lvlJc w:val="left"/>
      <w:pPr>
        <w:tabs>
          <w:tab w:val="num" w:pos="425"/>
        </w:tabs>
        <w:ind w:left="425" w:hanging="425"/>
      </w:pPr>
      <w:rPr>
        <w:rFonts w:ascii="Franklin Gothic Book" w:hAnsi="Franklin Gothic Book" w:hint="default"/>
        <w:sz w:val="22"/>
        <w:szCs w:val="22"/>
      </w:rPr>
    </w:lvl>
    <w:lvl w:ilvl="1">
      <w:start w:val="1"/>
      <w:numFmt w:val="lowerLetter"/>
      <w:lvlText w:val="(%2)"/>
      <w:lvlJc w:val="left"/>
      <w:pPr>
        <w:tabs>
          <w:tab w:val="num" w:pos="851"/>
        </w:tabs>
        <w:ind w:left="851" w:hanging="426"/>
      </w:pPr>
      <w:rPr>
        <w:rFonts w:ascii="Franklin Gothic Book" w:hAnsi="Franklin Gothic Book" w:hint="default"/>
        <w:sz w:val="22"/>
        <w:szCs w:val="22"/>
      </w:rPr>
    </w:lvl>
    <w:lvl w:ilvl="2">
      <w:start w:val="1"/>
      <w:numFmt w:val="lowerRoman"/>
      <w:lvlText w:val="(%3)"/>
      <w:lvlJc w:val="left"/>
      <w:pPr>
        <w:tabs>
          <w:tab w:val="num" w:pos="1276"/>
        </w:tabs>
        <w:ind w:left="1276" w:hanging="425"/>
      </w:pPr>
      <w:rPr>
        <w:rFonts w:ascii="Franklin Gothic Book" w:hAnsi="Franklin Gothic Book" w:hint="default"/>
        <w:sz w:val="22"/>
        <w:szCs w:val="22"/>
      </w:rPr>
    </w:lvl>
    <w:lvl w:ilvl="3">
      <w:start w:val="1"/>
      <w:numFmt w:val="upperLetter"/>
      <w:lvlText w:val="(%4)"/>
      <w:lvlJc w:val="left"/>
      <w:pPr>
        <w:tabs>
          <w:tab w:val="num" w:pos="1701"/>
        </w:tabs>
        <w:ind w:left="1701" w:hanging="425"/>
      </w:pPr>
      <w:rPr>
        <w:rFonts w:ascii="Franklin Gothic Book" w:hAnsi="Franklin Gothic Book" w:hint="default"/>
        <w:sz w:val="22"/>
        <w:szCs w:val="22"/>
      </w:rPr>
    </w:lvl>
    <w:lvl w:ilvl="4">
      <w:start w:val="1"/>
      <w:numFmt w:val="upperRoman"/>
      <w:lvlText w:val="(%5)"/>
      <w:lvlJc w:val="left"/>
      <w:pPr>
        <w:tabs>
          <w:tab w:val="num" w:pos="2126"/>
        </w:tabs>
        <w:ind w:left="2126" w:hanging="425"/>
      </w:pPr>
      <w:rPr>
        <w:rFonts w:ascii="Franklin Gothic Book" w:hAnsi="Franklin Gothic Book" w:hint="default"/>
        <w:sz w:val="22"/>
        <w:szCs w:val="22"/>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1" w15:restartNumberingAfterBreak="0">
    <w:nsid w:val="11D53B40"/>
    <w:multiLevelType w:val="multilevel"/>
    <w:tmpl w:val="58EEFF72"/>
    <w:lvl w:ilvl="0">
      <w:start w:val="1"/>
      <w:numFmt w:val="bullet"/>
      <w:pStyle w:val="Bullets"/>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Arial" w:hAnsi="Arial"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BD9327B"/>
    <w:multiLevelType w:val="multilevel"/>
    <w:tmpl w:val="CD40C204"/>
    <w:lvl w:ilvl="0">
      <w:start w:val="1"/>
      <w:numFmt w:val="decimal"/>
      <w:pStyle w:val="NumberedParas"/>
      <w:lvlText w:val="%1."/>
      <w:lvlJc w:val="left"/>
      <w:pPr>
        <w:tabs>
          <w:tab w:val="num" w:pos="425"/>
        </w:tabs>
        <w:ind w:left="425" w:hanging="425"/>
      </w:pPr>
      <w:rPr>
        <w:rFonts w:ascii="Franklin Gothic Book" w:hAnsi="Franklin Gothic Book" w:hint="default"/>
        <w:sz w:val="22"/>
        <w:szCs w:val="22"/>
      </w:rPr>
    </w:lvl>
    <w:lvl w:ilvl="1">
      <w:start w:val="1"/>
      <w:numFmt w:val="lowerLetter"/>
      <w:lvlText w:val="(%2)"/>
      <w:lvlJc w:val="left"/>
      <w:pPr>
        <w:tabs>
          <w:tab w:val="num" w:pos="851"/>
        </w:tabs>
        <w:ind w:left="851" w:hanging="426"/>
      </w:pPr>
      <w:rPr>
        <w:rFonts w:ascii="Franklin Gothic Book" w:hAnsi="Franklin Gothic Book" w:hint="default"/>
        <w:sz w:val="22"/>
        <w:szCs w:val="22"/>
      </w:rPr>
    </w:lvl>
    <w:lvl w:ilvl="2">
      <w:start w:val="1"/>
      <w:numFmt w:val="lowerRoman"/>
      <w:lvlText w:val="(%3)"/>
      <w:lvlJc w:val="left"/>
      <w:pPr>
        <w:tabs>
          <w:tab w:val="num" w:pos="1276"/>
        </w:tabs>
        <w:ind w:left="1276" w:hanging="425"/>
      </w:pPr>
      <w:rPr>
        <w:rFonts w:ascii="Franklin Gothic Book" w:hAnsi="Franklin Gothic Book" w:hint="default"/>
        <w:sz w:val="22"/>
        <w:szCs w:val="22"/>
      </w:rPr>
    </w:lvl>
    <w:lvl w:ilvl="3">
      <w:start w:val="1"/>
      <w:numFmt w:val="upperLetter"/>
      <w:lvlText w:val="(%4)"/>
      <w:lvlJc w:val="left"/>
      <w:pPr>
        <w:tabs>
          <w:tab w:val="num" w:pos="1701"/>
        </w:tabs>
        <w:ind w:left="1701" w:hanging="425"/>
      </w:pPr>
      <w:rPr>
        <w:rFonts w:ascii="Franklin Gothic Book" w:hAnsi="Franklin Gothic Book" w:hint="default"/>
        <w:sz w:val="22"/>
        <w:szCs w:val="22"/>
      </w:rPr>
    </w:lvl>
    <w:lvl w:ilvl="4">
      <w:start w:val="1"/>
      <w:numFmt w:val="upperRoman"/>
      <w:lvlText w:val="(%5)"/>
      <w:lvlJc w:val="left"/>
      <w:pPr>
        <w:tabs>
          <w:tab w:val="num" w:pos="2126"/>
        </w:tabs>
        <w:ind w:left="2126" w:hanging="425"/>
      </w:pPr>
      <w:rPr>
        <w:rFonts w:ascii="Franklin Gothic Book" w:hAnsi="Franklin Gothic Book" w:hint="default"/>
        <w:sz w:val="22"/>
        <w:szCs w:val="22"/>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3" w15:restartNumberingAfterBreak="0">
    <w:nsid w:val="45F8795B"/>
    <w:multiLevelType w:val="hybridMultilevel"/>
    <w:tmpl w:val="F1D4DC88"/>
    <w:lvl w:ilvl="0" w:tplc="A9686C14">
      <w:start w:val="1"/>
      <w:numFmt w:val="bullet"/>
      <w:lvlText w:val=""/>
      <w:lvlJc w:val="left"/>
      <w:pPr>
        <w:tabs>
          <w:tab w:val="num" w:pos="425"/>
        </w:tabs>
        <w:ind w:left="425" w:hanging="425"/>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136CC5"/>
    <w:multiLevelType w:val="hybridMultilevel"/>
    <w:tmpl w:val="50ECE898"/>
    <w:lvl w:ilvl="0" w:tplc="E5E41A80">
      <w:start w:val="1"/>
      <w:numFmt w:val="decimal"/>
      <w:pStyle w:val="Heading3"/>
      <w:lvlText w:val="%1."/>
      <w:lvlJc w:val="left"/>
      <w:pPr>
        <w:tabs>
          <w:tab w:val="num" w:pos="425"/>
        </w:tabs>
        <w:ind w:left="425" w:hanging="425"/>
      </w:pPr>
      <w:rPr>
        <w:rFonts w:ascii="Franklin Gothic Demi" w:hAnsi="Franklin Gothic Demi"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D67A04"/>
    <w:multiLevelType w:val="hybridMultilevel"/>
    <w:tmpl w:val="6428AA76"/>
    <w:lvl w:ilvl="0" w:tplc="A9686C14">
      <w:start w:val="1"/>
      <w:numFmt w:val="bullet"/>
      <w:lvlText w:val=""/>
      <w:lvlJc w:val="left"/>
      <w:pPr>
        <w:tabs>
          <w:tab w:val="num" w:pos="425"/>
        </w:tabs>
        <w:ind w:left="425" w:hanging="42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332972"/>
    <w:multiLevelType w:val="multilevel"/>
    <w:tmpl w:val="6428AA76"/>
    <w:lvl w:ilvl="0">
      <w:start w:val="1"/>
      <w:numFmt w:val="bullet"/>
      <w:lvlText w:val=""/>
      <w:lvlJc w:val="left"/>
      <w:pPr>
        <w:tabs>
          <w:tab w:val="num" w:pos="425"/>
        </w:tabs>
        <w:ind w:left="425"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0804076"/>
    <w:multiLevelType w:val="hybridMultilevel"/>
    <w:tmpl w:val="6D22165A"/>
    <w:lvl w:ilvl="0" w:tplc="A9686C14">
      <w:start w:val="1"/>
      <w:numFmt w:val="bullet"/>
      <w:lvlText w:val=""/>
      <w:lvlJc w:val="left"/>
      <w:pPr>
        <w:tabs>
          <w:tab w:val="num" w:pos="425"/>
        </w:tabs>
        <w:ind w:left="425" w:hanging="425"/>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ED0024"/>
    <w:multiLevelType w:val="multilevel"/>
    <w:tmpl w:val="B8AC393A"/>
    <w:lvl w:ilvl="0">
      <w:start w:val="1"/>
      <w:numFmt w:val="decimal"/>
      <w:pStyle w:val="ListNumber"/>
      <w:lvlText w:val="%1."/>
      <w:lvlJc w:val="left"/>
      <w:pPr>
        <w:tabs>
          <w:tab w:val="num" w:pos="425"/>
        </w:tabs>
        <w:ind w:left="425" w:hanging="425"/>
      </w:pPr>
      <w:rPr>
        <w:rFonts w:ascii="Franklin Gothic Book" w:hAnsi="Franklin Gothic Book" w:hint="default"/>
        <w:sz w:val="22"/>
        <w:szCs w:val="22"/>
      </w:rPr>
    </w:lvl>
    <w:lvl w:ilvl="1">
      <w:start w:val="1"/>
      <w:numFmt w:val="lowerLetter"/>
      <w:lvlText w:val="(%2)"/>
      <w:lvlJc w:val="left"/>
      <w:pPr>
        <w:tabs>
          <w:tab w:val="num" w:pos="851"/>
        </w:tabs>
        <w:ind w:left="851" w:hanging="426"/>
      </w:pPr>
      <w:rPr>
        <w:rFonts w:ascii="Franklin Gothic Book" w:hAnsi="Franklin Gothic Book" w:hint="default"/>
        <w:sz w:val="22"/>
        <w:szCs w:val="22"/>
      </w:rPr>
    </w:lvl>
    <w:lvl w:ilvl="2">
      <w:start w:val="1"/>
      <w:numFmt w:val="lowerRoman"/>
      <w:lvlText w:val="(%3)"/>
      <w:lvlJc w:val="left"/>
      <w:pPr>
        <w:tabs>
          <w:tab w:val="num" w:pos="1276"/>
        </w:tabs>
        <w:ind w:left="1276" w:hanging="425"/>
      </w:pPr>
      <w:rPr>
        <w:rFonts w:ascii="Franklin Gothic Book" w:hAnsi="Franklin Gothic Book" w:hint="default"/>
        <w:sz w:val="22"/>
        <w:szCs w:val="22"/>
      </w:rPr>
    </w:lvl>
    <w:lvl w:ilvl="3">
      <w:start w:val="1"/>
      <w:numFmt w:val="upperLetter"/>
      <w:lvlText w:val="(%4)"/>
      <w:lvlJc w:val="left"/>
      <w:pPr>
        <w:tabs>
          <w:tab w:val="num" w:pos="1701"/>
        </w:tabs>
        <w:ind w:left="1701" w:hanging="425"/>
      </w:pPr>
      <w:rPr>
        <w:rFonts w:ascii="Franklin Gothic Book" w:hAnsi="Franklin Gothic Book" w:hint="default"/>
        <w:sz w:val="22"/>
        <w:szCs w:val="22"/>
      </w:rPr>
    </w:lvl>
    <w:lvl w:ilvl="4">
      <w:start w:val="1"/>
      <w:numFmt w:val="upperRoman"/>
      <w:lvlText w:val="(%5)"/>
      <w:lvlJc w:val="left"/>
      <w:pPr>
        <w:tabs>
          <w:tab w:val="num" w:pos="2126"/>
        </w:tabs>
        <w:ind w:left="2126" w:hanging="425"/>
      </w:pPr>
      <w:rPr>
        <w:rFonts w:ascii="Franklin Gothic Book" w:hAnsi="Franklin Gothic Book" w:hint="default"/>
        <w:sz w:val="22"/>
        <w:szCs w:val="22"/>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num w:numId="1" w16cid:durableId="1507282174">
    <w:abstractNumId w:val="11"/>
  </w:num>
  <w:num w:numId="2" w16cid:durableId="116990108">
    <w:abstractNumId w:val="10"/>
  </w:num>
  <w:num w:numId="3" w16cid:durableId="2071997702">
    <w:abstractNumId w:val="7"/>
  </w:num>
  <w:num w:numId="4" w16cid:durableId="1173758778">
    <w:abstractNumId w:val="8"/>
  </w:num>
  <w:num w:numId="5" w16cid:durableId="1374039228">
    <w:abstractNumId w:val="14"/>
  </w:num>
  <w:num w:numId="6" w16cid:durableId="2008164105">
    <w:abstractNumId w:val="12"/>
  </w:num>
  <w:num w:numId="7" w16cid:durableId="1168053635">
    <w:abstractNumId w:val="15"/>
  </w:num>
  <w:num w:numId="8" w16cid:durableId="1893614589">
    <w:abstractNumId w:val="16"/>
  </w:num>
  <w:num w:numId="9" w16cid:durableId="430778000">
    <w:abstractNumId w:val="0"/>
  </w:num>
  <w:num w:numId="10" w16cid:durableId="1417434757">
    <w:abstractNumId w:val="1"/>
  </w:num>
  <w:num w:numId="11" w16cid:durableId="642201837">
    <w:abstractNumId w:val="2"/>
  </w:num>
  <w:num w:numId="12" w16cid:durableId="165824785">
    <w:abstractNumId w:val="3"/>
  </w:num>
  <w:num w:numId="13" w16cid:durableId="2079014825">
    <w:abstractNumId w:val="4"/>
  </w:num>
  <w:num w:numId="14" w16cid:durableId="151069798">
    <w:abstractNumId w:val="5"/>
  </w:num>
  <w:num w:numId="15" w16cid:durableId="85809280">
    <w:abstractNumId w:val="6"/>
  </w:num>
  <w:num w:numId="16" w16cid:durableId="966202326">
    <w:abstractNumId w:val="17"/>
  </w:num>
  <w:num w:numId="17" w16cid:durableId="743528234">
    <w:abstractNumId w:val="9"/>
  </w:num>
  <w:num w:numId="18" w16cid:durableId="121701157">
    <w:abstractNumId w:val="18"/>
  </w:num>
  <w:num w:numId="19" w16cid:durableId="49348796">
    <w:abstractNumId w:val="13"/>
  </w:num>
  <w:num w:numId="20" w16cid:durableId="345132150">
    <w:abstractNumId w:val="14"/>
  </w:num>
  <w:num w:numId="21" w16cid:durableId="1081754798">
    <w:abstractNumId w:val="11"/>
  </w:num>
  <w:num w:numId="22" w16cid:durableId="334457894">
    <w:abstractNumId w:val="12"/>
  </w:num>
  <w:num w:numId="23" w16cid:durableId="41447853">
    <w:abstractNumId w:val="11"/>
  </w:num>
  <w:num w:numId="24" w16cid:durableId="553004631">
    <w:abstractNumId w:val="14"/>
  </w:num>
  <w:num w:numId="25" w16cid:durableId="637994757">
    <w:abstractNumId w:val="11"/>
  </w:num>
  <w:num w:numId="26" w16cid:durableId="25639995">
    <w:abstractNumId w:val="18"/>
  </w:num>
  <w:num w:numId="27" w16cid:durableId="1383097084">
    <w:abstractNumId w:val="12"/>
  </w:num>
  <w:num w:numId="28" w16cid:durableId="1826774904">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F4D"/>
    <w:rsid w:val="000003AE"/>
    <w:rsid w:val="00001B86"/>
    <w:rsid w:val="00001DBA"/>
    <w:rsid w:val="00002926"/>
    <w:rsid w:val="00003A0D"/>
    <w:rsid w:val="000053AB"/>
    <w:rsid w:val="00007006"/>
    <w:rsid w:val="00015522"/>
    <w:rsid w:val="00017F91"/>
    <w:rsid w:val="00025368"/>
    <w:rsid w:val="00025802"/>
    <w:rsid w:val="0002660A"/>
    <w:rsid w:val="000304EC"/>
    <w:rsid w:val="00032F50"/>
    <w:rsid w:val="000347D6"/>
    <w:rsid w:val="00035B82"/>
    <w:rsid w:val="00040B90"/>
    <w:rsid w:val="00041E20"/>
    <w:rsid w:val="0004334E"/>
    <w:rsid w:val="00043678"/>
    <w:rsid w:val="000467A8"/>
    <w:rsid w:val="000529C1"/>
    <w:rsid w:val="00057376"/>
    <w:rsid w:val="00066D53"/>
    <w:rsid w:val="00066DDD"/>
    <w:rsid w:val="00066F7A"/>
    <w:rsid w:val="00070053"/>
    <w:rsid w:val="0007309C"/>
    <w:rsid w:val="00075CB4"/>
    <w:rsid w:val="00076768"/>
    <w:rsid w:val="000769FC"/>
    <w:rsid w:val="00077963"/>
    <w:rsid w:val="00081E7C"/>
    <w:rsid w:val="00082606"/>
    <w:rsid w:val="000845A2"/>
    <w:rsid w:val="000852B8"/>
    <w:rsid w:val="0008792D"/>
    <w:rsid w:val="00087E8A"/>
    <w:rsid w:val="00091DA8"/>
    <w:rsid w:val="0009339C"/>
    <w:rsid w:val="00093A25"/>
    <w:rsid w:val="00096146"/>
    <w:rsid w:val="00096EC0"/>
    <w:rsid w:val="00097407"/>
    <w:rsid w:val="000A0C8A"/>
    <w:rsid w:val="000A10F4"/>
    <w:rsid w:val="000A616A"/>
    <w:rsid w:val="000B19B3"/>
    <w:rsid w:val="000B1C5F"/>
    <w:rsid w:val="000B33FC"/>
    <w:rsid w:val="000B56A3"/>
    <w:rsid w:val="000C2B53"/>
    <w:rsid w:val="000C2FF7"/>
    <w:rsid w:val="000C5516"/>
    <w:rsid w:val="000D10A9"/>
    <w:rsid w:val="000D110F"/>
    <w:rsid w:val="000D126D"/>
    <w:rsid w:val="000D50CC"/>
    <w:rsid w:val="000D50FD"/>
    <w:rsid w:val="000E6202"/>
    <w:rsid w:val="000F4491"/>
    <w:rsid w:val="000F5A4F"/>
    <w:rsid w:val="00100AB8"/>
    <w:rsid w:val="001025F2"/>
    <w:rsid w:val="001163FB"/>
    <w:rsid w:val="00121530"/>
    <w:rsid w:val="001220E5"/>
    <w:rsid w:val="00124EF1"/>
    <w:rsid w:val="0013041E"/>
    <w:rsid w:val="00131C0A"/>
    <w:rsid w:val="00133839"/>
    <w:rsid w:val="00134A0F"/>
    <w:rsid w:val="0014270A"/>
    <w:rsid w:val="00142722"/>
    <w:rsid w:val="00144CC8"/>
    <w:rsid w:val="00146837"/>
    <w:rsid w:val="0015098E"/>
    <w:rsid w:val="00152CE5"/>
    <w:rsid w:val="00153222"/>
    <w:rsid w:val="00157E22"/>
    <w:rsid w:val="00161FBF"/>
    <w:rsid w:val="00166C60"/>
    <w:rsid w:val="00167018"/>
    <w:rsid w:val="00171C1C"/>
    <w:rsid w:val="0017338B"/>
    <w:rsid w:val="0017399C"/>
    <w:rsid w:val="00174A8D"/>
    <w:rsid w:val="00180411"/>
    <w:rsid w:val="00183249"/>
    <w:rsid w:val="001832E7"/>
    <w:rsid w:val="001839F5"/>
    <w:rsid w:val="00190F4B"/>
    <w:rsid w:val="00193BF5"/>
    <w:rsid w:val="00195995"/>
    <w:rsid w:val="001967EF"/>
    <w:rsid w:val="00197463"/>
    <w:rsid w:val="001A3046"/>
    <w:rsid w:val="001A3E09"/>
    <w:rsid w:val="001A4E0A"/>
    <w:rsid w:val="001A5CFA"/>
    <w:rsid w:val="001B21FA"/>
    <w:rsid w:val="001B4371"/>
    <w:rsid w:val="001B4669"/>
    <w:rsid w:val="001C2FCA"/>
    <w:rsid w:val="001C41EE"/>
    <w:rsid w:val="001C5EE2"/>
    <w:rsid w:val="001C7CC4"/>
    <w:rsid w:val="001D0A19"/>
    <w:rsid w:val="001D75A9"/>
    <w:rsid w:val="001D7F16"/>
    <w:rsid w:val="001E0A7A"/>
    <w:rsid w:val="001E0E97"/>
    <w:rsid w:val="001E2976"/>
    <w:rsid w:val="001E332C"/>
    <w:rsid w:val="001E4073"/>
    <w:rsid w:val="001F063A"/>
    <w:rsid w:val="001F1481"/>
    <w:rsid w:val="001F1A9C"/>
    <w:rsid w:val="001F3EDA"/>
    <w:rsid w:val="001F47F5"/>
    <w:rsid w:val="001F5DDF"/>
    <w:rsid w:val="001F715E"/>
    <w:rsid w:val="001F7FFA"/>
    <w:rsid w:val="00200671"/>
    <w:rsid w:val="00200B36"/>
    <w:rsid w:val="0020248D"/>
    <w:rsid w:val="002039C3"/>
    <w:rsid w:val="002050C5"/>
    <w:rsid w:val="00206788"/>
    <w:rsid w:val="002109A8"/>
    <w:rsid w:val="00223447"/>
    <w:rsid w:val="002254AC"/>
    <w:rsid w:val="00225B38"/>
    <w:rsid w:val="00230AC5"/>
    <w:rsid w:val="002448B4"/>
    <w:rsid w:val="0025099A"/>
    <w:rsid w:val="00250EAB"/>
    <w:rsid w:val="00260CB1"/>
    <w:rsid w:val="00260EB2"/>
    <w:rsid w:val="002617EB"/>
    <w:rsid w:val="002623CF"/>
    <w:rsid w:val="002637B9"/>
    <w:rsid w:val="00266DF9"/>
    <w:rsid w:val="002749FF"/>
    <w:rsid w:val="00275080"/>
    <w:rsid w:val="0027683F"/>
    <w:rsid w:val="00277973"/>
    <w:rsid w:val="00277EC1"/>
    <w:rsid w:val="00285006"/>
    <w:rsid w:val="00287889"/>
    <w:rsid w:val="00287C3C"/>
    <w:rsid w:val="0029034C"/>
    <w:rsid w:val="00290E92"/>
    <w:rsid w:val="0029625E"/>
    <w:rsid w:val="002A4C18"/>
    <w:rsid w:val="002A63C6"/>
    <w:rsid w:val="002A6970"/>
    <w:rsid w:val="002A6A93"/>
    <w:rsid w:val="002A6BB2"/>
    <w:rsid w:val="002B4D4B"/>
    <w:rsid w:val="002B57C3"/>
    <w:rsid w:val="002B6A7A"/>
    <w:rsid w:val="002B75B0"/>
    <w:rsid w:val="002C28D2"/>
    <w:rsid w:val="002C319B"/>
    <w:rsid w:val="002C3764"/>
    <w:rsid w:val="002C3F4D"/>
    <w:rsid w:val="002C5320"/>
    <w:rsid w:val="002D26D3"/>
    <w:rsid w:val="002D34CF"/>
    <w:rsid w:val="002D3B53"/>
    <w:rsid w:val="002D3F17"/>
    <w:rsid w:val="002D466B"/>
    <w:rsid w:val="002E0415"/>
    <w:rsid w:val="002E0C7A"/>
    <w:rsid w:val="002E21D6"/>
    <w:rsid w:val="002E4610"/>
    <w:rsid w:val="002E4D34"/>
    <w:rsid w:val="002E5FD5"/>
    <w:rsid w:val="002E6F8C"/>
    <w:rsid w:val="002F0F0B"/>
    <w:rsid w:val="002F4911"/>
    <w:rsid w:val="002F5033"/>
    <w:rsid w:val="003005AB"/>
    <w:rsid w:val="0030142D"/>
    <w:rsid w:val="00306A4B"/>
    <w:rsid w:val="00307548"/>
    <w:rsid w:val="0031420B"/>
    <w:rsid w:val="00315931"/>
    <w:rsid w:val="00321A4C"/>
    <w:rsid w:val="00322E97"/>
    <w:rsid w:val="00324BEE"/>
    <w:rsid w:val="00327D41"/>
    <w:rsid w:val="00330412"/>
    <w:rsid w:val="0033047B"/>
    <w:rsid w:val="00330965"/>
    <w:rsid w:val="003368C2"/>
    <w:rsid w:val="003404B5"/>
    <w:rsid w:val="00345FFA"/>
    <w:rsid w:val="00347A24"/>
    <w:rsid w:val="00350C15"/>
    <w:rsid w:val="00353B7B"/>
    <w:rsid w:val="00362A68"/>
    <w:rsid w:val="00364F07"/>
    <w:rsid w:val="00364F57"/>
    <w:rsid w:val="00366AA9"/>
    <w:rsid w:val="00371170"/>
    <w:rsid w:val="003723AD"/>
    <w:rsid w:val="00373AD8"/>
    <w:rsid w:val="0037455D"/>
    <w:rsid w:val="0038195B"/>
    <w:rsid w:val="00382FBE"/>
    <w:rsid w:val="0038429C"/>
    <w:rsid w:val="00384F67"/>
    <w:rsid w:val="00391189"/>
    <w:rsid w:val="003A25B9"/>
    <w:rsid w:val="003B1DE2"/>
    <w:rsid w:val="003B2B6B"/>
    <w:rsid w:val="003B4937"/>
    <w:rsid w:val="003C0221"/>
    <w:rsid w:val="003C0BE6"/>
    <w:rsid w:val="003C3361"/>
    <w:rsid w:val="003C4067"/>
    <w:rsid w:val="003C5EF4"/>
    <w:rsid w:val="003C691E"/>
    <w:rsid w:val="003D127D"/>
    <w:rsid w:val="003D49F8"/>
    <w:rsid w:val="003D5DCA"/>
    <w:rsid w:val="003D7732"/>
    <w:rsid w:val="003E5726"/>
    <w:rsid w:val="003F08C4"/>
    <w:rsid w:val="003F7CA9"/>
    <w:rsid w:val="004020DE"/>
    <w:rsid w:val="0040534A"/>
    <w:rsid w:val="004136BD"/>
    <w:rsid w:val="00424903"/>
    <w:rsid w:val="0042792F"/>
    <w:rsid w:val="0043075E"/>
    <w:rsid w:val="00430C0C"/>
    <w:rsid w:val="004344A2"/>
    <w:rsid w:val="00434571"/>
    <w:rsid w:val="00436952"/>
    <w:rsid w:val="00441A62"/>
    <w:rsid w:val="00446349"/>
    <w:rsid w:val="00446ABB"/>
    <w:rsid w:val="004477EC"/>
    <w:rsid w:val="00450715"/>
    <w:rsid w:val="004620D7"/>
    <w:rsid w:val="00466055"/>
    <w:rsid w:val="00466679"/>
    <w:rsid w:val="00470410"/>
    <w:rsid w:val="004708B0"/>
    <w:rsid w:val="00471116"/>
    <w:rsid w:val="00472E3D"/>
    <w:rsid w:val="00477BCB"/>
    <w:rsid w:val="00480A20"/>
    <w:rsid w:val="0048296F"/>
    <w:rsid w:val="0048467B"/>
    <w:rsid w:val="0048568A"/>
    <w:rsid w:val="004A5202"/>
    <w:rsid w:val="004A6F20"/>
    <w:rsid w:val="004B1804"/>
    <w:rsid w:val="004B2119"/>
    <w:rsid w:val="004C429D"/>
    <w:rsid w:val="004C657C"/>
    <w:rsid w:val="004C7B3B"/>
    <w:rsid w:val="004C7B55"/>
    <w:rsid w:val="004D3330"/>
    <w:rsid w:val="004D547A"/>
    <w:rsid w:val="004D5726"/>
    <w:rsid w:val="004D7C2C"/>
    <w:rsid w:val="004E3059"/>
    <w:rsid w:val="004E5478"/>
    <w:rsid w:val="004F0DB9"/>
    <w:rsid w:val="004F44C8"/>
    <w:rsid w:val="004F6530"/>
    <w:rsid w:val="004F6E0C"/>
    <w:rsid w:val="004F79B3"/>
    <w:rsid w:val="00505C2A"/>
    <w:rsid w:val="0050726E"/>
    <w:rsid w:val="00510F1F"/>
    <w:rsid w:val="00511538"/>
    <w:rsid w:val="00515A0F"/>
    <w:rsid w:val="00522406"/>
    <w:rsid w:val="005266C8"/>
    <w:rsid w:val="005269BE"/>
    <w:rsid w:val="00526BAA"/>
    <w:rsid w:val="00530BB9"/>
    <w:rsid w:val="00530E63"/>
    <w:rsid w:val="00531968"/>
    <w:rsid w:val="00531FB6"/>
    <w:rsid w:val="00537EFE"/>
    <w:rsid w:val="005402A4"/>
    <w:rsid w:val="00541687"/>
    <w:rsid w:val="00543685"/>
    <w:rsid w:val="0054510A"/>
    <w:rsid w:val="00546341"/>
    <w:rsid w:val="005472F2"/>
    <w:rsid w:val="00561621"/>
    <w:rsid w:val="00561FBF"/>
    <w:rsid w:val="00563C8B"/>
    <w:rsid w:val="00567965"/>
    <w:rsid w:val="005714CE"/>
    <w:rsid w:val="00571DCC"/>
    <w:rsid w:val="00576F92"/>
    <w:rsid w:val="00580D6B"/>
    <w:rsid w:val="005900BE"/>
    <w:rsid w:val="005910E6"/>
    <w:rsid w:val="00591819"/>
    <w:rsid w:val="005A2C5D"/>
    <w:rsid w:val="005B0045"/>
    <w:rsid w:val="005B062D"/>
    <w:rsid w:val="005B43EC"/>
    <w:rsid w:val="005B4808"/>
    <w:rsid w:val="005B4D24"/>
    <w:rsid w:val="005B4E6E"/>
    <w:rsid w:val="005B54F4"/>
    <w:rsid w:val="005B6BF2"/>
    <w:rsid w:val="005C5CCC"/>
    <w:rsid w:val="005D5D21"/>
    <w:rsid w:val="005E4816"/>
    <w:rsid w:val="005E67EA"/>
    <w:rsid w:val="005F7C45"/>
    <w:rsid w:val="00600EE4"/>
    <w:rsid w:val="00601135"/>
    <w:rsid w:val="00605C0F"/>
    <w:rsid w:val="00606440"/>
    <w:rsid w:val="00610E72"/>
    <w:rsid w:val="00614A4C"/>
    <w:rsid w:val="00614E2A"/>
    <w:rsid w:val="006157E3"/>
    <w:rsid w:val="00616F90"/>
    <w:rsid w:val="00620DA9"/>
    <w:rsid w:val="00622AEF"/>
    <w:rsid w:val="006235B1"/>
    <w:rsid w:val="00624F5E"/>
    <w:rsid w:val="006252C4"/>
    <w:rsid w:val="00626946"/>
    <w:rsid w:val="006303FB"/>
    <w:rsid w:val="006313B0"/>
    <w:rsid w:val="00636A21"/>
    <w:rsid w:val="006375DF"/>
    <w:rsid w:val="00637643"/>
    <w:rsid w:val="00641350"/>
    <w:rsid w:val="00651730"/>
    <w:rsid w:val="00656CDC"/>
    <w:rsid w:val="00661C3C"/>
    <w:rsid w:val="00662B93"/>
    <w:rsid w:val="006655D1"/>
    <w:rsid w:val="00667748"/>
    <w:rsid w:val="006752A1"/>
    <w:rsid w:val="00677983"/>
    <w:rsid w:val="00683185"/>
    <w:rsid w:val="00684B34"/>
    <w:rsid w:val="00685A92"/>
    <w:rsid w:val="00687764"/>
    <w:rsid w:val="00690B3F"/>
    <w:rsid w:val="00690E39"/>
    <w:rsid w:val="00691ADD"/>
    <w:rsid w:val="006925B7"/>
    <w:rsid w:val="006A3BF0"/>
    <w:rsid w:val="006A4D05"/>
    <w:rsid w:val="006B1A44"/>
    <w:rsid w:val="006C1AC1"/>
    <w:rsid w:val="006C33EE"/>
    <w:rsid w:val="006C3661"/>
    <w:rsid w:val="006C6AD3"/>
    <w:rsid w:val="006D204E"/>
    <w:rsid w:val="006D3B1F"/>
    <w:rsid w:val="006D56F5"/>
    <w:rsid w:val="006F7C7D"/>
    <w:rsid w:val="0070001A"/>
    <w:rsid w:val="00703F34"/>
    <w:rsid w:val="007106A5"/>
    <w:rsid w:val="007156A6"/>
    <w:rsid w:val="00724982"/>
    <w:rsid w:val="00726F5B"/>
    <w:rsid w:val="007270FE"/>
    <w:rsid w:val="007305B9"/>
    <w:rsid w:val="00730AC1"/>
    <w:rsid w:val="00731526"/>
    <w:rsid w:val="0073776E"/>
    <w:rsid w:val="007401E3"/>
    <w:rsid w:val="00745C0D"/>
    <w:rsid w:val="00753CED"/>
    <w:rsid w:val="007547F5"/>
    <w:rsid w:val="00755392"/>
    <w:rsid w:val="007554F3"/>
    <w:rsid w:val="007606B7"/>
    <w:rsid w:val="00762AB1"/>
    <w:rsid w:val="00765DB9"/>
    <w:rsid w:val="007676AC"/>
    <w:rsid w:val="00771242"/>
    <w:rsid w:val="00772A82"/>
    <w:rsid w:val="00774B5C"/>
    <w:rsid w:val="0077534C"/>
    <w:rsid w:val="00782F8C"/>
    <w:rsid w:val="0078329D"/>
    <w:rsid w:val="00784BD3"/>
    <w:rsid w:val="00786E8D"/>
    <w:rsid w:val="00786ECE"/>
    <w:rsid w:val="00790153"/>
    <w:rsid w:val="00795AD5"/>
    <w:rsid w:val="00796408"/>
    <w:rsid w:val="007A04E4"/>
    <w:rsid w:val="007A1625"/>
    <w:rsid w:val="007A4491"/>
    <w:rsid w:val="007A6B95"/>
    <w:rsid w:val="007A72EE"/>
    <w:rsid w:val="007B0F8D"/>
    <w:rsid w:val="007B1543"/>
    <w:rsid w:val="007B3823"/>
    <w:rsid w:val="007B6AC2"/>
    <w:rsid w:val="007C3129"/>
    <w:rsid w:val="007C4C77"/>
    <w:rsid w:val="007C4D7D"/>
    <w:rsid w:val="007C5F74"/>
    <w:rsid w:val="007C7B35"/>
    <w:rsid w:val="007C7EC0"/>
    <w:rsid w:val="007E4787"/>
    <w:rsid w:val="007F4F1D"/>
    <w:rsid w:val="007F5691"/>
    <w:rsid w:val="007F7215"/>
    <w:rsid w:val="007F7A59"/>
    <w:rsid w:val="007F7D3D"/>
    <w:rsid w:val="008026CD"/>
    <w:rsid w:val="00803BD9"/>
    <w:rsid w:val="0080442E"/>
    <w:rsid w:val="00804BEA"/>
    <w:rsid w:val="0080751A"/>
    <w:rsid w:val="00813DD9"/>
    <w:rsid w:val="00814295"/>
    <w:rsid w:val="00817A36"/>
    <w:rsid w:val="00821309"/>
    <w:rsid w:val="00822491"/>
    <w:rsid w:val="00824D91"/>
    <w:rsid w:val="00825EDD"/>
    <w:rsid w:val="0082704D"/>
    <w:rsid w:val="0083326B"/>
    <w:rsid w:val="00835F64"/>
    <w:rsid w:val="00846AE9"/>
    <w:rsid w:val="00851D6A"/>
    <w:rsid w:val="00860F60"/>
    <w:rsid w:val="00861B64"/>
    <w:rsid w:val="008626EF"/>
    <w:rsid w:val="00862B81"/>
    <w:rsid w:val="0086581C"/>
    <w:rsid w:val="00867289"/>
    <w:rsid w:val="00871273"/>
    <w:rsid w:val="00883476"/>
    <w:rsid w:val="008836C0"/>
    <w:rsid w:val="008854D4"/>
    <w:rsid w:val="0088731B"/>
    <w:rsid w:val="0089593F"/>
    <w:rsid w:val="008A11A9"/>
    <w:rsid w:val="008A154C"/>
    <w:rsid w:val="008A4355"/>
    <w:rsid w:val="008B23F3"/>
    <w:rsid w:val="008B2557"/>
    <w:rsid w:val="008B7C4D"/>
    <w:rsid w:val="008C0107"/>
    <w:rsid w:val="008C4F90"/>
    <w:rsid w:val="008C6B4F"/>
    <w:rsid w:val="008C7973"/>
    <w:rsid w:val="008D2FD3"/>
    <w:rsid w:val="008D7248"/>
    <w:rsid w:val="008E64E8"/>
    <w:rsid w:val="008E651F"/>
    <w:rsid w:val="008F089D"/>
    <w:rsid w:val="008F143F"/>
    <w:rsid w:val="008F3C51"/>
    <w:rsid w:val="0090048A"/>
    <w:rsid w:val="009055B9"/>
    <w:rsid w:val="00907ACF"/>
    <w:rsid w:val="0092014D"/>
    <w:rsid w:val="0092616D"/>
    <w:rsid w:val="00937D9C"/>
    <w:rsid w:val="00937DE5"/>
    <w:rsid w:val="009461C8"/>
    <w:rsid w:val="00946A9D"/>
    <w:rsid w:val="00947D64"/>
    <w:rsid w:val="00961E21"/>
    <w:rsid w:val="00964AD6"/>
    <w:rsid w:val="00972AB4"/>
    <w:rsid w:val="009737D8"/>
    <w:rsid w:val="00973965"/>
    <w:rsid w:val="00974D18"/>
    <w:rsid w:val="00975899"/>
    <w:rsid w:val="00976339"/>
    <w:rsid w:val="009809B9"/>
    <w:rsid w:val="00984A04"/>
    <w:rsid w:val="009872BE"/>
    <w:rsid w:val="00993BEE"/>
    <w:rsid w:val="00994653"/>
    <w:rsid w:val="00996926"/>
    <w:rsid w:val="00997109"/>
    <w:rsid w:val="009A21FE"/>
    <w:rsid w:val="009A27BC"/>
    <w:rsid w:val="009A3194"/>
    <w:rsid w:val="009A3726"/>
    <w:rsid w:val="009A42E6"/>
    <w:rsid w:val="009A6D2D"/>
    <w:rsid w:val="009B579B"/>
    <w:rsid w:val="009B64EF"/>
    <w:rsid w:val="009B6BFC"/>
    <w:rsid w:val="009B7DA0"/>
    <w:rsid w:val="009C11CD"/>
    <w:rsid w:val="009D45A0"/>
    <w:rsid w:val="009E10B0"/>
    <w:rsid w:val="009E441E"/>
    <w:rsid w:val="009E55F4"/>
    <w:rsid w:val="009E582C"/>
    <w:rsid w:val="009E6D06"/>
    <w:rsid w:val="009F1947"/>
    <w:rsid w:val="00A11974"/>
    <w:rsid w:val="00A205F8"/>
    <w:rsid w:val="00A227C5"/>
    <w:rsid w:val="00A228DA"/>
    <w:rsid w:val="00A260A4"/>
    <w:rsid w:val="00A26CD0"/>
    <w:rsid w:val="00A30D26"/>
    <w:rsid w:val="00A46982"/>
    <w:rsid w:val="00A53772"/>
    <w:rsid w:val="00A558E0"/>
    <w:rsid w:val="00A65106"/>
    <w:rsid w:val="00A66E23"/>
    <w:rsid w:val="00A70312"/>
    <w:rsid w:val="00A7305A"/>
    <w:rsid w:val="00A74C55"/>
    <w:rsid w:val="00A77D7C"/>
    <w:rsid w:val="00A80B69"/>
    <w:rsid w:val="00A9021B"/>
    <w:rsid w:val="00A94150"/>
    <w:rsid w:val="00A946F1"/>
    <w:rsid w:val="00A97782"/>
    <w:rsid w:val="00AA2688"/>
    <w:rsid w:val="00AA5583"/>
    <w:rsid w:val="00AA6E8A"/>
    <w:rsid w:val="00AB3784"/>
    <w:rsid w:val="00AB469B"/>
    <w:rsid w:val="00AB4D01"/>
    <w:rsid w:val="00AB5243"/>
    <w:rsid w:val="00AC4255"/>
    <w:rsid w:val="00AC6EF4"/>
    <w:rsid w:val="00AD40EB"/>
    <w:rsid w:val="00AD4C80"/>
    <w:rsid w:val="00AD5B25"/>
    <w:rsid w:val="00AE01E6"/>
    <w:rsid w:val="00AE3828"/>
    <w:rsid w:val="00AE4D75"/>
    <w:rsid w:val="00AE5DE5"/>
    <w:rsid w:val="00AE6F9C"/>
    <w:rsid w:val="00AE75B9"/>
    <w:rsid w:val="00AE7A08"/>
    <w:rsid w:val="00AF05AB"/>
    <w:rsid w:val="00AF2763"/>
    <w:rsid w:val="00AF35A9"/>
    <w:rsid w:val="00AF37BE"/>
    <w:rsid w:val="00AF615E"/>
    <w:rsid w:val="00AF77FE"/>
    <w:rsid w:val="00B01B0A"/>
    <w:rsid w:val="00B05EAE"/>
    <w:rsid w:val="00B06CB4"/>
    <w:rsid w:val="00B17B5C"/>
    <w:rsid w:val="00B25D9C"/>
    <w:rsid w:val="00B265AA"/>
    <w:rsid w:val="00B30A5F"/>
    <w:rsid w:val="00B36B1B"/>
    <w:rsid w:val="00B44902"/>
    <w:rsid w:val="00B46C99"/>
    <w:rsid w:val="00B50C74"/>
    <w:rsid w:val="00B54451"/>
    <w:rsid w:val="00B60315"/>
    <w:rsid w:val="00B62578"/>
    <w:rsid w:val="00B63CBE"/>
    <w:rsid w:val="00B7091B"/>
    <w:rsid w:val="00B76827"/>
    <w:rsid w:val="00B80665"/>
    <w:rsid w:val="00B81D9C"/>
    <w:rsid w:val="00B820CB"/>
    <w:rsid w:val="00B865CF"/>
    <w:rsid w:val="00B86856"/>
    <w:rsid w:val="00B86BBB"/>
    <w:rsid w:val="00B93D91"/>
    <w:rsid w:val="00B95DB0"/>
    <w:rsid w:val="00B96E23"/>
    <w:rsid w:val="00BA2C50"/>
    <w:rsid w:val="00BA388A"/>
    <w:rsid w:val="00BA6F70"/>
    <w:rsid w:val="00BB02C2"/>
    <w:rsid w:val="00BB0A8C"/>
    <w:rsid w:val="00BB1396"/>
    <w:rsid w:val="00BB3E92"/>
    <w:rsid w:val="00BB4489"/>
    <w:rsid w:val="00BC0683"/>
    <w:rsid w:val="00BC287F"/>
    <w:rsid w:val="00BC3E69"/>
    <w:rsid w:val="00BC4BA1"/>
    <w:rsid w:val="00BC5533"/>
    <w:rsid w:val="00BD558E"/>
    <w:rsid w:val="00BD77E0"/>
    <w:rsid w:val="00BD7977"/>
    <w:rsid w:val="00BE0D03"/>
    <w:rsid w:val="00BE1051"/>
    <w:rsid w:val="00BE117C"/>
    <w:rsid w:val="00BE4878"/>
    <w:rsid w:val="00BE4AF8"/>
    <w:rsid w:val="00BE6D99"/>
    <w:rsid w:val="00BF069D"/>
    <w:rsid w:val="00BF63C2"/>
    <w:rsid w:val="00BF6BC2"/>
    <w:rsid w:val="00BF7366"/>
    <w:rsid w:val="00BF7DAA"/>
    <w:rsid w:val="00C005CF"/>
    <w:rsid w:val="00C02EC5"/>
    <w:rsid w:val="00C05D02"/>
    <w:rsid w:val="00C061A1"/>
    <w:rsid w:val="00C06D8B"/>
    <w:rsid w:val="00C12151"/>
    <w:rsid w:val="00C122BB"/>
    <w:rsid w:val="00C13B2E"/>
    <w:rsid w:val="00C15050"/>
    <w:rsid w:val="00C16EF6"/>
    <w:rsid w:val="00C21DD8"/>
    <w:rsid w:val="00C22B65"/>
    <w:rsid w:val="00C25CDD"/>
    <w:rsid w:val="00C271AC"/>
    <w:rsid w:val="00C31268"/>
    <w:rsid w:val="00C32927"/>
    <w:rsid w:val="00C34BB6"/>
    <w:rsid w:val="00C35795"/>
    <w:rsid w:val="00C435FE"/>
    <w:rsid w:val="00C443F9"/>
    <w:rsid w:val="00C450DE"/>
    <w:rsid w:val="00C45B34"/>
    <w:rsid w:val="00C4677F"/>
    <w:rsid w:val="00C53C15"/>
    <w:rsid w:val="00C56E6E"/>
    <w:rsid w:val="00C57BA7"/>
    <w:rsid w:val="00C57DBC"/>
    <w:rsid w:val="00C603A3"/>
    <w:rsid w:val="00C630E9"/>
    <w:rsid w:val="00C7360C"/>
    <w:rsid w:val="00C73944"/>
    <w:rsid w:val="00C86252"/>
    <w:rsid w:val="00C94BD8"/>
    <w:rsid w:val="00C95CC0"/>
    <w:rsid w:val="00C96E4F"/>
    <w:rsid w:val="00C96E8E"/>
    <w:rsid w:val="00CA1019"/>
    <w:rsid w:val="00CA34F0"/>
    <w:rsid w:val="00CB206D"/>
    <w:rsid w:val="00CB7B3A"/>
    <w:rsid w:val="00CC0988"/>
    <w:rsid w:val="00CC09F0"/>
    <w:rsid w:val="00CC2E4C"/>
    <w:rsid w:val="00CC307F"/>
    <w:rsid w:val="00CC39B7"/>
    <w:rsid w:val="00CC6024"/>
    <w:rsid w:val="00CC6659"/>
    <w:rsid w:val="00CD1617"/>
    <w:rsid w:val="00CD3E0E"/>
    <w:rsid w:val="00CD4F76"/>
    <w:rsid w:val="00CE3771"/>
    <w:rsid w:val="00CE4719"/>
    <w:rsid w:val="00CE7F50"/>
    <w:rsid w:val="00D00582"/>
    <w:rsid w:val="00D11409"/>
    <w:rsid w:val="00D133E0"/>
    <w:rsid w:val="00D13501"/>
    <w:rsid w:val="00D13E77"/>
    <w:rsid w:val="00D17EFA"/>
    <w:rsid w:val="00D20E78"/>
    <w:rsid w:val="00D22EB7"/>
    <w:rsid w:val="00D254D3"/>
    <w:rsid w:val="00D32674"/>
    <w:rsid w:val="00D36B27"/>
    <w:rsid w:val="00D3717B"/>
    <w:rsid w:val="00D419E0"/>
    <w:rsid w:val="00D50291"/>
    <w:rsid w:val="00D51377"/>
    <w:rsid w:val="00D5382B"/>
    <w:rsid w:val="00D53D82"/>
    <w:rsid w:val="00D54BE0"/>
    <w:rsid w:val="00D560A1"/>
    <w:rsid w:val="00D61125"/>
    <w:rsid w:val="00D62D2E"/>
    <w:rsid w:val="00D63C06"/>
    <w:rsid w:val="00D648D9"/>
    <w:rsid w:val="00D664E5"/>
    <w:rsid w:val="00D71245"/>
    <w:rsid w:val="00D7263A"/>
    <w:rsid w:val="00D728E6"/>
    <w:rsid w:val="00D73040"/>
    <w:rsid w:val="00D76B98"/>
    <w:rsid w:val="00D85D2B"/>
    <w:rsid w:val="00D87647"/>
    <w:rsid w:val="00D935BF"/>
    <w:rsid w:val="00D94418"/>
    <w:rsid w:val="00D94448"/>
    <w:rsid w:val="00D96742"/>
    <w:rsid w:val="00D96F2E"/>
    <w:rsid w:val="00DA1AE7"/>
    <w:rsid w:val="00DB1D57"/>
    <w:rsid w:val="00DB7E57"/>
    <w:rsid w:val="00DC59F0"/>
    <w:rsid w:val="00DC74FB"/>
    <w:rsid w:val="00DD2A1C"/>
    <w:rsid w:val="00DD64D8"/>
    <w:rsid w:val="00DD6900"/>
    <w:rsid w:val="00DD738E"/>
    <w:rsid w:val="00DD7EA1"/>
    <w:rsid w:val="00DE27C8"/>
    <w:rsid w:val="00DE7BBB"/>
    <w:rsid w:val="00DF34EE"/>
    <w:rsid w:val="00DF452D"/>
    <w:rsid w:val="00DF6E8D"/>
    <w:rsid w:val="00E005FA"/>
    <w:rsid w:val="00E0452F"/>
    <w:rsid w:val="00E1139B"/>
    <w:rsid w:val="00E137F7"/>
    <w:rsid w:val="00E14A1C"/>
    <w:rsid w:val="00E15221"/>
    <w:rsid w:val="00E154FA"/>
    <w:rsid w:val="00E17118"/>
    <w:rsid w:val="00E22EA8"/>
    <w:rsid w:val="00E24693"/>
    <w:rsid w:val="00E24FCE"/>
    <w:rsid w:val="00E30F07"/>
    <w:rsid w:val="00E3174E"/>
    <w:rsid w:val="00E36136"/>
    <w:rsid w:val="00E40B32"/>
    <w:rsid w:val="00E413CF"/>
    <w:rsid w:val="00E459F6"/>
    <w:rsid w:val="00E45CEE"/>
    <w:rsid w:val="00E472DD"/>
    <w:rsid w:val="00E47E34"/>
    <w:rsid w:val="00E50983"/>
    <w:rsid w:val="00E50C33"/>
    <w:rsid w:val="00E52445"/>
    <w:rsid w:val="00E54903"/>
    <w:rsid w:val="00E55335"/>
    <w:rsid w:val="00E61858"/>
    <w:rsid w:val="00E637E1"/>
    <w:rsid w:val="00E63C2C"/>
    <w:rsid w:val="00E66A5C"/>
    <w:rsid w:val="00E7362D"/>
    <w:rsid w:val="00E73FA8"/>
    <w:rsid w:val="00E74C5D"/>
    <w:rsid w:val="00E8200F"/>
    <w:rsid w:val="00E866F3"/>
    <w:rsid w:val="00EA5646"/>
    <w:rsid w:val="00EA766A"/>
    <w:rsid w:val="00EA7F7D"/>
    <w:rsid w:val="00EC2D53"/>
    <w:rsid w:val="00ED1E01"/>
    <w:rsid w:val="00ED3884"/>
    <w:rsid w:val="00ED7E71"/>
    <w:rsid w:val="00EE0B50"/>
    <w:rsid w:val="00EE685E"/>
    <w:rsid w:val="00EF25EF"/>
    <w:rsid w:val="00EF5D43"/>
    <w:rsid w:val="00EF7BDC"/>
    <w:rsid w:val="00F044C2"/>
    <w:rsid w:val="00F06456"/>
    <w:rsid w:val="00F15BF1"/>
    <w:rsid w:val="00F2328F"/>
    <w:rsid w:val="00F23423"/>
    <w:rsid w:val="00F24BF4"/>
    <w:rsid w:val="00F25C25"/>
    <w:rsid w:val="00F2786A"/>
    <w:rsid w:val="00F32059"/>
    <w:rsid w:val="00F32FCA"/>
    <w:rsid w:val="00F33005"/>
    <w:rsid w:val="00F37839"/>
    <w:rsid w:val="00F40C1B"/>
    <w:rsid w:val="00F40D2C"/>
    <w:rsid w:val="00F42935"/>
    <w:rsid w:val="00F44896"/>
    <w:rsid w:val="00F601E1"/>
    <w:rsid w:val="00F60F74"/>
    <w:rsid w:val="00F64C87"/>
    <w:rsid w:val="00F65079"/>
    <w:rsid w:val="00F66660"/>
    <w:rsid w:val="00F676F5"/>
    <w:rsid w:val="00F70F4E"/>
    <w:rsid w:val="00F7103A"/>
    <w:rsid w:val="00F73126"/>
    <w:rsid w:val="00F8193B"/>
    <w:rsid w:val="00F832D2"/>
    <w:rsid w:val="00F83554"/>
    <w:rsid w:val="00F953A6"/>
    <w:rsid w:val="00F95DBC"/>
    <w:rsid w:val="00F95E30"/>
    <w:rsid w:val="00FA073F"/>
    <w:rsid w:val="00FA2314"/>
    <w:rsid w:val="00FA4598"/>
    <w:rsid w:val="00FA6FE3"/>
    <w:rsid w:val="00FB346D"/>
    <w:rsid w:val="00FB4788"/>
    <w:rsid w:val="00FB56FB"/>
    <w:rsid w:val="00FC2830"/>
    <w:rsid w:val="00FC42AA"/>
    <w:rsid w:val="00FC4DAA"/>
    <w:rsid w:val="00FC7E7F"/>
    <w:rsid w:val="00FD1742"/>
    <w:rsid w:val="00FD26BF"/>
    <w:rsid w:val="00FE27BA"/>
    <w:rsid w:val="00FE3F4E"/>
    <w:rsid w:val="00FE414F"/>
    <w:rsid w:val="00FF00F9"/>
    <w:rsid w:val="00FF2457"/>
    <w:rsid w:val="00FF6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501506"/>
  <w15:chartTrackingRefBased/>
  <w15:docId w15:val="{A23510C6-F2BC-4172-B33C-CDD3C32E1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Calibri" w:hAnsi="Franklin Gothic Book" w:cs="Times New Roman"/>
        <w:color w:val="322738" w:themeColor="text2"/>
        <w:sz w:val="22"/>
        <w:szCs w:val="22"/>
        <w:lang w:val="en-NZ"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2C3F4D"/>
    <w:pPr>
      <w:spacing w:after="200" w:line="276" w:lineRule="auto"/>
    </w:pPr>
    <w:rPr>
      <w:rFonts w:ascii="Calibri" w:hAnsi="Calibri"/>
      <w:color w:val="auto"/>
      <w:lang w:eastAsia="en-US"/>
    </w:rPr>
  </w:style>
  <w:style w:type="paragraph" w:styleId="Heading1">
    <w:name w:val="heading 1"/>
    <w:basedOn w:val="Normal"/>
    <w:next w:val="Normal"/>
    <w:link w:val="Heading1Char"/>
    <w:uiPriority w:val="9"/>
    <w:qFormat/>
    <w:rsid w:val="007F7D3D"/>
    <w:pPr>
      <w:keepNext/>
      <w:adjustRightInd w:val="0"/>
      <w:snapToGrid w:val="0"/>
      <w:spacing w:after="240" w:line="240" w:lineRule="auto"/>
      <w:outlineLvl w:val="0"/>
    </w:pPr>
    <w:rPr>
      <w:rFonts w:ascii="Franklin Gothic Demi" w:hAnsi="Franklin Gothic Demi"/>
      <w:bCs/>
      <w:color w:val="322738" w:themeColor="text2"/>
      <w:sz w:val="36"/>
      <w:szCs w:val="32"/>
      <w:lang w:eastAsia="en-GB"/>
    </w:rPr>
  </w:style>
  <w:style w:type="paragraph" w:styleId="Heading2">
    <w:name w:val="heading 2"/>
    <w:basedOn w:val="Normal"/>
    <w:next w:val="Normal"/>
    <w:link w:val="Heading2Char"/>
    <w:uiPriority w:val="9"/>
    <w:unhideWhenUsed/>
    <w:qFormat/>
    <w:rsid w:val="007F7D3D"/>
    <w:pPr>
      <w:keepNext/>
      <w:adjustRightInd w:val="0"/>
      <w:snapToGrid w:val="0"/>
      <w:spacing w:after="240" w:line="240" w:lineRule="auto"/>
      <w:outlineLvl w:val="1"/>
    </w:pPr>
    <w:rPr>
      <w:rFonts w:ascii="Franklin Gothic Demi" w:hAnsi="Franklin Gothic Demi"/>
      <w:bCs/>
      <w:color w:val="322738" w:themeColor="text2"/>
      <w:sz w:val="28"/>
      <w:lang w:eastAsia="en-GB"/>
    </w:rPr>
  </w:style>
  <w:style w:type="paragraph" w:styleId="Heading3">
    <w:name w:val="heading 3"/>
    <w:basedOn w:val="Normal"/>
    <w:next w:val="Normal"/>
    <w:link w:val="Heading3Char"/>
    <w:uiPriority w:val="9"/>
    <w:unhideWhenUsed/>
    <w:qFormat/>
    <w:rsid w:val="007F7D3D"/>
    <w:pPr>
      <w:keepNext/>
      <w:numPr>
        <w:numId w:val="28"/>
      </w:numPr>
      <w:adjustRightInd w:val="0"/>
      <w:snapToGrid w:val="0"/>
      <w:spacing w:after="240" w:line="240" w:lineRule="auto"/>
      <w:outlineLvl w:val="2"/>
    </w:pPr>
    <w:rPr>
      <w:rFonts w:ascii="Franklin Gothic Demi" w:hAnsi="Franklin Gothic Demi"/>
      <w:color w:val="5FC6CB"/>
      <w:sz w:val="28"/>
      <w:lang w:eastAsia="en-GB"/>
    </w:rPr>
  </w:style>
  <w:style w:type="paragraph" w:styleId="Heading4">
    <w:name w:val="heading 4"/>
    <w:basedOn w:val="Normal"/>
    <w:next w:val="Normal"/>
    <w:link w:val="Heading4Char"/>
    <w:qFormat/>
    <w:rsid w:val="007F7D3D"/>
    <w:pPr>
      <w:keepNext/>
      <w:adjustRightInd w:val="0"/>
      <w:snapToGrid w:val="0"/>
      <w:spacing w:after="240" w:line="240" w:lineRule="atLeast"/>
      <w:jc w:val="both"/>
      <w:outlineLvl w:val="3"/>
    </w:pPr>
    <w:rPr>
      <w:rFonts w:ascii="Franklin Gothic Book" w:hAnsi="Franklin Gothic Book"/>
      <w:bCs/>
      <w:i/>
      <w:iCs/>
      <w:color w:val="322738" w:themeColor="text2"/>
      <w:lang w:eastAsia="en-GB"/>
    </w:rPr>
  </w:style>
  <w:style w:type="paragraph" w:styleId="Heading5">
    <w:name w:val="heading 5"/>
    <w:basedOn w:val="Heading4"/>
    <w:next w:val="Normal"/>
    <w:rsid w:val="007F7D3D"/>
    <w:pPr>
      <w:outlineLvl w:val="4"/>
    </w:pPr>
    <w:rPr>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qFormat/>
    <w:rsid w:val="002617EB"/>
    <w:pPr>
      <w:numPr>
        <w:numId w:val="25"/>
      </w:numPr>
      <w:adjustRightInd w:val="0"/>
      <w:snapToGrid w:val="0"/>
      <w:spacing w:after="0" w:line="240" w:lineRule="auto"/>
    </w:pPr>
    <w:rPr>
      <w:rFonts w:ascii="Franklin Gothic Book" w:hAnsi="Franklin Gothic Book"/>
      <w:color w:val="322738" w:themeColor="text2"/>
      <w:lang w:val="en-AU" w:eastAsia="en-GB"/>
    </w:rPr>
  </w:style>
  <w:style w:type="paragraph" w:styleId="Footer">
    <w:name w:val="footer"/>
    <w:basedOn w:val="Normal"/>
    <w:link w:val="FooterChar"/>
    <w:uiPriority w:val="99"/>
    <w:unhideWhenUsed/>
    <w:qFormat/>
    <w:rsid w:val="002617EB"/>
    <w:pPr>
      <w:tabs>
        <w:tab w:val="center" w:pos="4452"/>
        <w:tab w:val="right" w:pos="8900"/>
      </w:tabs>
      <w:spacing w:after="0" w:line="240" w:lineRule="auto"/>
    </w:pPr>
    <w:rPr>
      <w:rFonts w:ascii="Franklin Gothic Book" w:hAnsi="Franklin Gothic Book"/>
      <w:color w:val="322738" w:themeColor="text2"/>
      <w:sz w:val="18"/>
      <w:szCs w:val="18"/>
      <w:lang w:eastAsia="en-GB"/>
    </w:rPr>
  </w:style>
  <w:style w:type="character" w:customStyle="1" w:styleId="FooterChar">
    <w:name w:val="Footer Char"/>
    <w:link w:val="Footer"/>
    <w:uiPriority w:val="99"/>
    <w:rsid w:val="002617EB"/>
    <w:rPr>
      <w:color w:val="000000"/>
      <w:sz w:val="18"/>
      <w:szCs w:val="18"/>
      <w:lang w:val="en-US" w:eastAsia="en-US"/>
    </w:rPr>
  </w:style>
  <w:style w:type="character" w:styleId="FootnoteReference">
    <w:name w:val="footnote reference"/>
    <w:uiPriority w:val="99"/>
    <w:rsid w:val="002617EB"/>
    <w:rPr>
      <w:vertAlign w:val="superscript"/>
      <w:lang w:val="en-AU"/>
    </w:rPr>
  </w:style>
  <w:style w:type="paragraph" w:styleId="FootnoteText">
    <w:name w:val="footnote text"/>
    <w:basedOn w:val="Normal"/>
    <w:link w:val="FootnoteTextChar"/>
    <w:uiPriority w:val="99"/>
    <w:rsid w:val="002617EB"/>
    <w:pPr>
      <w:tabs>
        <w:tab w:val="left" w:pos="284"/>
      </w:tabs>
      <w:spacing w:after="0" w:line="240" w:lineRule="auto"/>
      <w:ind w:left="284" w:hanging="284"/>
      <w:jc w:val="both"/>
    </w:pPr>
    <w:rPr>
      <w:rFonts w:ascii="Franklin Gothic Book" w:hAnsi="Franklin Gothic Book"/>
      <w:color w:val="322738" w:themeColor="text2"/>
      <w:sz w:val="18"/>
      <w:lang w:eastAsia="en-GB"/>
    </w:rPr>
  </w:style>
  <w:style w:type="character" w:customStyle="1" w:styleId="FootnoteTextChar">
    <w:name w:val="Footnote Text Char"/>
    <w:link w:val="FootnoteText"/>
    <w:uiPriority w:val="99"/>
    <w:rsid w:val="002617EB"/>
    <w:rPr>
      <w:color w:val="000000"/>
      <w:sz w:val="18"/>
      <w:szCs w:val="22"/>
      <w:lang w:val="en-US" w:eastAsia="en-US"/>
    </w:rPr>
  </w:style>
  <w:style w:type="paragraph" w:styleId="Header">
    <w:name w:val="header"/>
    <w:basedOn w:val="Normal"/>
    <w:link w:val="HeaderChar"/>
    <w:uiPriority w:val="99"/>
    <w:unhideWhenUsed/>
    <w:qFormat/>
    <w:rsid w:val="002617EB"/>
    <w:pPr>
      <w:tabs>
        <w:tab w:val="center" w:pos="4320"/>
        <w:tab w:val="right" w:pos="8640"/>
      </w:tabs>
      <w:spacing w:after="0" w:line="240" w:lineRule="auto"/>
    </w:pPr>
    <w:rPr>
      <w:rFonts w:ascii="Franklin Gothic Book" w:hAnsi="Franklin Gothic Book"/>
      <w:color w:val="322738" w:themeColor="text2"/>
      <w:lang w:eastAsia="en-GB"/>
    </w:rPr>
  </w:style>
  <w:style w:type="character" w:customStyle="1" w:styleId="HeaderChar">
    <w:name w:val="Header Char"/>
    <w:link w:val="Header"/>
    <w:uiPriority w:val="99"/>
    <w:rsid w:val="002617EB"/>
    <w:rPr>
      <w:color w:val="000000"/>
      <w:sz w:val="22"/>
      <w:szCs w:val="22"/>
      <w:lang w:val="en-US" w:eastAsia="en-US"/>
    </w:rPr>
  </w:style>
  <w:style w:type="character" w:customStyle="1" w:styleId="Heading3Char">
    <w:name w:val="Heading 3 Char"/>
    <w:link w:val="Heading3"/>
    <w:uiPriority w:val="9"/>
    <w:rsid w:val="007F7D3D"/>
    <w:rPr>
      <w:rFonts w:ascii="Franklin Gothic Demi" w:hAnsi="Franklin Gothic Demi"/>
      <w:color w:val="5FC6CB"/>
      <w:sz w:val="28"/>
    </w:rPr>
  </w:style>
  <w:style w:type="character" w:styleId="Hyperlink">
    <w:name w:val="Hyperlink"/>
    <w:uiPriority w:val="99"/>
    <w:rsid w:val="002617EB"/>
    <w:rPr>
      <w:color w:val="0000FF"/>
      <w:u w:val="single"/>
    </w:rPr>
  </w:style>
  <w:style w:type="paragraph" w:customStyle="1" w:styleId="NumberedParas">
    <w:name w:val="Numbered Paras"/>
    <w:basedOn w:val="Normal"/>
    <w:qFormat/>
    <w:rsid w:val="002617EB"/>
    <w:pPr>
      <w:numPr>
        <w:numId w:val="27"/>
      </w:numPr>
      <w:adjustRightInd w:val="0"/>
      <w:snapToGrid w:val="0"/>
      <w:spacing w:after="0" w:line="240" w:lineRule="auto"/>
    </w:pPr>
    <w:rPr>
      <w:rFonts w:ascii="Franklin Gothic Book" w:hAnsi="Franklin Gothic Book"/>
      <w:color w:val="322738" w:themeColor="text2"/>
      <w:lang w:eastAsia="en-GB"/>
    </w:rPr>
  </w:style>
  <w:style w:type="paragraph" w:styleId="TOC1">
    <w:name w:val="toc 1"/>
    <w:basedOn w:val="Normal"/>
    <w:next w:val="Normal"/>
    <w:autoRedefine/>
    <w:uiPriority w:val="39"/>
    <w:qFormat/>
    <w:rsid w:val="00BF6BC2"/>
    <w:pPr>
      <w:tabs>
        <w:tab w:val="right" w:leader="dot" w:pos="9639"/>
      </w:tabs>
      <w:spacing w:after="120" w:line="240" w:lineRule="auto"/>
      <w:ind w:right="709"/>
    </w:pPr>
    <w:rPr>
      <w:rFonts w:ascii="Franklin Gothic Book" w:hAnsi="Franklin Gothic Book"/>
      <w:b/>
      <w:noProof/>
      <w:color w:val="322738" w:themeColor="text2"/>
      <w:lang w:eastAsia="en-GB"/>
    </w:rPr>
  </w:style>
  <w:style w:type="paragraph" w:styleId="TOC2">
    <w:name w:val="toc 2"/>
    <w:basedOn w:val="Normal"/>
    <w:next w:val="Normal"/>
    <w:autoRedefine/>
    <w:uiPriority w:val="39"/>
    <w:qFormat/>
    <w:rsid w:val="00BF6BC2"/>
    <w:pPr>
      <w:tabs>
        <w:tab w:val="right" w:leader="dot" w:pos="9639"/>
      </w:tabs>
      <w:spacing w:after="120" w:line="240" w:lineRule="auto"/>
      <w:ind w:left="357" w:right="709"/>
    </w:pPr>
    <w:rPr>
      <w:rFonts w:ascii="Franklin Gothic Book" w:hAnsi="Franklin Gothic Book"/>
      <w:noProof/>
      <w:color w:val="322738" w:themeColor="text2"/>
      <w:lang w:eastAsia="en-GB"/>
    </w:rPr>
  </w:style>
  <w:style w:type="character" w:customStyle="1" w:styleId="Heading1Char">
    <w:name w:val="Heading 1 Char"/>
    <w:link w:val="Heading1"/>
    <w:uiPriority w:val="9"/>
    <w:rsid w:val="007F7D3D"/>
    <w:rPr>
      <w:rFonts w:ascii="Franklin Gothic Demi" w:hAnsi="Franklin Gothic Demi"/>
      <w:bCs/>
      <w:sz w:val="36"/>
      <w:szCs w:val="32"/>
    </w:rPr>
  </w:style>
  <w:style w:type="character" w:customStyle="1" w:styleId="Heading2Char">
    <w:name w:val="Heading 2 Char"/>
    <w:link w:val="Heading2"/>
    <w:uiPriority w:val="9"/>
    <w:rsid w:val="007F7D3D"/>
    <w:rPr>
      <w:rFonts w:ascii="Franklin Gothic Demi" w:hAnsi="Franklin Gothic Demi"/>
      <w:bCs/>
      <w:sz w:val="28"/>
    </w:rPr>
  </w:style>
  <w:style w:type="paragraph" w:styleId="TOC3">
    <w:name w:val="toc 3"/>
    <w:basedOn w:val="Normal"/>
    <w:next w:val="Normal"/>
    <w:autoRedefine/>
    <w:uiPriority w:val="39"/>
    <w:qFormat/>
    <w:rsid w:val="00BF6BC2"/>
    <w:pPr>
      <w:tabs>
        <w:tab w:val="left" w:pos="1134"/>
        <w:tab w:val="right" w:leader="dot" w:pos="9639"/>
      </w:tabs>
      <w:spacing w:after="0" w:line="240" w:lineRule="auto"/>
      <w:ind w:left="720" w:right="709"/>
    </w:pPr>
    <w:rPr>
      <w:rFonts w:ascii="Franklin Gothic Book" w:hAnsi="Franklin Gothic Book"/>
      <w:i/>
      <w:noProof/>
      <w:color w:val="322738" w:themeColor="text2"/>
      <w:lang w:eastAsia="en-GB"/>
    </w:rPr>
  </w:style>
  <w:style w:type="paragraph" w:styleId="BodyText">
    <w:name w:val="Body Text"/>
    <w:basedOn w:val="Normal"/>
    <w:link w:val="BodyTextChar"/>
    <w:unhideWhenUsed/>
    <w:qFormat/>
    <w:rsid w:val="00C13B2E"/>
    <w:pPr>
      <w:spacing w:after="0" w:line="240" w:lineRule="auto"/>
    </w:pPr>
    <w:rPr>
      <w:rFonts w:ascii="Franklin Gothic Book" w:hAnsi="Franklin Gothic Book"/>
      <w:color w:val="322738" w:themeColor="text2"/>
      <w:lang w:eastAsia="en-GB"/>
    </w:rPr>
  </w:style>
  <w:style w:type="character" w:customStyle="1" w:styleId="BodyTextChar">
    <w:name w:val="Body Text Char"/>
    <w:link w:val="BodyText"/>
    <w:rsid w:val="00C13B2E"/>
    <w:rPr>
      <w:lang w:val="en-NZ"/>
    </w:rPr>
  </w:style>
  <w:style w:type="character" w:customStyle="1" w:styleId="Heading4Char">
    <w:name w:val="Heading 4 Char"/>
    <w:link w:val="Heading4"/>
    <w:rsid w:val="007F7D3D"/>
    <w:rPr>
      <w:bCs/>
      <w:i/>
      <w:iCs/>
    </w:rPr>
  </w:style>
  <w:style w:type="paragraph" w:styleId="Title">
    <w:name w:val="Title"/>
    <w:basedOn w:val="Normal"/>
    <w:next w:val="Normal"/>
    <w:link w:val="TitleChar"/>
    <w:qFormat/>
    <w:rsid w:val="00601135"/>
    <w:pPr>
      <w:keepNext/>
      <w:adjustRightInd w:val="0"/>
      <w:snapToGrid w:val="0"/>
      <w:spacing w:after="240" w:line="240" w:lineRule="auto"/>
    </w:pPr>
    <w:rPr>
      <w:rFonts w:ascii="Franklin Gothic Demi" w:hAnsi="Franklin Gothic Demi"/>
      <w:color w:val="5FC6CB"/>
      <w:sz w:val="52"/>
      <w:szCs w:val="52"/>
      <w:lang w:val="en-AU" w:eastAsia="en-GB"/>
    </w:rPr>
  </w:style>
  <w:style w:type="paragraph" w:styleId="ListBullet">
    <w:name w:val="List Bullet"/>
    <w:basedOn w:val="Bullets"/>
    <w:unhideWhenUsed/>
    <w:rsid w:val="002617EB"/>
  </w:style>
  <w:style w:type="paragraph" w:styleId="ListNumber">
    <w:name w:val="List Number"/>
    <w:basedOn w:val="Normal"/>
    <w:unhideWhenUsed/>
    <w:rsid w:val="002617EB"/>
    <w:pPr>
      <w:numPr>
        <w:numId w:val="26"/>
      </w:numPr>
      <w:spacing w:after="0" w:line="240" w:lineRule="auto"/>
      <w:contextualSpacing/>
    </w:pPr>
    <w:rPr>
      <w:rFonts w:ascii="Franklin Gothic Book" w:hAnsi="Franklin Gothic Book"/>
      <w:color w:val="322738" w:themeColor="text2"/>
      <w:lang w:eastAsia="en-GB"/>
    </w:rPr>
  </w:style>
  <w:style w:type="character" w:customStyle="1" w:styleId="TitleChar">
    <w:name w:val="Title Char"/>
    <w:link w:val="Title"/>
    <w:rsid w:val="00601135"/>
    <w:rPr>
      <w:rFonts w:ascii="Franklin Gothic Demi" w:hAnsi="Franklin Gothic Demi"/>
      <w:color w:val="5FC6CB"/>
      <w:sz w:val="52"/>
      <w:szCs w:val="52"/>
      <w:lang w:val="en-AU"/>
    </w:rPr>
  </w:style>
  <w:style w:type="paragraph" w:customStyle="1" w:styleId="Heading1alt">
    <w:name w:val="Heading 1 (alt)"/>
    <w:basedOn w:val="Heading1"/>
    <w:next w:val="Normal"/>
    <w:qFormat/>
    <w:rsid w:val="00601135"/>
    <w:rPr>
      <w:b/>
      <w:bCs w:val="0"/>
      <w:color w:val="009499"/>
    </w:rPr>
  </w:style>
  <w:style w:type="table" w:customStyle="1" w:styleId="TCANZTable1">
    <w:name w:val="TCANZ Table 1"/>
    <w:basedOn w:val="TableNormal"/>
    <w:uiPriority w:val="99"/>
    <w:rsid w:val="000304EC"/>
    <w:tblPr>
      <w:tblInd w:w="-113" w:type="dxa"/>
      <w:tblBorders>
        <w:top w:val="single" w:sz="4" w:space="0" w:color="5FC6CB"/>
        <w:bottom w:val="single" w:sz="4" w:space="0" w:color="5FC6CB"/>
        <w:insideH w:val="single" w:sz="4" w:space="0" w:color="5FC6CB"/>
      </w:tblBorders>
      <w:tblCellMar>
        <w:left w:w="113" w:type="dxa"/>
        <w:bottom w:w="170" w:type="dxa"/>
        <w:right w:w="113" w:type="dxa"/>
      </w:tblCellMar>
    </w:tblPr>
    <w:tblStylePr w:type="firstRow">
      <w:rPr>
        <w:rFonts w:ascii="Franklin Gothic Book" w:hAnsi="Franklin Gothic Book"/>
        <w:b/>
        <w:i w:val="0"/>
        <w:caps/>
        <w:smallCaps w:val="0"/>
        <w:color w:val="5FC6CB"/>
        <w:sz w:val="28"/>
      </w:rPr>
      <w:tblPr/>
      <w:trPr>
        <w:tblHeader/>
      </w:trPr>
    </w:tblStylePr>
    <w:tblStylePr w:type="nwCell">
      <w:rPr>
        <w:rFonts w:ascii="Franklin Gothic Book" w:hAnsi="Franklin Gothic Book"/>
        <w:b/>
        <w:color w:val="5FC6CB"/>
        <w:sz w:val="28"/>
      </w:rPr>
    </w:tblStylePr>
  </w:style>
  <w:style w:type="table" w:customStyle="1" w:styleId="TCANZTable2">
    <w:name w:val="TCANZ Table 2"/>
    <w:basedOn w:val="TableNormal"/>
    <w:uiPriority w:val="99"/>
    <w:rsid w:val="000304EC"/>
    <w:tblPr>
      <w:tblStyleRowBandSize w:val="1"/>
      <w:tblInd w:w="-113" w:type="dxa"/>
      <w:tblBorders>
        <w:top w:val="single" w:sz="4" w:space="0" w:color="5FC6CB"/>
        <w:bottom w:val="single" w:sz="4" w:space="0" w:color="5FC6CB"/>
        <w:insideH w:val="single" w:sz="4" w:space="0" w:color="5FC6CB"/>
      </w:tblBorders>
      <w:tblCellMar>
        <w:top w:w="113" w:type="dxa"/>
        <w:left w:w="113" w:type="dxa"/>
        <w:bottom w:w="113" w:type="dxa"/>
        <w:right w:w="113" w:type="dxa"/>
      </w:tblCellMar>
    </w:tblPr>
    <w:tcPr>
      <w:shd w:val="clear" w:color="auto" w:fill="auto"/>
    </w:tcPr>
    <w:tblStylePr w:type="firstRow">
      <w:rPr>
        <w:rFonts w:ascii="Franklin Gothic Book" w:hAnsi="Franklin Gothic Book"/>
        <w:b/>
        <w:color w:val="FFFFFF"/>
        <w:sz w:val="22"/>
      </w:rPr>
      <w:tblPr/>
      <w:tcPr>
        <w:shd w:val="clear" w:color="auto" w:fill="009499"/>
      </w:tcPr>
    </w:tblStylePr>
    <w:tblStylePr w:type="band2Horz">
      <w:tblPr/>
      <w:tcPr>
        <w:shd w:val="clear" w:color="auto" w:fill="DEF3F4"/>
      </w:tcPr>
    </w:tblStylePr>
  </w:style>
  <w:style w:type="table" w:customStyle="1" w:styleId="TCANZTable3">
    <w:name w:val="TCANZ Table 3"/>
    <w:basedOn w:val="TableNormal"/>
    <w:uiPriority w:val="99"/>
    <w:rsid w:val="000304EC"/>
    <w:tblPr>
      <w:tblStyleRowBandSize w:val="1"/>
      <w:tblStyleColBandSize w:val="1"/>
      <w:tblInd w:w="-113" w:type="dxa"/>
      <w:tblBorders>
        <w:top w:val="single" w:sz="4" w:space="0" w:color="5FC6CB"/>
        <w:left w:val="single" w:sz="4" w:space="0" w:color="5FC6CB"/>
        <w:bottom w:val="single" w:sz="4" w:space="0" w:color="5FC6CB"/>
        <w:right w:val="single" w:sz="4" w:space="0" w:color="5FC6CB"/>
        <w:insideH w:val="single" w:sz="4" w:space="0" w:color="5FC6CB"/>
        <w:insideV w:val="single" w:sz="4" w:space="0" w:color="5FC6CB"/>
      </w:tblBorders>
      <w:tblCellMar>
        <w:top w:w="113" w:type="dxa"/>
        <w:left w:w="113" w:type="dxa"/>
        <w:bottom w:w="113" w:type="dxa"/>
        <w:right w:w="113" w:type="dxa"/>
      </w:tblCellMar>
    </w:tblPr>
    <w:tblStylePr w:type="firstRow">
      <w:rPr>
        <w:b/>
        <w:color w:val="FFFFFF"/>
      </w:rPr>
      <w:tblPr/>
      <w:tcPr>
        <w:shd w:val="clear" w:color="auto" w:fill="009499"/>
      </w:tcPr>
    </w:tblStylePr>
    <w:tblStylePr w:type="firstCol">
      <w:rPr>
        <w:rFonts w:ascii="Franklin Gothic Book" w:hAnsi="Franklin Gothic Book"/>
        <w:b/>
        <w:sz w:val="22"/>
      </w:rPr>
      <w:tblPr/>
      <w:tcPr>
        <w:shd w:val="clear" w:color="auto" w:fill="DEF3F4"/>
      </w:tcPr>
    </w:tblStylePr>
    <w:tblStylePr w:type="band2Vert">
      <w:tblPr/>
      <w:tcPr>
        <w:shd w:val="clear" w:color="auto" w:fill="DEF3F4"/>
      </w:tcPr>
    </w:tblStylePr>
  </w:style>
  <w:style w:type="paragraph" w:customStyle="1" w:styleId="ColorfulList-Accent11">
    <w:name w:val="Colorful List - Accent 11"/>
    <w:aliases w:val="List Paragraph numbered,List Paragraph1,List Bullet indent,Bullet Normal,List 1,Other List"/>
    <w:basedOn w:val="Normal"/>
    <w:link w:val="ColorfulList-Accent1Char"/>
    <w:uiPriority w:val="34"/>
    <w:qFormat/>
    <w:rsid w:val="002C3F4D"/>
    <w:pPr>
      <w:ind w:left="720"/>
      <w:contextualSpacing/>
    </w:pPr>
  </w:style>
  <w:style w:type="character" w:customStyle="1" w:styleId="ColorfulList-Accent1Char">
    <w:name w:val="Colorful List - Accent 1 Char"/>
    <w:aliases w:val="List Paragraph numbered Char,List Paragraph1 Char,List Bullet indent Char,Bullet Normal Char,List 1 Char,Other List Char"/>
    <w:link w:val="ColorfulList-Accent11"/>
    <w:uiPriority w:val="34"/>
    <w:locked/>
    <w:rsid w:val="002C3F4D"/>
    <w:rPr>
      <w:rFonts w:ascii="Calibri" w:hAnsi="Calibr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educationcouncil10.sharepoint.com/sites/8.OrganisationalSupport/Office%20Templates/A4%20Landscape%20with%20header.dotx" TargetMode="External"/></Relationships>
</file>

<file path=word/theme/theme1.xml><?xml version="1.0" encoding="utf-8"?>
<a:theme xmlns:a="http://schemas.openxmlformats.org/drawingml/2006/main" name="TCANZ Word Colour Theme">
  <a:themeElements>
    <a:clrScheme name="TCANZ Colours">
      <a:dk1>
        <a:srgbClr val="5FC6CB"/>
      </a:dk1>
      <a:lt1>
        <a:srgbClr val="FFFFFF"/>
      </a:lt1>
      <a:dk2>
        <a:srgbClr val="322738"/>
      </a:dk2>
      <a:lt2>
        <a:srgbClr val="F3EEDE"/>
      </a:lt2>
      <a:accent1>
        <a:srgbClr val="009499"/>
      </a:accent1>
      <a:accent2>
        <a:srgbClr val="FEC02D"/>
      </a:accent2>
      <a:accent3>
        <a:srgbClr val="9B1B1F"/>
      </a:accent3>
      <a:accent4>
        <a:srgbClr val="4D637A"/>
      </a:accent4>
      <a:accent5>
        <a:srgbClr val="B3CAD3"/>
      </a:accent5>
      <a:accent6>
        <a:srgbClr val="000000"/>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3b8031-645f-47a7-9c64-f8f8c1f17c71">
      <Terms xmlns="http://schemas.microsoft.com/office/infopath/2007/PartnerControls"/>
    </lcf76f155ced4ddcb4097134ff3c332f>
    <TaxCatchAll xmlns="f9c51d4a-a097-4b51-ae00-b89008c579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1BEFAFA176D7248A140884E622BEDFE" ma:contentTypeVersion="16" ma:contentTypeDescription="Create a new document." ma:contentTypeScope="" ma:versionID="b89b5e8fec3776dc2d1e9b74d1cc2121">
  <xsd:schema xmlns:xsd="http://www.w3.org/2001/XMLSchema" xmlns:xs="http://www.w3.org/2001/XMLSchema" xmlns:p="http://schemas.microsoft.com/office/2006/metadata/properties" xmlns:ns2="f43b8031-645f-47a7-9c64-f8f8c1f17c71" xmlns:ns3="f9c51d4a-a097-4b51-ae00-b89008c5798b" targetNamespace="http://schemas.microsoft.com/office/2006/metadata/properties" ma:root="true" ma:fieldsID="27ddfd13bb11f4b70a9203adb2061c49" ns2:_="" ns3:_="">
    <xsd:import namespace="f43b8031-645f-47a7-9c64-f8f8c1f17c71"/>
    <xsd:import namespace="f9c51d4a-a097-4b51-ae00-b89008c579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b8031-645f-47a7-9c64-f8f8c1f17c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320d4ef-559c-484f-ad4d-9445a15d84f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c51d4a-a097-4b51-ae00-b89008c5798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f941307-74ab-4a52-a299-01fee9810ef6}" ma:internalName="TaxCatchAll" ma:showField="CatchAllData" ma:web="f9c51d4a-a097-4b51-ae00-b89008c579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26ACC8-5FA7-4924-B80B-2C95C82B07CF}">
  <ds:schemaRefs>
    <ds:schemaRef ds:uri="http://schemas.openxmlformats.org/package/2006/metadata/core-properties"/>
    <ds:schemaRef ds:uri="http://purl.org/dc/terms/"/>
    <ds:schemaRef ds:uri="http://purl.org/dc/elements/1.1/"/>
    <ds:schemaRef ds:uri="http://schemas.microsoft.com/office/2006/documentManagement/types"/>
    <ds:schemaRef ds:uri="http://schemas.microsoft.com/office/2006/metadata/properties"/>
    <ds:schemaRef ds:uri="f43b8031-645f-47a7-9c64-f8f8c1f17c71"/>
    <ds:schemaRef ds:uri="http://schemas.microsoft.com/office/infopath/2007/PartnerControls"/>
    <ds:schemaRef ds:uri="f9c51d4a-a097-4b51-ae00-b89008c5798b"/>
    <ds:schemaRef ds:uri="http://www.w3.org/XML/1998/namespace"/>
    <ds:schemaRef ds:uri="http://purl.org/dc/dcmitype/"/>
  </ds:schemaRefs>
</ds:datastoreItem>
</file>

<file path=customXml/itemProps2.xml><?xml version="1.0" encoding="utf-8"?>
<ds:datastoreItem xmlns:ds="http://schemas.openxmlformats.org/officeDocument/2006/customXml" ds:itemID="{862294EB-C5A4-490D-9F41-46CEBEC03F02}">
  <ds:schemaRefs>
    <ds:schemaRef ds:uri="http://schemas.microsoft.com/sharepoint/v3/contenttype/forms"/>
  </ds:schemaRefs>
</ds:datastoreItem>
</file>

<file path=customXml/itemProps3.xml><?xml version="1.0" encoding="utf-8"?>
<ds:datastoreItem xmlns:ds="http://schemas.openxmlformats.org/officeDocument/2006/customXml" ds:itemID="{871B877F-F83D-E94B-9450-54F3721922DC}">
  <ds:schemaRefs>
    <ds:schemaRef ds:uri="http://schemas.openxmlformats.org/officeDocument/2006/bibliography"/>
  </ds:schemaRefs>
</ds:datastoreItem>
</file>

<file path=customXml/itemProps4.xml><?xml version="1.0" encoding="utf-8"?>
<ds:datastoreItem xmlns:ds="http://schemas.openxmlformats.org/officeDocument/2006/customXml" ds:itemID="{39876AB0-B0F1-4847-B1CB-AC9F5DEA4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b8031-645f-47a7-9c64-f8f8c1f17c71"/>
    <ds:schemaRef ds:uri="f9c51d4a-a097-4b51-ae00-b89008c57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A4%20Landscape%20with%20header</Template>
  <TotalTime>4</TotalTime>
  <Pages>8</Pages>
  <Words>1635</Words>
  <Characters>9881</Characters>
  <Application>Microsoft Office Word</Application>
  <DocSecurity>0</DocSecurity>
  <Lines>581</Lines>
  <Paragraphs>115</Paragraphs>
  <ScaleCrop>false</ScaleCrop>
  <HeadingPairs>
    <vt:vector size="2" baseType="variant">
      <vt:variant>
        <vt:lpstr>Title</vt:lpstr>
      </vt:variant>
      <vt:variant>
        <vt:i4>1</vt:i4>
      </vt:variant>
    </vt:vector>
  </HeadingPairs>
  <TitlesOfParts>
    <vt:vector size="1" baseType="lpstr">
      <vt:lpstr>A4 Landscape with header Template</vt:lpstr>
    </vt:vector>
  </TitlesOfParts>
  <Manager/>
  <Company>Smart Type Secretarial Services</Company>
  <LinksUpToDate>false</LinksUpToDate>
  <CharactersWithSpaces>11401</CharactersWithSpaces>
  <SharedDoc>false</SharedDoc>
  <HyperlinkBase/>
  <HLinks>
    <vt:vector size="24" baseType="variant">
      <vt:variant>
        <vt:i4>1835057</vt:i4>
      </vt:variant>
      <vt:variant>
        <vt:i4>20</vt:i4>
      </vt:variant>
      <vt:variant>
        <vt:i4>0</vt:i4>
      </vt:variant>
      <vt:variant>
        <vt:i4>5</vt:i4>
      </vt:variant>
      <vt:variant>
        <vt:lpwstr/>
      </vt:variant>
      <vt:variant>
        <vt:lpwstr>_Toc67907599</vt:lpwstr>
      </vt:variant>
      <vt:variant>
        <vt:i4>1900593</vt:i4>
      </vt:variant>
      <vt:variant>
        <vt:i4>14</vt:i4>
      </vt:variant>
      <vt:variant>
        <vt:i4>0</vt:i4>
      </vt:variant>
      <vt:variant>
        <vt:i4>5</vt:i4>
      </vt:variant>
      <vt:variant>
        <vt:lpwstr/>
      </vt:variant>
      <vt:variant>
        <vt:lpwstr>_Toc67907598</vt:lpwstr>
      </vt:variant>
      <vt:variant>
        <vt:i4>1179697</vt:i4>
      </vt:variant>
      <vt:variant>
        <vt:i4>8</vt:i4>
      </vt:variant>
      <vt:variant>
        <vt:i4>0</vt:i4>
      </vt:variant>
      <vt:variant>
        <vt:i4>5</vt:i4>
      </vt:variant>
      <vt:variant>
        <vt:lpwstr/>
      </vt:variant>
      <vt:variant>
        <vt:lpwstr>_Toc67907597</vt:lpwstr>
      </vt:variant>
      <vt:variant>
        <vt:i4>1245233</vt:i4>
      </vt:variant>
      <vt:variant>
        <vt:i4>2</vt:i4>
      </vt:variant>
      <vt:variant>
        <vt:i4>0</vt:i4>
      </vt:variant>
      <vt:variant>
        <vt:i4>5</vt:i4>
      </vt:variant>
      <vt:variant>
        <vt:lpwstr/>
      </vt:variant>
      <vt:variant>
        <vt:lpwstr>_Toc67907596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Landscape with header Template</dc:title>
  <dc:subject/>
  <dc:creator>Kim Bonnington</dc:creator>
  <cp:keywords/>
  <dc:description/>
  <cp:lastModifiedBy>Kim Bonnington</cp:lastModifiedBy>
  <cp:revision>1</cp:revision>
  <cp:lastPrinted>2021-03-30T22:12:00Z</cp:lastPrinted>
  <dcterms:created xsi:type="dcterms:W3CDTF">2025-11-06T23:13:00Z</dcterms:created>
  <dcterms:modified xsi:type="dcterms:W3CDTF">2025-11-06T23:17:00Z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f19e51-2680-42c0-85d7-f1f9ea2f5342_Enabled">
    <vt:lpwstr>true</vt:lpwstr>
  </property>
  <property fmtid="{D5CDD505-2E9C-101B-9397-08002B2CF9AE}" pid="3" name="MSIP_Label_9df19e51-2680-42c0-85d7-f1f9ea2f5342_SetDate">
    <vt:lpwstr>2022-05-19T01:31:57Z</vt:lpwstr>
  </property>
  <property fmtid="{D5CDD505-2E9C-101B-9397-08002B2CF9AE}" pid="4" name="MSIP_Label_9df19e51-2680-42c0-85d7-f1f9ea2f5342_Method">
    <vt:lpwstr>Standard</vt:lpwstr>
  </property>
  <property fmtid="{D5CDD505-2E9C-101B-9397-08002B2CF9AE}" pid="5" name="MSIP_Label_9df19e51-2680-42c0-85d7-f1f9ea2f5342_Name">
    <vt:lpwstr>defa4170-0d19-0005-0004-bc88714345d2</vt:lpwstr>
  </property>
  <property fmtid="{D5CDD505-2E9C-101B-9397-08002B2CF9AE}" pid="6" name="MSIP_Label_9df19e51-2680-42c0-85d7-f1f9ea2f5342_SiteId">
    <vt:lpwstr>ffe533ea-53e0-4039-a3e8-10790e0c9ef2</vt:lpwstr>
  </property>
  <property fmtid="{D5CDD505-2E9C-101B-9397-08002B2CF9AE}" pid="7" name="MSIP_Label_9df19e51-2680-42c0-85d7-f1f9ea2f5342_ActionId">
    <vt:lpwstr>7c95cb4e-4505-46c4-8fab-d5292328d91c</vt:lpwstr>
  </property>
  <property fmtid="{D5CDD505-2E9C-101B-9397-08002B2CF9AE}" pid="8" name="MSIP_Label_9df19e51-2680-42c0-85d7-f1f9ea2f5342_ContentBits">
    <vt:lpwstr>0</vt:lpwstr>
  </property>
  <property fmtid="{D5CDD505-2E9C-101B-9397-08002B2CF9AE}" pid="9" name="ContentTypeId">
    <vt:lpwstr>0x01010001BEFAFA176D7248A140884E622BEDFE</vt:lpwstr>
  </property>
  <property fmtid="{D5CDD505-2E9C-101B-9397-08002B2CF9AE}" pid="10" name="MediaServiceImageTags">
    <vt:lpwstr/>
  </property>
  <property fmtid="{D5CDD505-2E9C-101B-9397-08002B2CF9AE}" pid="12" name="docLang">
    <vt:lpwstr>en</vt:lpwstr>
  </property>
</Properties>
</file>