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Parkview Property Management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1200 Realty Plaza, Suite 100, Chicago, IL 60601 | (312) 555-0567 | payments@parkviewpm.com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Receipt For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Maria Gonzalez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RCT-0892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2450 Lakeshore Apt 4B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02/01/2025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Chicago, IL 60614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02/01/2025</w:t>
            </w:r>
          </w:p>
        </w:tc>
      </w:tr>
    </w:tbl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Rental Period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Property Address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February 1–28, 2025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2450 Lakeshore Apt 4B, Chicago, IL 60614</w:t>
      </w:r>
    </w:p>
    <w:p>
      <w:pPr>
        <w:pBdr>
          <w:bottom w:val="single" w:color="E0E0E0" w:sz="1" w:space="1"/>
        </w:pBdr>
        <w:spacing w:after="160" w:before="1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3"/>
        <w:gridCol w:w="6279"/>
        <w:gridCol w:w="2110"/>
        <w:gridCol w:w="1758"/>
      </w:tblGrid>
      <w:tr>
        <w:tc>
          <w:tcPr>
            <w:tcW w:type="dxa" w:w="65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Monthly rent — February 2025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$1,850.00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$1,850.00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Parking space (#42)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$150.00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Pet fee (monthly)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$50.00</w:t>
            </w:r>
          </w:p>
        </w:tc>
      </w:tr>
    </w:tbl>
    <w:p>
      <w:pPr>
        <w:pBdr>
          <w:bottom w:val="single" w:color="E0E0E0" w:sz="1" w:space="1"/>
        </w:pBdr>
        <w:spacing w:after="120" w:before="8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Subtotal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$2,050.00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Tax (6.25%)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$128.13</w:t>
      </w:r>
    </w:p>
    <w:p>
      <w:pPr>
        <w:pBdr>
          <w:bottom w:val="single" w:color="455A64" w:sz="4" w:space="1"/>
        </w:pBdr>
        <w:spacing w:before="60"/>
        <w:ind w:left="7200"/>
        <w:jc w:val="right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455A64"/>
          <w:sz w:val="32"/>
          <w:szCs w:val="32"/>
        </w:rPr>
        <w:t xml:space="preserve">$2,178.13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Amount Paid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$2,178.13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Balance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$0.00</w:t>
      </w:r>
    </w:p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Payment Method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2"/>
                <w:szCs w:val="22"/>
              </w:rPr>
              <w:t xml:space="preserve">Bank Transfer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Transaction Reference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2"/>
                <w:szCs w:val="22"/>
              </w:rPr>
              <w:t xml:space="preserve">ACH-6291048</w:t>
            </w:r>
          </w:p>
        </w:tc>
      </w:tr>
    </w:tbl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This receipt confirms payment received for the rental period stated above. Please retain for your records.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Thank you for your timely payment!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2026-03-02T15:38:19.507Z</dcterms:created>
  <dcterms:modified xsi:type="dcterms:W3CDTF">2026-03-02T15:38:19.507Z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