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8BAB" w14:textId="41A4FFC2" w:rsidR="00D120D2" w:rsidRPr="00D120D2" w:rsidRDefault="00D120D2" w:rsidP="00D120D2">
      <w:pPr>
        <w:shd w:val="clear" w:color="auto" w:fill="FFFFFF"/>
        <w:spacing w:after="150" w:line="360" w:lineRule="auto"/>
        <w:rPr>
          <w:rFonts w:ascii="Arial" w:eastAsia="Times New Roman" w:hAnsi="Arial" w:cs="Arial"/>
          <w:b/>
          <w:bCs/>
          <w:color w:val="1F1F20"/>
          <w:sz w:val="21"/>
          <w:szCs w:val="21"/>
          <w:lang w:eastAsia="en-CA"/>
        </w:rPr>
      </w:pPr>
      <w:r w:rsidRPr="00D120D2">
        <w:rPr>
          <w:rFonts w:ascii="Arial" w:eastAsia="Times New Roman" w:hAnsi="Arial" w:cs="Arial"/>
          <w:b/>
          <w:bCs/>
          <w:color w:val="1F1F20"/>
          <w:sz w:val="21"/>
          <w:szCs w:val="21"/>
          <w:lang w:eastAsia="en-CA"/>
        </w:rPr>
        <w:t>Action and Coping Planning for Health Behaviour Change: a Cochrane Systematic Review of 266 Randomized Controlled Trials</w:t>
      </w:r>
    </w:p>
    <w:p w14:paraId="48B094C8" w14:textId="724B3B5C" w:rsidR="008500E2" w:rsidRPr="00D120D2" w:rsidRDefault="008500E2" w:rsidP="00D120D2">
      <w:pPr>
        <w:shd w:val="clear" w:color="auto" w:fill="FFFFFF"/>
        <w:spacing w:after="0" w:line="360" w:lineRule="auto"/>
        <w:rPr>
          <w:rFonts w:ascii="Arial" w:eastAsia="Times New Roman" w:hAnsi="Arial" w:cs="Arial"/>
          <w:sz w:val="21"/>
          <w:szCs w:val="21"/>
          <w:vertAlign w:val="superscript"/>
          <w:lang w:eastAsia="en-CA"/>
        </w:rPr>
      </w:pPr>
      <w:r w:rsidRPr="00D120D2">
        <w:rPr>
          <w:rFonts w:ascii="Arial" w:eastAsia="Times New Roman" w:hAnsi="Arial" w:cs="Arial"/>
          <w:sz w:val="21"/>
          <w:szCs w:val="21"/>
          <w:lang w:eastAsia="en-CA"/>
        </w:rPr>
        <w:t>Crawshaw J </w:t>
      </w:r>
      <w:r w:rsidRPr="00D120D2">
        <w:rPr>
          <w:rFonts w:ascii="Arial" w:eastAsia="Times New Roman" w:hAnsi="Arial" w:cs="Arial"/>
          <w:sz w:val="21"/>
          <w:szCs w:val="21"/>
          <w:vertAlign w:val="superscript"/>
          <w:lang w:eastAsia="en-CA"/>
        </w:rPr>
        <w:t>1,2</w:t>
      </w:r>
      <w:r w:rsidRPr="00D120D2">
        <w:rPr>
          <w:rFonts w:ascii="Arial" w:eastAsia="Times New Roman" w:hAnsi="Arial" w:cs="Arial"/>
          <w:sz w:val="21"/>
          <w:szCs w:val="21"/>
          <w:lang w:eastAsia="en-CA"/>
        </w:rPr>
        <w:t> </w:t>
      </w:r>
      <w:r w:rsidR="00863821" w:rsidRPr="00D120D2">
        <w:rPr>
          <w:rFonts w:ascii="Arial" w:eastAsia="Times New Roman" w:hAnsi="Arial" w:cs="Arial"/>
          <w:sz w:val="21"/>
          <w:szCs w:val="21"/>
          <w:lang w:eastAsia="en-CA"/>
        </w:rPr>
        <w:t>*</w:t>
      </w:r>
      <w:r w:rsidRPr="00D120D2">
        <w:rPr>
          <w:rFonts w:ascii="Arial" w:eastAsia="Times New Roman" w:hAnsi="Arial" w:cs="Arial"/>
          <w:sz w:val="21"/>
          <w:szCs w:val="21"/>
          <w:lang w:eastAsia="en-CA"/>
        </w:rPr>
        <w:t>, Squires J </w:t>
      </w:r>
      <w:r w:rsidRPr="00D120D2">
        <w:rPr>
          <w:rFonts w:ascii="Arial" w:eastAsia="Times New Roman" w:hAnsi="Arial" w:cs="Arial"/>
          <w:sz w:val="21"/>
          <w:szCs w:val="21"/>
          <w:vertAlign w:val="superscript"/>
          <w:lang w:eastAsia="en-CA"/>
        </w:rPr>
        <w:t>1,</w:t>
      </w:r>
      <w:proofErr w:type="gramStart"/>
      <w:r w:rsidRPr="00D120D2">
        <w:rPr>
          <w:rFonts w:ascii="Arial" w:eastAsia="Times New Roman" w:hAnsi="Arial" w:cs="Arial"/>
          <w:sz w:val="21"/>
          <w:szCs w:val="21"/>
          <w:vertAlign w:val="superscript"/>
          <w:lang w:eastAsia="en-CA"/>
        </w:rPr>
        <w:t>2</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Palumbo A </w:t>
      </w:r>
      <w:proofErr w:type="gramStart"/>
      <w:r w:rsidRPr="00D120D2">
        <w:rPr>
          <w:rFonts w:ascii="Arial" w:eastAsia="Times New Roman" w:hAnsi="Arial" w:cs="Arial"/>
          <w:sz w:val="21"/>
          <w:szCs w:val="21"/>
          <w:vertAlign w:val="superscript"/>
          <w:lang w:eastAsia="en-CA"/>
        </w:rPr>
        <w:t>1</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Patey A </w:t>
      </w:r>
      <w:r w:rsidRPr="00D120D2">
        <w:rPr>
          <w:rFonts w:ascii="Arial" w:eastAsia="Times New Roman" w:hAnsi="Arial" w:cs="Arial"/>
          <w:sz w:val="21"/>
          <w:szCs w:val="21"/>
          <w:vertAlign w:val="superscript"/>
          <w:lang w:eastAsia="en-CA"/>
        </w:rPr>
        <w:t>1</w:t>
      </w:r>
      <w:r w:rsidR="00290DE0" w:rsidRPr="00D120D2">
        <w:rPr>
          <w:rFonts w:ascii="Arial" w:eastAsia="Times New Roman" w:hAnsi="Arial" w:cs="Arial"/>
          <w:sz w:val="21"/>
          <w:szCs w:val="21"/>
          <w:vertAlign w:val="superscript"/>
          <w:lang w:eastAsia="en-CA"/>
        </w:rPr>
        <w:t xml:space="preserve"> 2</w:t>
      </w:r>
      <w:r w:rsidRPr="00D120D2">
        <w:rPr>
          <w:rFonts w:ascii="Arial" w:eastAsia="Times New Roman" w:hAnsi="Arial" w:cs="Arial"/>
          <w:sz w:val="21"/>
          <w:szCs w:val="21"/>
          <w:lang w:eastAsia="en-CA"/>
        </w:rPr>
        <w:t>, Francis J </w:t>
      </w:r>
      <w:proofErr w:type="gramStart"/>
      <w:r w:rsidRPr="00D120D2">
        <w:rPr>
          <w:rFonts w:ascii="Arial" w:eastAsia="Times New Roman" w:hAnsi="Arial" w:cs="Arial"/>
          <w:sz w:val="21"/>
          <w:szCs w:val="21"/>
          <w:vertAlign w:val="superscript"/>
          <w:lang w:eastAsia="en-CA"/>
        </w:rPr>
        <w:t>3</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Demery Varin M </w:t>
      </w:r>
      <w:proofErr w:type="gramStart"/>
      <w:r w:rsidRPr="00D120D2">
        <w:rPr>
          <w:rFonts w:ascii="Arial" w:eastAsia="Times New Roman" w:hAnsi="Arial" w:cs="Arial"/>
          <w:sz w:val="21"/>
          <w:szCs w:val="21"/>
          <w:vertAlign w:val="superscript"/>
          <w:lang w:eastAsia="en-CA"/>
        </w:rPr>
        <w:t>1</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van Allen Z </w:t>
      </w:r>
      <w:proofErr w:type="gramStart"/>
      <w:r w:rsidRPr="00D120D2">
        <w:rPr>
          <w:rFonts w:ascii="Arial" w:eastAsia="Times New Roman" w:hAnsi="Arial" w:cs="Arial"/>
          <w:sz w:val="21"/>
          <w:szCs w:val="21"/>
          <w:vertAlign w:val="superscript"/>
          <w:lang w:eastAsia="en-CA"/>
        </w:rPr>
        <w:t>1</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Asad S </w:t>
      </w:r>
      <w:proofErr w:type="gramStart"/>
      <w:r w:rsidRPr="00D120D2">
        <w:rPr>
          <w:rFonts w:ascii="Arial" w:eastAsia="Times New Roman" w:hAnsi="Arial" w:cs="Arial"/>
          <w:sz w:val="21"/>
          <w:szCs w:val="21"/>
          <w:vertAlign w:val="superscript"/>
          <w:lang w:eastAsia="en-CA"/>
        </w:rPr>
        <w:t>4</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McMillan G </w:t>
      </w:r>
      <w:proofErr w:type="gramStart"/>
      <w:r w:rsidR="004E2670" w:rsidRPr="00D120D2">
        <w:rPr>
          <w:rFonts w:ascii="Arial" w:eastAsia="Times New Roman" w:hAnsi="Arial" w:cs="Arial"/>
          <w:sz w:val="21"/>
          <w:szCs w:val="21"/>
          <w:vertAlign w:val="superscript"/>
          <w:lang w:eastAsia="en-CA"/>
        </w:rPr>
        <w:t>1</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Vachon B </w:t>
      </w:r>
      <w:proofErr w:type="gramStart"/>
      <w:r w:rsidRPr="00D120D2">
        <w:rPr>
          <w:rFonts w:ascii="Arial" w:eastAsia="Times New Roman" w:hAnsi="Arial" w:cs="Arial"/>
          <w:sz w:val="21"/>
          <w:szCs w:val="21"/>
          <w:vertAlign w:val="superscript"/>
          <w:lang w:eastAsia="en-CA"/>
        </w:rPr>
        <w:t>5</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Bond C </w:t>
      </w:r>
      <w:proofErr w:type="gramStart"/>
      <w:r w:rsidRPr="00D120D2">
        <w:rPr>
          <w:rFonts w:ascii="Arial" w:eastAsia="Times New Roman" w:hAnsi="Arial" w:cs="Arial"/>
          <w:sz w:val="21"/>
          <w:szCs w:val="21"/>
          <w:vertAlign w:val="superscript"/>
          <w:lang w:eastAsia="en-CA"/>
        </w:rPr>
        <w:t>6</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Mallick R </w:t>
      </w:r>
      <w:proofErr w:type="gramStart"/>
      <w:r w:rsidRPr="00D120D2">
        <w:rPr>
          <w:rFonts w:ascii="Arial" w:eastAsia="Times New Roman" w:hAnsi="Arial" w:cs="Arial"/>
          <w:sz w:val="21"/>
          <w:szCs w:val="21"/>
          <w:vertAlign w:val="superscript"/>
          <w:lang w:eastAsia="en-CA"/>
        </w:rPr>
        <w:t>1</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Grimshaw J </w:t>
      </w:r>
      <w:r w:rsidRPr="00D120D2">
        <w:rPr>
          <w:rFonts w:ascii="Arial" w:eastAsia="Times New Roman" w:hAnsi="Arial" w:cs="Arial"/>
          <w:sz w:val="21"/>
          <w:szCs w:val="21"/>
          <w:vertAlign w:val="superscript"/>
          <w:lang w:eastAsia="en-CA"/>
        </w:rPr>
        <w:t>1,</w:t>
      </w:r>
      <w:proofErr w:type="gramStart"/>
      <w:r w:rsidRPr="00D120D2">
        <w:rPr>
          <w:rFonts w:ascii="Arial" w:eastAsia="Times New Roman" w:hAnsi="Arial" w:cs="Arial"/>
          <w:sz w:val="21"/>
          <w:szCs w:val="21"/>
          <w:vertAlign w:val="superscript"/>
          <w:lang w:eastAsia="en-CA"/>
        </w:rPr>
        <w:t>2</w:t>
      </w:r>
      <w:r w:rsidRPr="00D120D2">
        <w:rPr>
          <w:rFonts w:ascii="Arial" w:eastAsia="Times New Roman" w:hAnsi="Arial" w:cs="Arial"/>
          <w:sz w:val="21"/>
          <w:szCs w:val="21"/>
          <w:lang w:eastAsia="en-CA"/>
        </w:rPr>
        <w:t> ,</w:t>
      </w:r>
      <w:proofErr w:type="gramEnd"/>
      <w:r w:rsidRPr="00D120D2">
        <w:rPr>
          <w:rFonts w:ascii="Arial" w:eastAsia="Times New Roman" w:hAnsi="Arial" w:cs="Arial"/>
          <w:sz w:val="21"/>
          <w:szCs w:val="21"/>
          <w:lang w:eastAsia="en-CA"/>
        </w:rPr>
        <w:t> Presseau J </w:t>
      </w:r>
      <w:r w:rsidRPr="00D120D2">
        <w:rPr>
          <w:rFonts w:ascii="Arial" w:eastAsia="Times New Roman" w:hAnsi="Arial" w:cs="Arial"/>
          <w:sz w:val="21"/>
          <w:szCs w:val="21"/>
          <w:vertAlign w:val="superscript"/>
          <w:lang w:eastAsia="en-CA"/>
        </w:rPr>
        <w:t>1,2</w:t>
      </w:r>
    </w:p>
    <w:p w14:paraId="39489705" w14:textId="77777777" w:rsidR="008500E2" w:rsidRPr="00D120D2" w:rsidRDefault="008500E2" w:rsidP="00D120D2">
      <w:pPr>
        <w:shd w:val="clear" w:color="auto" w:fill="FFFFFF"/>
        <w:spacing w:after="0" w:line="360" w:lineRule="auto"/>
        <w:rPr>
          <w:rFonts w:ascii="Arial" w:eastAsia="Times New Roman" w:hAnsi="Arial" w:cs="Arial"/>
          <w:sz w:val="21"/>
          <w:szCs w:val="21"/>
          <w:vertAlign w:val="superscript"/>
          <w:lang w:eastAsia="en-CA"/>
        </w:rPr>
      </w:pPr>
    </w:p>
    <w:p w14:paraId="30D676E8" w14:textId="701F0E65" w:rsidR="008500E2" w:rsidRPr="00D120D2" w:rsidRDefault="008500E2" w:rsidP="00D120D2">
      <w:pPr>
        <w:shd w:val="clear" w:color="auto" w:fill="FFFFFF"/>
        <w:spacing w:after="0" w:line="360" w:lineRule="auto"/>
        <w:rPr>
          <w:rFonts w:ascii="Arial" w:eastAsia="Times New Roman" w:hAnsi="Arial" w:cs="Arial"/>
          <w:sz w:val="21"/>
          <w:szCs w:val="21"/>
          <w:lang w:eastAsia="en-CA"/>
        </w:rPr>
      </w:pPr>
      <w:r w:rsidRPr="00D120D2">
        <w:rPr>
          <w:rFonts w:ascii="Arial" w:eastAsia="Times New Roman" w:hAnsi="Arial" w:cs="Arial"/>
          <w:sz w:val="21"/>
          <w:szCs w:val="21"/>
          <w:vertAlign w:val="superscript"/>
          <w:lang w:eastAsia="en-CA"/>
        </w:rPr>
        <w:t>1</w:t>
      </w:r>
      <w:r w:rsidRPr="00D120D2">
        <w:rPr>
          <w:rFonts w:ascii="Arial" w:eastAsia="Times New Roman" w:hAnsi="Arial" w:cs="Arial"/>
          <w:sz w:val="21"/>
          <w:szCs w:val="21"/>
          <w:lang w:eastAsia="en-CA"/>
        </w:rPr>
        <w:t> </w:t>
      </w:r>
      <w:r w:rsidR="00B8461C" w:rsidRPr="00D120D2">
        <w:rPr>
          <w:rFonts w:ascii="Arial" w:eastAsia="Times New Roman" w:hAnsi="Arial" w:cs="Arial"/>
          <w:sz w:val="21"/>
          <w:szCs w:val="21"/>
          <w:lang w:eastAsia="en-CA"/>
        </w:rPr>
        <w:t xml:space="preserve">Methodological and Implementation Research Program, </w:t>
      </w:r>
      <w:r w:rsidRPr="00D120D2">
        <w:rPr>
          <w:rFonts w:ascii="Arial" w:eastAsia="Times New Roman" w:hAnsi="Arial" w:cs="Arial"/>
          <w:sz w:val="21"/>
          <w:szCs w:val="21"/>
          <w:lang w:eastAsia="en-CA"/>
        </w:rPr>
        <w:t>Ottawa Hospital Research Institute, Ottawa, Ontario, Canada</w:t>
      </w:r>
    </w:p>
    <w:p w14:paraId="2E9C5ED3" w14:textId="189DE22D" w:rsidR="008500E2" w:rsidRPr="00D120D2" w:rsidRDefault="008500E2" w:rsidP="00D120D2">
      <w:pPr>
        <w:shd w:val="clear" w:color="auto" w:fill="FFFFFF"/>
        <w:spacing w:after="0" w:line="360" w:lineRule="auto"/>
        <w:rPr>
          <w:rFonts w:ascii="Arial" w:eastAsia="Times New Roman" w:hAnsi="Arial" w:cs="Arial"/>
          <w:sz w:val="21"/>
          <w:szCs w:val="21"/>
          <w:lang w:eastAsia="en-CA"/>
        </w:rPr>
      </w:pPr>
      <w:r w:rsidRPr="00D120D2">
        <w:rPr>
          <w:rFonts w:ascii="Arial" w:eastAsia="Times New Roman" w:hAnsi="Arial" w:cs="Arial"/>
          <w:sz w:val="21"/>
          <w:szCs w:val="21"/>
          <w:vertAlign w:val="superscript"/>
          <w:lang w:eastAsia="en-CA"/>
        </w:rPr>
        <w:t>2</w:t>
      </w:r>
      <w:r w:rsidRPr="00D120D2">
        <w:rPr>
          <w:rFonts w:ascii="Arial" w:eastAsia="Times New Roman" w:hAnsi="Arial" w:cs="Arial"/>
          <w:sz w:val="21"/>
          <w:szCs w:val="21"/>
          <w:lang w:eastAsia="en-CA"/>
        </w:rPr>
        <w:t> </w:t>
      </w:r>
      <w:r w:rsidR="00290DE0" w:rsidRPr="00D120D2">
        <w:rPr>
          <w:rFonts w:ascii="Arial" w:eastAsia="Times New Roman" w:hAnsi="Arial" w:cs="Arial"/>
          <w:sz w:val="21"/>
          <w:szCs w:val="21"/>
          <w:lang w:eastAsia="en-CA"/>
        </w:rPr>
        <w:t>School of Epidemiology &amp; Public Health</w:t>
      </w:r>
      <w:r w:rsidR="00B8461C" w:rsidRPr="00D120D2">
        <w:rPr>
          <w:rFonts w:ascii="Arial" w:eastAsia="Times New Roman" w:hAnsi="Arial" w:cs="Arial"/>
          <w:sz w:val="21"/>
          <w:szCs w:val="21"/>
          <w:lang w:eastAsia="en-CA"/>
        </w:rPr>
        <w:t xml:space="preserve">, </w:t>
      </w:r>
      <w:r w:rsidRPr="00D120D2">
        <w:rPr>
          <w:rFonts w:ascii="Arial" w:eastAsia="Times New Roman" w:hAnsi="Arial" w:cs="Arial"/>
          <w:sz w:val="21"/>
          <w:szCs w:val="21"/>
          <w:lang w:eastAsia="en-CA"/>
        </w:rPr>
        <w:t>University of Ottawa, Ottawa, Ontario, Canada</w:t>
      </w:r>
    </w:p>
    <w:p w14:paraId="3FEE9580" w14:textId="72674B2A" w:rsidR="008500E2" w:rsidRPr="00D120D2" w:rsidRDefault="008500E2" w:rsidP="00D120D2">
      <w:pPr>
        <w:shd w:val="clear" w:color="auto" w:fill="FFFFFF"/>
        <w:spacing w:after="0" w:line="360" w:lineRule="auto"/>
        <w:rPr>
          <w:rFonts w:ascii="Arial" w:eastAsia="Times New Roman" w:hAnsi="Arial" w:cs="Arial"/>
          <w:sz w:val="21"/>
          <w:szCs w:val="21"/>
          <w:lang w:eastAsia="en-CA"/>
        </w:rPr>
      </w:pPr>
      <w:r w:rsidRPr="00D120D2">
        <w:rPr>
          <w:rFonts w:ascii="Arial" w:eastAsia="Times New Roman" w:hAnsi="Arial" w:cs="Arial"/>
          <w:sz w:val="21"/>
          <w:szCs w:val="21"/>
          <w:vertAlign w:val="superscript"/>
          <w:lang w:eastAsia="en-CA"/>
        </w:rPr>
        <w:t>3</w:t>
      </w:r>
      <w:r w:rsidRPr="00D120D2">
        <w:rPr>
          <w:rFonts w:ascii="Arial" w:eastAsia="Times New Roman" w:hAnsi="Arial" w:cs="Arial"/>
          <w:sz w:val="21"/>
          <w:szCs w:val="21"/>
          <w:lang w:eastAsia="en-CA"/>
        </w:rPr>
        <w:t> </w:t>
      </w:r>
      <w:r w:rsidR="00290DE0" w:rsidRPr="00D120D2">
        <w:rPr>
          <w:rFonts w:ascii="Arial" w:eastAsia="Times New Roman" w:hAnsi="Arial" w:cs="Arial"/>
          <w:sz w:val="21"/>
          <w:szCs w:val="21"/>
          <w:lang w:eastAsia="en-CA"/>
        </w:rPr>
        <w:t>School of Health Sciences</w:t>
      </w:r>
      <w:r w:rsidR="00290DE0" w:rsidRPr="00D120D2">
        <w:rPr>
          <w:rFonts w:ascii="Arial" w:eastAsia="Times New Roman" w:hAnsi="Arial" w:cs="Arial"/>
          <w:sz w:val="21"/>
          <w:szCs w:val="21"/>
          <w:lang w:eastAsia="en-CA"/>
        </w:rPr>
        <w:t xml:space="preserve">, </w:t>
      </w:r>
      <w:r w:rsidRPr="00D120D2">
        <w:rPr>
          <w:rFonts w:ascii="Arial" w:eastAsia="Times New Roman" w:hAnsi="Arial" w:cs="Arial"/>
          <w:sz w:val="21"/>
          <w:szCs w:val="21"/>
          <w:lang w:eastAsia="en-CA"/>
        </w:rPr>
        <w:t>University of Melbourne, Melbourne</w:t>
      </w:r>
      <w:r w:rsidR="00290DE0" w:rsidRPr="00D120D2">
        <w:rPr>
          <w:rFonts w:ascii="Arial" w:eastAsia="Times New Roman" w:hAnsi="Arial" w:cs="Arial"/>
          <w:sz w:val="21"/>
          <w:szCs w:val="21"/>
          <w:lang w:eastAsia="en-CA"/>
        </w:rPr>
        <w:t>,</w:t>
      </w:r>
      <w:r w:rsidRPr="00D120D2">
        <w:rPr>
          <w:rFonts w:ascii="Arial" w:eastAsia="Times New Roman" w:hAnsi="Arial" w:cs="Arial"/>
          <w:sz w:val="21"/>
          <w:szCs w:val="21"/>
          <w:lang w:eastAsia="en-CA"/>
        </w:rPr>
        <w:t xml:space="preserve"> Victoria, Australia</w:t>
      </w:r>
    </w:p>
    <w:p w14:paraId="3EEA28F7" w14:textId="00DA0FC0" w:rsidR="008500E2" w:rsidRPr="00D120D2" w:rsidRDefault="008500E2" w:rsidP="00D120D2">
      <w:pPr>
        <w:shd w:val="clear" w:color="auto" w:fill="FFFFFF"/>
        <w:spacing w:after="0" w:line="360" w:lineRule="auto"/>
        <w:rPr>
          <w:rFonts w:ascii="Arial" w:eastAsia="Times New Roman" w:hAnsi="Arial" w:cs="Arial"/>
          <w:sz w:val="21"/>
          <w:szCs w:val="21"/>
          <w:lang w:eastAsia="en-CA"/>
        </w:rPr>
      </w:pPr>
      <w:r w:rsidRPr="00D120D2">
        <w:rPr>
          <w:rFonts w:ascii="Arial" w:eastAsia="Times New Roman" w:hAnsi="Arial" w:cs="Arial"/>
          <w:sz w:val="21"/>
          <w:szCs w:val="21"/>
          <w:vertAlign w:val="superscript"/>
          <w:lang w:eastAsia="en-CA"/>
        </w:rPr>
        <w:t>4</w:t>
      </w:r>
      <w:r w:rsidRPr="00D120D2">
        <w:rPr>
          <w:rFonts w:ascii="Arial" w:eastAsia="Times New Roman" w:hAnsi="Arial" w:cs="Arial"/>
          <w:sz w:val="21"/>
          <w:szCs w:val="21"/>
          <w:lang w:eastAsia="en-CA"/>
        </w:rPr>
        <w:t> </w:t>
      </w:r>
      <w:r w:rsidR="00DA6F4C" w:rsidRPr="00D120D2">
        <w:rPr>
          <w:rFonts w:ascii="Arial" w:eastAsia="Times New Roman" w:hAnsi="Arial" w:cs="Arial"/>
          <w:sz w:val="21"/>
          <w:szCs w:val="21"/>
          <w:lang w:eastAsia="en-CA"/>
        </w:rPr>
        <w:t xml:space="preserve">UNC </w:t>
      </w:r>
      <w:r w:rsidR="00290DE0" w:rsidRPr="00D120D2">
        <w:rPr>
          <w:rFonts w:ascii="Arial" w:eastAsia="Times New Roman" w:hAnsi="Arial" w:cs="Arial"/>
          <w:sz w:val="21"/>
          <w:szCs w:val="21"/>
          <w:lang w:eastAsia="en-CA"/>
        </w:rPr>
        <w:t>Gillings School of Global Public Health</w:t>
      </w:r>
      <w:r w:rsidR="00290DE0" w:rsidRPr="00D120D2">
        <w:rPr>
          <w:rFonts w:ascii="Arial" w:eastAsia="Times New Roman" w:hAnsi="Arial" w:cs="Arial"/>
          <w:sz w:val="21"/>
          <w:szCs w:val="21"/>
          <w:lang w:eastAsia="en-CA"/>
        </w:rPr>
        <w:t xml:space="preserve">, </w:t>
      </w:r>
      <w:r w:rsidRPr="00D120D2">
        <w:rPr>
          <w:rFonts w:ascii="Arial" w:eastAsia="Times New Roman" w:hAnsi="Arial" w:cs="Arial"/>
          <w:sz w:val="21"/>
          <w:szCs w:val="21"/>
          <w:lang w:eastAsia="en-CA"/>
        </w:rPr>
        <w:t>University of North Carolina, Chapel Hill North Carolina, United States</w:t>
      </w:r>
    </w:p>
    <w:p w14:paraId="383260ED" w14:textId="30940D23" w:rsidR="008500E2" w:rsidRPr="00D120D2" w:rsidRDefault="008500E2" w:rsidP="00D120D2">
      <w:pPr>
        <w:shd w:val="clear" w:color="auto" w:fill="FFFFFF"/>
        <w:spacing w:after="0" w:line="360" w:lineRule="auto"/>
        <w:rPr>
          <w:rFonts w:ascii="Arial" w:eastAsia="Times New Roman" w:hAnsi="Arial" w:cs="Arial"/>
          <w:sz w:val="21"/>
          <w:szCs w:val="21"/>
          <w:lang w:eastAsia="en-CA"/>
        </w:rPr>
      </w:pPr>
      <w:r w:rsidRPr="00D120D2">
        <w:rPr>
          <w:rFonts w:ascii="Arial" w:eastAsia="Times New Roman" w:hAnsi="Arial" w:cs="Arial"/>
          <w:sz w:val="21"/>
          <w:szCs w:val="21"/>
          <w:vertAlign w:val="superscript"/>
          <w:lang w:eastAsia="en-CA"/>
        </w:rPr>
        <w:t>5</w:t>
      </w:r>
      <w:r w:rsidRPr="00D120D2">
        <w:rPr>
          <w:rFonts w:ascii="Arial" w:eastAsia="Times New Roman" w:hAnsi="Arial" w:cs="Arial"/>
          <w:sz w:val="21"/>
          <w:szCs w:val="21"/>
          <w:lang w:eastAsia="en-CA"/>
        </w:rPr>
        <w:t> </w:t>
      </w:r>
      <w:r w:rsidR="00290DE0" w:rsidRPr="00D120D2">
        <w:rPr>
          <w:rFonts w:ascii="Arial" w:eastAsia="Times New Roman" w:hAnsi="Arial" w:cs="Arial"/>
          <w:sz w:val="21"/>
          <w:szCs w:val="21"/>
          <w:lang w:eastAsia="en-CA"/>
        </w:rPr>
        <w:t>Faculty of Medicine</w:t>
      </w:r>
      <w:r w:rsidR="00290DE0" w:rsidRPr="00D120D2">
        <w:rPr>
          <w:rFonts w:ascii="Arial" w:eastAsia="Times New Roman" w:hAnsi="Arial" w:cs="Arial"/>
          <w:sz w:val="21"/>
          <w:szCs w:val="21"/>
          <w:lang w:eastAsia="en-CA"/>
        </w:rPr>
        <w:t xml:space="preserve">, </w:t>
      </w:r>
      <w:r w:rsidRPr="00D120D2">
        <w:rPr>
          <w:rFonts w:ascii="Arial" w:eastAsia="Times New Roman" w:hAnsi="Arial" w:cs="Arial"/>
          <w:sz w:val="21"/>
          <w:szCs w:val="21"/>
          <w:lang w:eastAsia="en-CA"/>
        </w:rPr>
        <w:t>University of Montreal, Montreal, Quebec, Canada</w:t>
      </w:r>
    </w:p>
    <w:p w14:paraId="7FBD2BBA" w14:textId="3E2A28AD" w:rsidR="008500E2" w:rsidRPr="00D120D2" w:rsidRDefault="008500E2" w:rsidP="00D120D2">
      <w:pPr>
        <w:shd w:val="clear" w:color="auto" w:fill="FFFFFF"/>
        <w:spacing w:after="0" w:line="360" w:lineRule="auto"/>
        <w:rPr>
          <w:rFonts w:ascii="Arial" w:eastAsia="Times New Roman" w:hAnsi="Arial" w:cs="Arial"/>
          <w:sz w:val="21"/>
          <w:szCs w:val="21"/>
          <w:lang w:eastAsia="en-CA"/>
        </w:rPr>
      </w:pPr>
      <w:r w:rsidRPr="00D120D2">
        <w:rPr>
          <w:rFonts w:ascii="Arial" w:eastAsia="Times New Roman" w:hAnsi="Arial" w:cs="Arial"/>
          <w:sz w:val="21"/>
          <w:szCs w:val="21"/>
          <w:vertAlign w:val="superscript"/>
          <w:lang w:eastAsia="en-CA"/>
        </w:rPr>
        <w:t>6</w:t>
      </w:r>
      <w:r w:rsidRPr="00D120D2">
        <w:rPr>
          <w:rFonts w:ascii="Arial" w:eastAsia="Times New Roman" w:hAnsi="Arial" w:cs="Arial"/>
          <w:sz w:val="21"/>
          <w:szCs w:val="21"/>
          <w:lang w:eastAsia="en-CA"/>
        </w:rPr>
        <w:t> </w:t>
      </w:r>
      <w:r w:rsidR="00290DE0" w:rsidRPr="00D120D2">
        <w:rPr>
          <w:rFonts w:ascii="Arial" w:eastAsia="Times New Roman" w:hAnsi="Arial" w:cs="Arial"/>
          <w:sz w:val="21"/>
          <w:szCs w:val="21"/>
          <w:lang w:eastAsia="en-CA"/>
        </w:rPr>
        <w:t>School of Medicine, Medical Sciences and Nutrition</w:t>
      </w:r>
      <w:r w:rsidR="00290DE0" w:rsidRPr="00D120D2">
        <w:rPr>
          <w:rFonts w:ascii="Arial" w:eastAsia="Times New Roman" w:hAnsi="Arial" w:cs="Arial"/>
          <w:sz w:val="21"/>
          <w:szCs w:val="21"/>
          <w:lang w:eastAsia="en-CA"/>
        </w:rPr>
        <w:t xml:space="preserve">, </w:t>
      </w:r>
      <w:r w:rsidRPr="00D120D2">
        <w:rPr>
          <w:rFonts w:ascii="Arial" w:eastAsia="Times New Roman" w:hAnsi="Arial" w:cs="Arial"/>
          <w:sz w:val="21"/>
          <w:szCs w:val="21"/>
          <w:lang w:eastAsia="en-CA"/>
        </w:rPr>
        <w:t>University of Aberdeen, Aberdeen, Scotland</w:t>
      </w:r>
    </w:p>
    <w:p w14:paraId="5F65C922" w14:textId="77777777" w:rsidR="00D120D2" w:rsidRPr="00D120D2" w:rsidRDefault="00D120D2" w:rsidP="00D120D2">
      <w:pPr>
        <w:shd w:val="clear" w:color="auto" w:fill="FFFFFF"/>
        <w:spacing w:after="0" w:line="360" w:lineRule="auto"/>
        <w:rPr>
          <w:rFonts w:ascii="Arial" w:eastAsia="Times New Roman" w:hAnsi="Arial" w:cs="Arial"/>
          <w:sz w:val="21"/>
          <w:szCs w:val="21"/>
          <w:lang w:eastAsia="en-CA"/>
        </w:rPr>
      </w:pPr>
    </w:p>
    <w:p w14:paraId="125C93F8" w14:textId="77777777" w:rsidR="00D120D2" w:rsidRPr="00D120D2" w:rsidRDefault="00D120D2" w:rsidP="00D120D2">
      <w:pPr>
        <w:pStyle w:val="NoSpacing"/>
        <w:spacing w:line="360" w:lineRule="auto"/>
        <w:rPr>
          <w:rFonts w:ascii="Arial" w:hAnsi="Arial" w:cs="Arial"/>
          <w:sz w:val="21"/>
          <w:szCs w:val="21"/>
          <w:lang w:eastAsia="en-CA"/>
        </w:rPr>
      </w:pPr>
      <w:r w:rsidRPr="00D120D2">
        <w:rPr>
          <w:rFonts w:ascii="Arial" w:hAnsi="Arial" w:cs="Arial"/>
          <w:b/>
          <w:bCs/>
          <w:sz w:val="21"/>
          <w:szCs w:val="21"/>
          <w:lang w:eastAsia="en-CA"/>
        </w:rPr>
        <w:t xml:space="preserve">Background: </w:t>
      </w:r>
      <w:r w:rsidRPr="00D120D2">
        <w:rPr>
          <w:rFonts w:ascii="Arial" w:hAnsi="Arial" w:cs="Arial"/>
          <w:sz w:val="21"/>
          <w:szCs w:val="21"/>
          <w:lang w:eastAsia="en-CA"/>
        </w:rPr>
        <w:t>Action Planning and Coping Planning (i.e., implementation intentions) are post-intentional behaviour change techniques that link anticipated cues to planned actions. These techniques are theoretically grounded, low cost, and simple to deliver, aligning well with the IBTN’s focus on scalable, testable behavioural interventions.</w:t>
      </w:r>
    </w:p>
    <w:p w14:paraId="04A53B6F" w14:textId="77777777" w:rsidR="00D120D2" w:rsidRPr="00D120D2" w:rsidRDefault="00D120D2" w:rsidP="00D120D2">
      <w:pPr>
        <w:pStyle w:val="NoSpacing"/>
        <w:spacing w:line="360" w:lineRule="auto"/>
        <w:rPr>
          <w:rFonts w:ascii="Arial" w:hAnsi="Arial" w:cs="Arial"/>
          <w:b/>
          <w:bCs/>
          <w:sz w:val="21"/>
          <w:szCs w:val="21"/>
          <w:lang w:eastAsia="en-CA"/>
        </w:rPr>
      </w:pPr>
    </w:p>
    <w:p w14:paraId="51E5B67D" w14:textId="77777777" w:rsidR="00D120D2" w:rsidRPr="00D120D2" w:rsidRDefault="00D120D2" w:rsidP="00D120D2">
      <w:pPr>
        <w:pStyle w:val="NoSpacing"/>
        <w:spacing w:line="360" w:lineRule="auto"/>
        <w:rPr>
          <w:rFonts w:ascii="Arial" w:hAnsi="Arial" w:cs="Arial"/>
          <w:sz w:val="21"/>
          <w:szCs w:val="21"/>
          <w:lang w:eastAsia="en-CA"/>
        </w:rPr>
      </w:pPr>
      <w:r w:rsidRPr="00D120D2">
        <w:rPr>
          <w:rFonts w:ascii="Arial" w:hAnsi="Arial" w:cs="Arial"/>
          <w:b/>
          <w:bCs/>
          <w:sz w:val="21"/>
          <w:szCs w:val="21"/>
          <w:lang w:eastAsia="en-CA"/>
        </w:rPr>
        <w:t>Purpose:</w:t>
      </w:r>
      <w:r w:rsidRPr="00D120D2">
        <w:rPr>
          <w:rFonts w:ascii="Arial" w:hAnsi="Arial" w:cs="Arial"/>
          <w:sz w:val="21"/>
          <w:szCs w:val="21"/>
          <w:lang w:eastAsia="en-CA"/>
        </w:rPr>
        <w:t xml:space="preserve"> A Cochrane systematic review of randomized controlled trials of health behaviour and healthcare provider behaviour change interventions involving Action and/or Coping Planning.</w:t>
      </w:r>
    </w:p>
    <w:p w14:paraId="7496B6D8" w14:textId="77777777" w:rsidR="00D120D2" w:rsidRPr="00D120D2" w:rsidRDefault="00D120D2" w:rsidP="00D120D2">
      <w:pPr>
        <w:pStyle w:val="NoSpacing"/>
        <w:spacing w:line="360" w:lineRule="auto"/>
        <w:rPr>
          <w:rFonts w:ascii="Arial" w:hAnsi="Arial" w:cs="Arial"/>
          <w:sz w:val="21"/>
          <w:szCs w:val="21"/>
          <w:lang w:eastAsia="en-CA"/>
        </w:rPr>
      </w:pPr>
    </w:p>
    <w:p w14:paraId="54F169B7" w14:textId="77777777" w:rsidR="00D120D2" w:rsidRPr="00D120D2" w:rsidRDefault="00D120D2" w:rsidP="00D120D2">
      <w:pPr>
        <w:pStyle w:val="NoSpacing"/>
        <w:spacing w:line="360" w:lineRule="auto"/>
        <w:rPr>
          <w:rFonts w:ascii="Arial" w:hAnsi="Arial" w:cs="Arial"/>
          <w:sz w:val="21"/>
          <w:szCs w:val="21"/>
          <w:lang w:eastAsia="en-CA"/>
        </w:rPr>
      </w:pPr>
      <w:r w:rsidRPr="00D120D2">
        <w:rPr>
          <w:rFonts w:ascii="Arial" w:hAnsi="Arial" w:cs="Arial"/>
          <w:b/>
          <w:bCs/>
          <w:sz w:val="21"/>
          <w:szCs w:val="21"/>
          <w:lang w:eastAsia="en-CA"/>
        </w:rPr>
        <w:t>Methods:</w:t>
      </w:r>
      <w:r w:rsidRPr="00D120D2">
        <w:rPr>
          <w:rFonts w:ascii="Arial" w:hAnsi="Arial" w:cs="Arial"/>
          <w:sz w:val="21"/>
          <w:szCs w:val="21"/>
          <w:lang w:eastAsia="en-CA"/>
        </w:rPr>
        <w:t xml:space="preserve"> We searched Cochrane, MEDLINE, Embase, CINAHL, PsycINFO, and trial registers up to November 2020. Trials reporting self-reported or objectively measured behaviour outcomes among patients/public or healthcare providers were included. Follow-up was categorised as &lt;1 month, 1–6 months, or ≥7 months. Random-effects meta-analyses were conducted.</w:t>
      </w:r>
    </w:p>
    <w:p w14:paraId="4C716506" w14:textId="77777777" w:rsidR="00D120D2" w:rsidRPr="00D120D2" w:rsidRDefault="00D120D2" w:rsidP="00D120D2">
      <w:pPr>
        <w:pStyle w:val="NoSpacing"/>
        <w:spacing w:line="360" w:lineRule="auto"/>
        <w:rPr>
          <w:rFonts w:ascii="Arial" w:hAnsi="Arial" w:cs="Arial"/>
          <w:sz w:val="21"/>
          <w:szCs w:val="21"/>
          <w:lang w:eastAsia="en-CA"/>
        </w:rPr>
      </w:pPr>
    </w:p>
    <w:p w14:paraId="353D8553" w14:textId="77777777" w:rsidR="00D120D2" w:rsidRPr="00D120D2" w:rsidRDefault="00D120D2" w:rsidP="00D120D2">
      <w:pPr>
        <w:pStyle w:val="NoSpacing"/>
        <w:spacing w:line="360" w:lineRule="auto"/>
        <w:rPr>
          <w:rFonts w:ascii="Arial" w:hAnsi="Arial" w:cs="Arial"/>
          <w:sz w:val="21"/>
          <w:szCs w:val="21"/>
          <w:lang w:eastAsia="en-CA"/>
        </w:rPr>
      </w:pPr>
      <w:r w:rsidRPr="00D120D2">
        <w:rPr>
          <w:rFonts w:ascii="Arial" w:hAnsi="Arial" w:cs="Arial"/>
          <w:b/>
          <w:bCs/>
          <w:sz w:val="21"/>
          <w:szCs w:val="21"/>
          <w:lang w:eastAsia="en-CA"/>
        </w:rPr>
        <w:t>Results:</w:t>
      </w:r>
      <w:r w:rsidRPr="00D120D2">
        <w:rPr>
          <w:rFonts w:ascii="Arial" w:hAnsi="Arial" w:cs="Arial"/>
          <w:sz w:val="21"/>
          <w:szCs w:val="21"/>
          <w:lang w:eastAsia="en-CA"/>
        </w:rPr>
        <w:t xml:space="preserve"> We included 266 trials (n=369,930), primarily involving patients/public (11 trials with healthcare providers). Target behaviours most commonly included physical activity, diet, alcohol consumption, medication adherence, and smoking. Meta-analyses of self-reported outcomes showed small-to-medium effects for Action Planning at &lt;1 month (d=0.37), Coping Planning at &lt;1 month (d=0.19) and 1–6 months (d=0.33), and combined Action and Coping Planning at 1–6 months (d=0.29). Similar effects were observed for objectively measured outcomes, though fewer trials contributed data.</w:t>
      </w:r>
    </w:p>
    <w:p w14:paraId="14309B72" w14:textId="77777777" w:rsidR="00D120D2" w:rsidRPr="00D120D2" w:rsidRDefault="00D120D2" w:rsidP="00D120D2">
      <w:pPr>
        <w:pStyle w:val="NoSpacing"/>
        <w:spacing w:line="360" w:lineRule="auto"/>
        <w:rPr>
          <w:rFonts w:ascii="Arial" w:hAnsi="Arial" w:cs="Arial"/>
          <w:sz w:val="21"/>
          <w:szCs w:val="21"/>
          <w:lang w:eastAsia="en-CA"/>
        </w:rPr>
      </w:pPr>
    </w:p>
    <w:p w14:paraId="27C8132C" w14:textId="5EE20D5E" w:rsidR="00D120D2" w:rsidRPr="00D120D2" w:rsidRDefault="00D120D2" w:rsidP="00D120D2">
      <w:pPr>
        <w:pStyle w:val="NoSpacing"/>
        <w:spacing w:line="360" w:lineRule="auto"/>
        <w:rPr>
          <w:rFonts w:ascii="Arial" w:hAnsi="Arial" w:cs="Arial"/>
          <w:sz w:val="21"/>
          <w:szCs w:val="21"/>
          <w:lang w:eastAsia="en-CA"/>
        </w:rPr>
      </w:pPr>
      <w:r w:rsidRPr="00D120D2">
        <w:rPr>
          <w:rFonts w:ascii="Arial" w:hAnsi="Arial" w:cs="Arial"/>
          <w:b/>
          <w:bCs/>
          <w:sz w:val="21"/>
          <w:szCs w:val="21"/>
          <w:lang w:eastAsia="en-CA"/>
        </w:rPr>
        <w:lastRenderedPageBreak/>
        <w:t>Conclusion:</w:t>
      </w:r>
      <w:r w:rsidRPr="00D120D2">
        <w:rPr>
          <w:rFonts w:ascii="Arial" w:hAnsi="Arial" w:cs="Arial"/>
          <w:sz w:val="21"/>
          <w:szCs w:val="21"/>
          <w:lang w:eastAsia="en-CA"/>
        </w:rPr>
        <w:t xml:space="preserve"> Implementation intentions demonstrate consistent, modest effects across behaviours and populations. Given their scalability, low implementation burden, and extensive evidence base, these techniques are well suited to coordinated, international, and harmonised behavioural trials.</w:t>
      </w:r>
    </w:p>
    <w:p w14:paraId="0CB83EFC" w14:textId="380ADBB4" w:rsidR="00D120D2" w:rsidRPr="00D120D2" w:rsidRDefault="00D120D2" w:rsidP="00D120D2">
      <w:pPr>
        <w:pStyle w:val="NoSpacing"/>
        <w:spacing w:line="360" w:lineRule="auto"/>
        <w:rPr>
          <w:rFonts w:ascii="Arial" w:hAnsi="Arial" w:cs="Arial"/>
          <w:sz w:val="21"/>
          <w:szCs w:val="21"/>
          <w:lang w:eastAsia="en-CA"/>
        </w:rPr>
      </w:pPr>
    </w:p>
    <w:p w14:paraId="4C6A53B7" w14:textId="723D5B4D" w:rsidR="00D120D2" w:rsidRPr="00D120D2" w:rsidRDefault="00D120D2" w:rsidP="00D120D2">
      <w:pPr>
        <w:pStyle w:val="NoSpacing"/>
        <w:spacing w:line="360" w:lineRule="auto"/>
        <w:rPr>
          <w:rFonts w:ascii="Arial" w:hAnsi="Arial" w:cs="Arial"/>
          <w:sz w:val="21"/>
          <w:szCs w:val="21"/>
          <w:lang w:eastAsia="en-CA"/>
        </w:rPr>
      </w:pPr>
      <w:r w:rsidRPr="00D120D2">
        <w:rPr>
          <w:rFonts w:ascii="Arial" w:hAnsi="Arial" w:cs="Arial"/>
          <w:sz w:val="21"/>
          <w:szCs w:val="21"/>
          <w:lang w:eastAsia="en-CA"/>
        </w:rPr>
        <w:t>Abstract Length = 1750 c</w:t>
      </w:r>
      <w:r w:rsidRPr="00D120D2">
        <w:rPr>
          <w:rFonts w:ascii="Arial" w:hAnsi="Arial" w:cs="Arial"/>
          <w:sz w:val="21"/>
          <w:szCs w:val="21"/>
          <w:lang w:eastAsia="en-CA"/>
        </w:rPr>
        <w:t>haracters (with spaces)</w:t>
      </w:r>
    </w:p>
    <w:p w14:paraId="7446E771" w14:textId="77777777" w:rsidR="00863821" w:rsidRPr="00D120D2" w:rsidRDefault="00863821" w:rsidP="00336628">
      <w:pPr>
        <w:shd w:val="clear" w:color="auto" w:fill="FFFFFF"/>
        <w:spacing w:line="240" w:lineRule="auto"/>
        <w:rPr>
          <w:rFonts w:ascii="Arial" w:eastAsia="Times New Roman" w:hAnsi="Arial" w:cs="Arial"/>
          <w:color w:val="1F1F20"/>
          <w:sz w:val="21"/>
          <w:szCs w:val="21"/>
          <w:lang w:eastAsia="en-CA"/>
        </w:rPr>
      </w:pPr>
    </w:p>
    <w:p w14:paraId="1AC63F33" w14:textId="462D7F71" w:rsidR="00863821" w:rsidRPr="00D120D2" w:rsidRDefault="00863821" w:rsidP="00D120D2">
      <w:pPr>
        <w:pStyle w:val="NoSpacing"/>
        <w:spacing w:line="276" w:lineRule="auto"/>
        <w:rPr>
          <w:rFonts w:ascii="Arial" w:hAnsi="Arial" w:cs="Arial"/>
          <w:sz w:val="21"/>
          <w:szCs w:val="21"/>
          <w:lang w:eastAsia="en-CA"/>
        </w:rPr>
      </w:pPr>
      <w:r w:rsidRPr="00D120D2">
        <w:rPr>
          <w:rFonts w:ascii="Arial" w:hAnsi="Arial" w:cs="Arial"/>
          <w:sz w:val="21"/>
          <w:szCs w:val="21"/>
          <w:lang w:eastAsia="en-CA"/>
        </w:rPr>
        <w:t>*</w:t>
      </w:r>
      <w:r w:rsidR="004E2670" w:rsidRPr="00D120D2">
        <w:rPr>
          <w:rFonts w:ascii="Arial" w:hAnsi="Arial" w:cs="Arial"/>
          <w:sz w:val="21"/>
          <w:szCs w:val="21"/>
          <w:lang w:eastAsia="en-CA"/>
        </w:rPr>
        <w:t>Corresponding</w:t>
      </w:r>
      <w:r w:rsidRPr="00D120D2">
        <w:rPr>
          <w:rFonts w:ascii="Arial" w:hAnsi="Arial" w:cs="Arial"/>
          <w:sz w:val="21"/>
          <w:szCs w:val="21"/>
          <w:lang w:eastAsia="en-CA"/>
        </w:rPr>
        <w:t xml:space="preserve"> </w:t>
      </w:r>
      <w:r w:rsidR="004E2670" w:rsidRPr="00D120D2">
        <w:rPr>
          <w:rFonts w:ascii="Arial" w:hAnsi="Arial" w:cs="Arial"/>
          <w:sz w:val="21"/>
          <w:szCs w:val="21"/>
          <w:lang w:eastAsia="en-CA"/>
        </w:rPr>
        <w:t>A</w:t>
      </w:r>
      <w:r w:rsidRPr="00D120D2">
        <w:rPr>
          <w:rFonts w:ascii="Arial" w:hAnsi="Arial" w:cs="Arial"/>
          <w:sz w:val="21"/>
          <w:szCs w:val="21"/>
          <w:lang w:eastAsia="en-CA"/>
        </w:rPr>
        <w:t>uthor</w:t>
      </w:r>
    </w:p>
    <w:p w14:paraId="2FCADEF4" w14:textId="5097EC47" w:rsidR="00863821" w:rsidRPr="00D120D2" w:rsidRDefault="00863821" w:rsidP="00D120D2">
      <w:pPr>
        <w:pStyle w:val="NoSpacing"/>
        <w:spacing w:line="276" w:lineRule="auto"/>
        <w:rPr>
          <w:rFonts w:ascii="Arial" w:hAnsi="Arial" w:cs="Arial"/>
          <w:sz w:val="21"/>
          <w:szCs w:val="21"/>
          <w:lang w:eastAsia="en-CA"/>
        </w:rPr>
      </w:pPr>
      <w:r w:rsidRPr="00D120D2">
        <w:rPr>
          <w:rFonts w:ascii="Arial" w:hAnsi="Arial" w:cs="Arial"/>
          <w:sz w:val="21"/>
          <w:szCs w:val="21"/>
          <w:lang w:eastAsia="en-CA"/>
        </w:rPr>
        <w:t>Jacob Crawshaw, PhD</w:t>
      </w:r>
    </w:p>
    <w:p w14:paraId="1C4E29BD" w14:textId="77777777" w:rsidR="00DA6F4C" w:rsidRPr="00D120D2" w:rsidRDefault="00DA6F4C" w:rsidP="00D120D2">
      <w:pPr>
        <w:pStyle w:val="NoSpacing"/>
        <w:spacing w:line="276" w:lineRule="auto"/>
        <w:rPr>
          <w:rFonts w:ascii="Arial" w:hAnsi="Arial" w:cs="Arial"/>
          <w:sz w:val="21"/>
          <w:szCs w:val="21"/>
          <w:lang w:eastAsia="en-CA"/>
        </w:rPr>
      </w:pPr>
      <w:r w:rsidRPr="00D120D2">
        <w:rPr>
          <w:rFonts w:ascii="Arial" w:hAnsi="Arial" w:cs="Arial"/>
          <w:sz w:val="21"/>
          <w:szCs w:val="21"/>
          <w:lang w:eastAsia="en-CA"/>
        </w:rPr>
        <w:t>Methodological and Implementation Research Program</w:t>
      </w:r>
      <w:r w:rsidRPr="00D120D2">
        <w:rPr>
          <w:rFonts w:ascii="Arial" w:hAnsi="Arial" w:cs="Arial"/>
          <w:sz w:val="21"/>
          <w:szCs w:val="21"/>
          <w:lang w:eastAsia="en-CA"/>
        </w:rPr>
        <w:t xml:space="preserve"> </w:t>
      </w:r>
    </w:p>
    <w:p w14:paraId="0D1F51B3" w14:textId="636E5F62" w:rsidR="00863821" w:rsidRPr="00D120D2" w:rsidRDefault="00863821" w:rsidP="00D120D2">
      <w:pPr>
        <w:pStyle w:val="NoSpacing"/>
        <w:spacing w:line="276" w:lineRule="auto"/>
        <w:rPr>
          <w:rFonts w:ascii="Arial" w:hAnsi="Arial" w:cs="Arial"/>
          <w:sz w:val="21"/>
          <w:szCs w:val="21"/>
          <w:lang w:eastAsia="en-CA"/>
        </w:rPr>
      </w:pPr>
      <w:r w:rsidRPr="00D120D2">
        <w:rPr>
          <w:rFonts w:ascii="Arial" w:hAnsi="Arial" w:cs="Arial"/>
          <w:sz w:val="21"/>
          <w:szCs w:val="21"/>
          <w:lang w:eastAsia="en-CA"/>
        </w:rPr>
        <w:t>Ottawa Hospital Research Institute</w:t>
      </w:r>
      <w:r w:rsidRPr="00D120D2">
        <w:rPr>
          <w:rFonts w:ascii="Arial" w:hAnsi="Arial" w:cs="Arial"/>
          <w:sz w:val="21"/>
          <w:szCs w:val="21"/>
          <w:lang w:eastAsia="en-CA"/>
        </w:rPr>
        <w:tab/>
      </w:r>
    </w:p>
    <w:p w14:paraId="4656F302" w14:textId="058DF2E8" w:rsidR="00863821" w:rsidRPr="00D120D2" w:rsidRDefault="00863821" w:rsidP="00D120D2">
      <w:pPr>
        <w:pStyle w:val="NoSpacing"/>
        <w:spacing w:line="276" w:lineRule="auto"/>
        <w:rPr>
          <w:rFonts w:ascii="Arial" w:hAnsi="Arial" w:cs="Arial"/>
          <w:sz w:val="21"/>
          <w:szCs w:val="21"/>
          <w:lang w:eastAsia="en-CA"/>
        </w:rPr>
      </w:pPr>
      <w:r w:rsidRPr="00D120D2">
        <w:rPr>
          <w:rFonts w:ascii="Arial" w:hAnsi="Arial" w:cs="Arial"/>
          <w:sz w:val="21"/>
          <w:szCs w:val="21"/>
          <w:lang w:eastAsia="en-CA"/>
        </w:rPr>
        <w:t>501 Smyth Road, PO Box 201B, Ottawa, Ontario, Canada, K1H 8L6</w:t>
      </w:r>
    </w:p>
    <w:p w14:paraId="40150841" w14:textId="4ECA6CBF" w:rsidR="00863821" w:rsidRPr="00D120D2" w:rsidRDefault="00DA6F4C" w:rsidP="00D120D2">
      <w:pPr>
        <w:pStyle w:val="NoSpacing"/>
        <w:spacing w:line="276" w:lineRule="auto"/>
        <w:rPr>
          <w:rFonts w:ascii="Arial" w:hAnsi="Arial" w:cs="Arial"/>
          <w:sz w:val="21"/>
          <w:szCs w:val="21"/>
          <w:lang w:eastAsia="en-CA"/>
        </w:rPr>
      </w:pPr>
      <w:hyperlink r:id="rId4" w:history="1">
        <w:r w:rsidRPr="00D120D2">
          <w:rPr>
            <w:rStyle w:val="Hyperlink"/>
            <w:rFonts w:ascii="Arial" w:hAnsi="Arial" w:cs="Arial"/>
            <w:sz w:val="21"/>
            <w:szCs w:val="21"/>
            <w:lang w:eastAsia="en-CA"/>
          </w:rPr>
          <w:t>jcrawshaw@ohri.ca</w:t>
        </w:r>
      </w:hyperlink>
    </w:p>
    <w:p w14:paraId="622A1847" w14:textId="77777777" w:rsidR="00DA6F4C" w:rsidRPr="00D120D2" w:rsidRDefault="00DA6F4C" w:rsidP="00DA6F4C">
      <w:pPr>
        <w:pStyle w:val="NoSpacing"/>
        <w:rPr>
          <w:rFonts w:ascii="Arial" w:hAnsi="Arial" w:cs="Arial"/>
          <w:sz w:val="21"/>
          <w:szCs w:val="21"/>
          <w:lang w:eastAsia="en-CA"/>
        </w:rPr>
      </w:pPr>
    </w:p>
    <w:p w14:paraId="07287CD2" w14:textId="77777777" w:rsidR="00DA6F4C" w:rsidRPr="00D120D2" w:rsidRDefault="00DA6F4C" w:rsidP="00DA6F4C">
      <w:pPr>
        <w:pStyle w:val="NoSpacing"/>
        <w:rPr>
          <w:rFonts w:ascii="Arial" w:hAnsi="Arial" w:cs="Arial"/>
          <w:sz w:val="21"/>
          <w:szCs w:val="21"/>
          <w:lang w:eastAsia="en-CA"/>
        </w:rPr>
      </w:pPr>
    </w:p>
    <w:sectPr w:rsidR="00DA6F4C" w:rsidRPr="00D120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00"/>
    <w:rsid w:val="00290DE0"/>
    <w:rsid w:val="002E65F8"/>
    <w:rsid w:val="00336628"/>
    <w:rsid w:val="004E2670"/>
    <w:rsid w:val="00765F00"/>
    <w:rsid w:val="008500E2"/>
    <w:rsid w:val="00863821"/>
    <w:rsid w:val="008D3B34"/>
    <w:rsid w:val="00AC5A1D"/>
    <w:rsid w:val="00B8461C"/>
    <w:rsid w:val="00D120D2"/>
    <w:rsid w:val="00DA6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C463"/>
  <w15:chartTrackingRefBased/>
  <w15:docId w15:val="{0759A78A-D4C1-44CD-9142-6D540E20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5F00"/>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5F00"/>
    <w:rPr>
      <w:rFonts w:ascii="Times New Roman" w:eastAsia="Times New Roman" w:hAnsi="Times New Roman" w:cs="Times New Roman"/>
      <w:b/>
      <w:bCs/>
      <w:sz w:val="27"/>
      <w:szCs w:val="27"/>
      <w:lang w:eastAsia="en-CA"/>
    </w:rPr>
  </w:style>
  <w:style w:type="character" w:customStyle="1" w:styleId="bold">
    <w:name w:val="bold"/>
    <w:basedOn w:val="DefaultParagraphFont"/>
    <w:rsid w:val="00765F00"/>
  </w:style>
  <w:style w:type="paragraph" w:styleId="NoSpacing">
    <w:name w:val="No Spacing"/>
    <w:uiPriority w:val="1"/>
    <w:qFormat/>
    <w:rsid w:val="00DA6F4C"/>
    <w:pPr>
      <w:spacing w:after="0" w:line="240" w:lineRule="auto"/>
    </w:pPr>
  </w:style>
  <w:style w:type="character" w:styleId="Hyperlink">
    <w:name w:val="Hyperlink"/>
    <w:basedOn w:val="DefaultParagraphFont"/>
    <w:uiPriority w:val="99"/>
    <w:unhideWhenUsed/>
    <w:rsid w:val="00DA6F4C"/>
    <w:rPr>
      <w:color w:val="0563C1" w:themeColor="hyperlink"/>
      <w:u w:val="single"/>
    </w:rPr>
  </w:style>
  <w:style w:type="character" w:styleId="UnresolvedMention">
    <w:name w:val="Unresolved Mention"/>
    <w:basedOn w:val="DefaultParagraphFont"/>
    <w:uiPriority w:val="99"/>
    <w:semiHidden/>
    <w:unhideWhenUsed/>
    <w:rsid w:val="00DA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84020">
      <w:bodyDiv w:val="1"/>
      <w:marLeft w:val="0"/>
      <w:marRight w:val="0"/>
      <w:marTop w:val="0"/>
      <w:marBottom w:val="0"/>
      <w:divBdr>
        <w:top w:val="none" w:sz="0" w:space="0" w:color="auto"/>
        <w:left w:val="none" w:sz="0" w:space="0" w:color="auto"/>
        <w:bottom w:val="none" w:sz="0" w:space="0" w:color="auto"/>
        <w:right w:val="none" w:sz="0" w:space="0" w:color="auto"/>
      </w:divBdr>
      <w:divsChild>
        <w:div w:id="1245142448">
          <w:marLeft w:val="0"/>
          <w:marRight w:val="0"/>
          <w:marTop w:val="0"/>
          <w:marBottom w:val="0"/>
          <w:divBdr>
            <w:top w:val="none" w:sz="0" w:space="0" w:color="auto"/>
            <w:left w:val="none" w:sz="0" w:space="0" w:color="auto"/>
            <w:bottom w:val="none" w:sz="0" w:space="0" w:color="auto"/>
            <w:right w:val="none" w:sz="0" w:space="0" w:color="auto"/>
          </w:divBdr>
        </w:div>
        <w:div w:id="1821463187">
          <w:marLeft w:val="0"/>
          <w:marRight w:val="0"/>
          <w:marTop w:val="0"/>
          <w:marBottom w:val="0"/>
          <w:divBdr>
            <w:top w:val="none" w:sz="0" w:space="0" w:color="auto"/>
            <w:left w:val="none" w:sz="0" w:space="0" w:color="auto"/>
            <w:bottom w:val="none" w:sz="0" w:space="0" w:color="auto"/>
            <w:right w:val="none" w:sz="0" w:space="0" w:color="auto"/>
          </w:divBdr>
          <w:divsChild>
            <w:div w:id="1302805010">
              <w:marLeft w:val="0"/>
              <w:marRight w:val="0"/>
              <w:marTop w:val="0"/>
              <w:marBottom w:val="0"/>
              <w:divBdr>
                <w:top w:val="none" w:sz="0" w:space="0" w:color="auto"/>
                <w:left w:val="none" w:sz="0" w:space="0" w:color="auto"/>
                <w:bottom w:val="none" w:sz="0" w:space="0" w:color="auto"/>
                <w:right w:val="none" w:sz="0" w:space="0" w:color="auto"/>
              </w:divBdr>
              <w:divsChild>
                <w:div w:id="1304962388">
                  <w:marLeft w:val="0"/>
                  <w:marRight w:val="0"/>
                  <w:marTop w:val="150"/>
                  <w:marBottom w:val="150"/>
                  <w:divBdr>
                    <w:top w:val="none" w:sz="0" w:space="0" w:color="auto"/>
                    <w:left w:val="none" w:sz="0" w:space="0" w:color="auto"/>
                    <w:bottom w:val="none" w:sz="0" w:space="0" w:color="auto"/>
                    <w:right w:val="none" w:sz="0" w:space="0" w:color="auto"/>
                  </w:divBdr>
                </w:div>
                <w:div w:id="894315714">
                  <w:marLeft w:val="0"/>
                  <w:marRight w:val="0"/>
                  <w:marTop w:val="0"/>
                  <w:marBottom w:val="225"/>
                  <w:divBdr>
                    <w:top w:val="none" w:sz="0" w:space="0" w:color="auto"/>
                    <w:left w:val="none" w:sz="0" w:space="0" w:color="auto"/>
                    <w:bottom w:val="none" w:sz="0" w:space="0" w:color="auto"/>
                    <w:right w:val="none" w:sz="0" w:space="0" w:color="auto"/>
                  </w:divBdr>
                  <w:divsChild>
                    <w:div w:id="296688506">
                      <w:marLeft w:val="0"/>
                      <w:marRight w:val="0"/>
                      <w:marTop w:val="0"/>
                      <w:marBottom w:val="0"/>
                      <w:divBdr>
                        <w:top w:val="none" w:sz="0" w:space="0" w:color="auto"/>
                        <w:left w:val="none" w:sz="0" w:space="0" w:color="auto"/>
                        <w:bottom w:val="none" w:sz="0" w:space="0" w:color="auto"/>
                        <w:right w:val="none" w:sz="0" w:space="0" w:color="auto"/>
                      </w:divBdr>
                    </w:div>
                  </w:divsChild>
                </w:div>
                <w:div w:id="412897905">
                  <w:marLeft w:val="0"/>
                  <w:marRight w:val="0"/>
                  <w:marTop w:val="0"/>
                  <w:marBottom w:val="0"/>
                  <w:divBdr>
                    <w:top w:val="none" w:sz="0" w:space="0" w:color="auto"/>
                    <w:left w:val="none" w:sz="0" w:space="0" w:color="auto"/>
                    <w:bottom w:val="none" w:sz="0" w:space="0" w:color="auto"/>
                    <w:right w:val="none" w:sz="0" w:space="0" w:color="auto"/>
                  </w:divBdr>
                </w:div>
                <w:div w:id="1341156965">
                  <w:marLeft w:val="0"/>
                  <w:marRight w:val="0"/>
                  <w:marTop w:val="0"/>
                  <w:marBottom w:val="0"/>
                  <w:divBdr>
                    <w:top w:val="none" w:sz="0" w:space="0" w:color="auto"/>
                    <w:left w:val="none" w:sz="0" w:space="0" w:color="auto"/>
                    <w:bottom w:val="none" w:sz="0" w:space="0" w:color="auto"/>
                    <w:right w:val="none" w:sz="0" w:space="0" w:color="auto"/>
                  </w:divBdr>
                </w:div>
                <w:div w:id="1381056052">
                  <w:marLeft w:val="0"/>
                  <w:marRight w:val="0"/>
                  <w:marTop w:val="0"/>
                  <w:marBottom w:val="0"/>
                  <w:divBdr>
                    <w:top w:val="none" w:sz="0" w:space="0" w:color="auto"/>
                    <w:left w:val="none" w:sz="0" w:space="0" w:color="auto"/>
                    <w:bottom w:val="none" w:sz="0" w:space="0" w:color="auto"/>
                    <w:right w:val="none" w:sz="0" w:space="0" w:color="auto"/>
                  </w:divBdr>
                </w:div>
                <w:div w:id="1621296706">
                  <w:marLeft w:val="0"/>
                  <w:marRight w:val="0"/>
                  <w:marTop w:val="0"/>
                  <w:marBottom w:val="0"/>
                  <w:divBdr>
                    <w:top w:val="none" w:sz="0" w:space="0" w:color="auto"/>
                    <w:left w:val="none" w:sz="0" w:space="0" w:color="auto"/>
                    <w:bottom w:val="none" w:sz="0" w:space="0" w:color="auto"/>
                    <w:right w:val="none" w:sz="0" w:space="0" w:color="auto"/>
                  </w:divBdr>
                </w:div>
                <w:div w:id="703218519">
                  <w:marLeft w:val="0"/>
                  <w:marRight w:val="0"/>
                  <w:marTop w:val="0"/>
                  <w:marBottom w:val="0"/>
                  <w:divBdr>
                    <w:top w:val="none" w:sz="0" w:space="0" w:color="auto"/>
                    <w:left w:val="none" w:sz="0" w:space="0" w:color="auto"/>
                    <w:bottom w:val="none" w:sz="0" w:space="0" w:color="auto"/>
                    <w:right w:val="none" w:sz="0" w:space="0" w:color="auto"/>
                  </w:divBdr>
                </w:div>
                <w:div w:id="148446043">
                  <w:marLeft w:val="0"/>
                  <w:marRight w:val="0"/>
                  <w:marTop w:val="0"/>
                  <w:marBottom w:val="0"/>
                  <w:divBdr>
                    <w:top w:val="none" w:sz="0" w:space="0" w:color="auto"/>
                    <w:left w:val="none" w:sz="0" w:space="0" w:color="auto"/>
                    <w:bottom w:val="none" w:sz="0" w:space="0" w:color="auto"/>
                    <w:right w:val="none" w:sz="0" w:space="0" w:color="auto"/>
                  </w:divBdr>
                </w:div>
                <w:div w:id="3329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crawshaw@oh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415</Words>
  <Characters>2549</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Crawshaw</dc:creator>
  <cp:keywords/>
  <dc:description/>
  <cp:lastModifiedBy>Jake Crawshaw</cp:lastModifiedBy>
  <cp:revision>3</cp:revision>
  <dcterms:created xsi:type="dcterms:W3CDTF">2026-01-19T15:56:00Z</dcterms:created>
  <dcterms:modified xsi:type="dcterms:W3CDTF">2026-01-19T17:32:00Z</dcterms:modified>
</cp:coreProperties>
</file>