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D303" w14:textId="77777777" w:rsidR="00F515E9" w:rsidRPr="006D6338" w:rsidRDefault="00F515E9" w:rsidP="008B198D">
      <w:pPr>
        <w:pStyle w:val="BodyText"/>
        <w:spacing w:before="9"/>
        <w:ind w:right="-18" w:firstLine="78"/>
        <w:rPr>
          <w:rFonts w:ascii="Calibri" w:eastAsia="Calibri" w:hAnsi="Calibri" w:cs="Calibri"/>
          <w:b/>
          <w:bCs/>
        </w:rPr>
      </w:pPr>
    </w:p>
    <w:p w14:paraId="5E72CB9E" w14:textId="314D37EF" w:rsidR="00F515E9" w:rsidRPr="006D6338" w:rsidRDefault="00063F9C" w:rsidP="008B198D">
      <w:pPr>
        <w:pStyle w:val="Body"/>
        <w:spacing w:line="240" w:lineRule="auto"/>
        <w:ind w:right="-18"/>
        <w:jc w:val="center"/>
        <w:rPr>
          <w:rFonts w:ascii="Calibri" w:eastAsia="Calibri" w:hAnsi="Calibri" w:cs="Calibri"/>
          <w:kern w:val="2"/>
          <w:sz w:val="20"/>
          <w:szCs w:val="20"/>
        </w:rPr>
      </w:pPr>
      <w:r w:rsidRPr="006D6338">
        <w:rPr>
          <w:rFonts w:ascii="Calibri" w:hAnsi="Calibri" w:cs="Calibri"/>
          <w:kern w:val="2"/>
          <w:sz w:val="20"/>
          <w:szCs w:val="20"/>
        </w:rPr>
        <w:t xml:space="preserve">Fulcrum Metals </w:t>
      </w:r>
      <w:r w:rsidR="00C11396">
        <w:rPr>
          <w:rFonts w:ascii="Calibri" w:hAnsi="Calibri" w:cs="Calibri"/>
          <w:kern w:val="2"/>
          <w:sz w:val="20"/>
          <w:szCs w:val="20"/>
        </w:rPr>
        <w:t>Plc</w:t>
      </w:r>
      <w:r w:rsidRPr="006D6338">
        <w:rPr>
          <w:rFonts w:ascii="Calibri" w:hAnsi="Calibri" w:cs="Calibri"/>
          <w:kern w:val="2"/>
          <w:sz w:val="20"/>
          <w:szCs w:val="20"/>
        </w:rPr>
        <w:t xml:space="preserve"> / </w:t>
      </w:r>
      <w:r w:rsidR="00A702D4" w:rsidRPr="00A702D4">
        <w:rPr>
          <w:rFonts w:ascii="Calibri" w:hAnsi="Calibri" w:cs="Calibri"/>
          <w:kern w:val="2"/>
          <w:sz w:val="20"/>
          <w:szCs w:val="20"/>
        </w:rPr>
        <w:t>AIM: FMET</w:t>
      </w:r>
      <w:r w:rsidR="00A702D4">
        <w:rPr>
          <w:rFonts w:ascii="Calibri" w:hAnsi="Calibri" w:cs="Calibri"/>
          <w:kern w:val="2"/>
          <w:sz w:val="20"/>
          <w:szCs w:val="20"/>
        </w:rPr>
        <w:t xml:space="preserve"> / </w:t>
      </w:r>
      <w:r w:rsidR="00A702D4" w:rsidRPr="00A702D4">
        <w:rPr>
          <w:rFonts w:ascii="Calibri" w:hAnsi="Calibri" w:cs="Calibri"/>
          <w:kern w:val="2"/>
          <w:sz w:val="20"/>
          <w:szCs w:val="20"/>
        </w:rPr>
        <w:t>OTCQB: FULMF</w:t>
      </w:r>
      <w:r w:rsidR="00A702D4" w:rsidRPr="00A702D4" w:rsidDel="00A702D4">
        <w:rPr>
          <w:rFonts w:ascii="Calibri" w:hAnsi="Calibri" w:cs="Calibri"/>
          <w:kern w:val="2"/>
          <w:sz w:val="20"/>
          <w:szCs w:val="20"/>
        </w:rPr>
        <w:t xml:space="preserve"> </w:t>
      </w:r>
      <w:r w:rsidRPr="006D6338">
        <w:rPr>
          <w:rFonts w:ascii="Calibri" w:hAnsi="Calibri" w:cs="Calibri"/>
          <w:kern w:val="2"/>
          <w:sz w:val="20"/>
          <w:szCs w:val="20"/>
        </w:rPr>
        <w:t>/ Sector: Mining</w:t>
      </w:r>
    </w:p>
    <w:p w14:paraId="74FA48B5" w14:textId="77777777" w:rsidR="00F515E9" w:rsidRPr="006D6338" w:rsidRDefault="00F515E9" w:rsidP="008B198D">
      <w:pPr>
        <w:pStyle w:val="Body"/>
        <w:spacing w:line="240" w:lineRule="auto"/>
        <w:ind w:right="-18"/>
        <w:jc w:val="both"/>
        <w:rPr>
          <w:rFonts w:ascii="Calibri" w:eastAsia="Calibri" w:hAnsi="Calibri" w:cs="Calibri"/>
          <w:kern w:val="2"/>
          <w:sz w:val="20"/>
          <w:szCs w:val="20"/>
        </w:rPr>
      </w:pPr>
    </w:p>
    <w:p w14:paraId="40C43F91" w14:textId="777D09D7" w:rsidR="00F515E9" w:rsidRPr="006D6338" w:rsidRDefault="00A23525" w:rsidP="008B198D">
      <w:pPr>
        <w:pStyle w:val="Body"/>
        <w:spacing w:line="240" w:lineRule="auto"/>
        <w:ind w:right="-18"/>
        <w:jc w:val="both"/>
        <w:rPr>
          <w:rFonts w:ascii="Calibri" w:eastAsia="Calibri" w:hAnsi="Calibri" w:cs="Calibri"/>
          <w:kern w:val="2"/>
          <w:sz w:val="20"/>
          <w:szCs w:val="20"/>
        </w:rPr>
      </w:pPr>
      <w:r w:rsidRPr="006D6338">
        <w:rPr>
          <w:rFonts w:ascii="Calibri" w:hAnsi="Calibri" w:cs="Calibri"/>
          <w:sz w:val="20"/>
          <w:szCs w:val="20"/>
        </w:rPr>
        <w:t>28 September 2026</w:t>
      </w:r>
    </w:p>
    <w:p w14:paraId="43C7623C" w14:textId="77777777" w:rsidR="00F515E9" w:rsidRPr="006D6338" w:rsidRDefault="00F515E9" w:rsidP="008B198D">
      <w:pPr>
        <w:pStyle w:val="Body"/>
        <w:spacing w:line="240" w:lineRule="auto"/>
        <w:ind w:right="-18"/>
        <w:jc w:val="both"/>
        <w:rPr>
          <w:rFonts w:ascii="Calibri" w:eastAsia="Calibri" w:hAnsi="Calibri" w:cs="Calibri"/>
          <w:b/>
          <w:bCs/>
          <w:sz w:val="20"/>
          <w:szCs w:val="20"/>
          <w14:textOutline w14:w="12700" w14:cap="flat" w14:cmpd="sng" w14:algn="ctr">
            <w14:noFill/>
            <w14:prstDash w14:val="solid"/>
            <w14:miter w14:lim="400000"/>
          </w14:textOutline>
        </w:rPr>
      </w:pPr>
    </w:p>
    <w:p w14:paraId="5310795A" w14:textId="7A679088" w:rsidR="00F515E9" w:rsidRPr="006D6338" w:rsidRDefault="00063F9C" w:rsidP="008B198D">
      <w:pPr>
        <w:pStyle w:val="Body"/>
        <w:spacing w:line="240" w:lineRule="auto"/>
        <w:ind w:right="-18"/>
        <w:jc w:val="center"/>
        <w:rPr>
          <w:rFonts w:ascii="Calibri" w:eastAsia="Calibri" w:hAnsi="Calibri" w:cs="Calibri"/>
          <w:b/>
          <w:bCs/>
          <w:sz w:val="24"/>
          <w:szCs w:val="24"/>
          <w14:textOutline w14:w="12700" w14:cap="flat" w14:cmpd="sng" w14:algn="ctr">
            <w14:noFill/>
            <w14:prstDash w14:val="solid"/>
            <w14:miter w14:lim="400000"/>
          </w14:textOutline>
        </w:rPr>
      </w:pPr>
      <w:r w:rsidRPr="006D6338">
        <w:rPr>
          <w:rFonts w:ascii="Calibri" w:hAnsi="Calibri" w:cs="Calibri"/>
          <w:b/>
          <w:bCs/>
          <w:sz w:val="24"/>
          <w:szCs w:val="24"/>
          <w14:textOutline w14:w="12700" w14:cap="flat" w14:cmpd="sng" w14:algn="ctr">
            <w14:noFill/>
            <w14:prstDash w14:val="solid"/>
            <w14:miter w14:lim="400000"/>
          </w14:textOutline>
        </w:rPr>
        <w:t xml:space="preserve">Fulcrum Metals </w:t>
      </w:r>
      <w:r w:rsidR="00C11396">
        <w:rPr>
          <w:rFonts w:ascii="Calibri" w:hAnsi="Calibri" w:cs="Calibri"/>
          <w:b/>
          <w:bCs/>
          <w:sz w:val="24"/>
          <w:szCs w:val="24"/>
          <w14:textOutline w14:w="12700" w14:cap="flat" w14:cmpd="sng" w14:algn="ctr">
            <w14:noFill/>
            <w14:prstDash w14:val="solid"/>
            <w14:miter w14:lim="400000"/>
          </w14:textOutline>
        </w:rPr>
        <w:t>Plc</w:t>
      </w:r>
    </w:p>
    <w:p w14:paraId="3A0C5E91" w14:textId="77777777" w:rsidR="00F515E9" w:rsidRPr="006D6338" w:rsidRDefault="00063F9C" w:rsidP="008B198D">
      <w:pPr>
        <w:pStyle w:val="Body"/>
        <w:spacing w:line="240" w:lineRule="auto"/>
        <w:ind w:right="-18"/>
        <w:jc w:val="center"/>
        <w:rPr>
          <w:rFonts w:ascii="Calibri" w:eastAsia="Calibri" w:hAnsi="Calibri" w:cs="Calibri"/>
          <w:sz w:val="24"/>
          <w:szCs w:val="24"/>
          <w14:textOutline w14:w="12700" w14:cap="flat" w14:cmpd="sng" w14:algn="ctr">
            <w14:noFill/>
            <w14:prstDash w14:val="solid"/>
            <w14:miter w14:lim="400000"/>
          </w14:textOutline>
        </w:rPr>
      </w:pPr>
      <w:r w:rsidRPr="006D6338">
        <w:rPr>
          <w:rFonts w:ascii="Calibri" w:hAnsi="Calibri" w:cs="Calibri"/>
          <w:sz w:val="24"/>
          <w:szCs w:val="24"/>
          <w14:textOutline w14:w="12700" w14:cap="flat" w14:cmpd="sng" w14:algn="ctr">
            <w14:noFill/>
            <w14:prstDash w14:val="solid"/>
            <w14:miter w14:lim="400000"/>
          </w14:textOutline>
        </w:rPr>
        <w:t>(</w:t>
      </w:r>
      <w:r w:rsidRPr="006D6338">
        <w:rPr>
          <w:rFonts w:ascii="Calibri" w:hAnsi="Calibri" w:cs="Calibri"/>
          <w:sz w:val="24"/>
          <w:szCs w:val="24"/>
          <w:rtl/>
          <w:lang w:val="ar-SA"/>
          <w14:textOutline w14:w="12700" w14:cap="flat" w14:cmpd="sng" w14:algn="ctr">
            <w14:noFill/>
            <w14:prstDash w14:val="solid"/>
            <w14:miter w14:lim="400000"/>
          </w14:textOutline>
        </w:rPr>
        <w:t>“</w:t>
      </w:r>
      <w:r w:rsidRPr="006D6338">
        <w:rPr>
          <w:rFonts w:ascii="Calibri" w:hAnsi="Calibri" w:cs="Calibri"/>
          <w:sz w:val="24"/>
          <w:szCs w:val="24"/>
          <w14:textOutline w14:w="12700" w14:cap="flat" w14:cmpd="sng" w14:algn="ctr">
            <w14:noFill/>
            <w14:prstDash w14:val="solid"/>
            <w14:miter w14:lim="400000"/>
          </w14:textOutline>
        </w:rPr>
        <w:t xml:space="preserve">Fulcrum” or the </w:t>
      </w:r>
      <w:r w:rsidRPr="006D6338">
        <w:rPr>
          <w:rFonts w:ascii="Calibri" w:hAnsi="Calibri" w:cs="Calibri"/>
          <w:sz w:val="24"/>
          <w:szCs w:val="24"/>
          <w:rtl/>
          <w:lang w:val="ar-SA"/>
          <w14:textOutline w14:w="12700" w14:cap="flat" w14:cmpd="sng" w14:algn="ctr">
            <w14:noFill/>
            <w14:prstDash w14:val="solid"/>
            <w14:miter w14:lim="400000"/>
          </w14:textOutline>
        </w:rPr>
        <w:t>“</w:t>
      </w:r>
      <w:r w:rsidRPr="006D6338">
        <w:rPr>
          <w:rFonts w:ascii="Calibri" w:hAnsi="Calibri" w:cs="Calibri"/>
          <w:sz w:val="24"/>
          <w:szCs w:val="24"/>
          <w14:textOutline w14:w="12700" w14:cap="flat" w14:cmpd="sng" w14:algn="ctr">
            <w14:noFill/>
            <w14:prstDash w14:val="solid"/>
            <w14:miter w14:lim="400000"/>
          </w14:textOutline>
        </w:rPr>
        <w:t xml:space="preserve">Company” or the </w:t>
      </w:r>
      <w:r w:rsidRPr="006D6338">
        <w:rPr>
          <w:rFonts w:ascii="Calibri" w:hAnsi="Calibri" w:cs="Calibri"/>
          <w:sz w:val="24"/>
          <w:szCs w:val="24"/>
          <w:rtl/>
          <w:lang w:val="ar-SA"/>
          <w14:textOutline w14:w="12700" w14:cap="flat" w14:cmpd="sng" w14:algn="ctr">
            <w14:noFill/>
            <w14:prstDash w14:val="solid"/>
            <w14:miter w14:lim="400000"/>
          </w14:textOutline>
        </w:rPr>
        <w:t>“</w:t>
      </w:r>
      <w:r w:rsidRPr="006D6338">
        <w:rPr>
          <w:rFonts w:ascii="Calibri" w:hAnsi="Calibri" w:cs="Calibri"/>
          <w:sz w:val="24"/>
          <w:szCs w:val="24"/>
          <w:lang w:val="fr-FR"/>
          <w14:textOutline w14:w="12700" w14:cap="flat" w14:cmpd="sng" w14:algn="ctr">
            <w14:noFill/>
            <w14:prstDash w14:val="solid"/>
            <w14:miter w14:lim="400000"/>
          </w14:textOutline>
        </w:rPr>
        <w:t>Group</w:t>
      </w:r>
      <w:r w:rsidRPr="006D6338">
        <w:rPr>
          <w:rFonts w:ascii="Calibri" w:hAnsi="Calibri" w:cs="Calibri"/>
          <w:sz w:val="24"/>
          <w:szCs w:val="24"/>
          <w14:textOutline w14:w="12700" w14:cap="flat" w14:cmpd="sng" w14:algn="ctr">
            <w14:noFill/>
            <w14:prstDash w14:val="solid"/>
            <w14:miter w14:lim="400000"/>
          </w14:textOutline>
        </w:rPr>
        <w:t>”)</w:t>
      </w:r>
    </w:p>
    <w:p w14:paraId="0794B799" w14:textId="77777777" w:rsidR="00F515E9" w:rsidRPr="006D6338" w:rsidRDefault="00F515E9" w:rsidP="008B198D">
      <w:pPr>
        <w:pStyle w:val="Body"/>
        <w:spacing w:line="240" w:lineRule="auto"/>
        <w:ind w:right="-18"/>
        <w:jc w:val="center"/>
        <w:rPr>
          <w:rFonts w:ascii="Calibri" w:eastAsia="Calibri" w:hAnsi="Calibri" w:cs="Calibri"/>
          <w:sz w:val="24"/>
          <w:szCs w:val="24"/>
          <w14:textOutline w14:w="12700" w14:cap="flat" w14:cmpd="sng" w14:algn="ctr">
            <w14:noFill/>
            <w14:prstDash w14:val="solid"/>
            <w14:miter w14:lim="400000"/>
          </w14:textOutline>
        </w:rPr>
      </w:pPr>
    </w:p>
    <w:p w14:paraId="6F5410AB" w14:textId="77777777" w:rsidR="00F515E9" w:rsidRPr="006D6338" w:rsidRDefault="00063F9C" w:rsidP="008B198D">
      <w:pPr>
        <w:pStyle w:val="Body"/>
        <w:spacing w:line="240" w:lineRule="auto"/>
        <w:ind w:right="-18"/>
        <w:jc w:val="center"/>
        <w:rPr>
          <w:rFonts w:ascii="Calibri" w:eastAsia="Calibri" w:hAnsi="Calibri" w:cs="Calibri"/>
          <w:b/>
          <w:bCs/>
          <w:sz w:val="24"/>
          <w:szCs w:val="24"/>
          <w14:textOutline w14:w="12700" w14:cap="flat" w14:cmpd="sng" w14:algn="ctr">
            <w14:noFill/>
            <w14:prstDash w14:val="solid"/>
            <w14:miter w14:lim="400000"/>
          </w14:textOutline>
        </w:rPr>
      </w:pPr>
      <w:bookmarkStart w:id="0" w:name="_Hlk140065337"/>
      <w:r w:rsidRPr="006D6338">
        <w:rPr>
          <w:rFonts w:ascii="Calibri" w:hAnsi="Calibri" w:cs="Calibri"/>
          <w:b/>
          <w:bCs/>
          <w:sz w:val="24"/>
          <w:szCs w:val="24"/>
          <w14:textOutline w14:w="12700" w14:cap="flat" w14:cmpd="sng" w14:algn="ctr">
            <w14:noFill/>
            <w14:prstDash w14:val="solid"/>
            <w14:miter w14:lim="400000"/>
          </w14:textOutline>
        </w:rPr>
        <w:t>Unaudited interim results for the six months to 30 June 2026</w:t>
      </w:r>
      <w:bookmarkEnd w:id="0"/>
    </w:p>
    <w:p w14:paraId="071050C8" w14:textId="77777777" w:rsidR="00F515E9" w:rsidRPr="006D6338" w:rsidRDefault="00F515E9" w:rsidP="008B198D">
      <w:pPr>
        <w:pStyle w:val="Body"/>
        <w:spacing w:line="240" w:lineRule="auto"/>
        <w:ind w:right="-18"/>
        <w:jc w:val="both"/>
        <w:rPr>
          <w:rFonts w:ascii="Calibri" w:eastAsia="Calibri" w:hAnsi="Calibri" w:cs="Calibri"/>
          <w:sz w:val="20"/>
          <w:szCs w:val="20"/>
        </w:rPr>
      </w:pPr>
    </w:p>
    <w:p w14:paraId="17F7C846" w14:textId="7220A0E6" w:rsidR="00F515E9" w:rsidRPr="006D6338" w:rsidRDefault="00063F9C" w:rsidP="008B198D">
      <w:pPr>
        <w:pStyle w:val="Body"/>
        <w:spacing w:line="240" w:lineRule="auto"/>
        <w:ind w:right="-18"/>
        <w:jc w:val="both"/>
        <w:rPr>
          <w:rFonts w:ascii="Calibri" w:hAnsi="Calibri" w:cs="Calibri"/>
          <w:sz w:val="20"/>
          <w:szCs w:val="20"/>
        </w:rPr>
      </w:pPr>
      <w:r w:rsidRPr="006D6338">
        <w:rPr>
          <w:rFonts w:ascii="Calibri" w:hAnsi="Calibri" w:cs="Calibri"/>
          <w:sz w:val="20"/>
          <w:szCs w:val="20"/>
        </w:rPr>
        <w:t xml:space="preserve">Fulcrum Metals </w:t>
      </w:r>
      <w:r w:rsidR="00C11396">
        <w:rPr>
          <w:rFonts w:ascii="Calibri" w:hAnsi="Calibri" w:cs="Calibri"/>
          <w:sz w:val="20"/>
          <w:szCs w:val="20"/>
        </w:rPr>
        <w:t>Plc</w:t>
      </w:r>
      <w:r w:rsidRPr="006D6338">
        <w:rPr>
          <w:rFonts w:ascii="Calibri" w:hAnsi="Calibri" w:cs="Calibri"/>
          <w:sz w:val="20"/>
          <w:szCs w:val="20"/>
        </w:rPr>
        <w:t xml:space="preserve"> (AIM: FMET</w:t>
      </w:r>
      <w:r w:rsidR="00FE759D" w:rsidRPr="006D6338">
        <w:rPr>
          <w:rFonts w:ascii="Calibri" w:hAnsi="Calibri" w:cs="Calibri"/>
          <w:sz w:val="20"/>
          <w:szCs w:val="20"/>
        </w:rPr>
        <w:t>,</w:t>
      </w:r>
      <w:r w:rsidRPr="006D6338">
        <w:rPr>
          <w:rFonts w:ascii="Calibri" w:hAnsi="Calibri" w:cs="Calibri"/>
          <w:sz w:val="20"/>
          <w:szCs w:val="20"/>
        </w:rPr>
        <w:t xml:space="preserve"> OTCQB: FULMF), a company pioneering the use of innovative cyanide-free technologies developed by Extrakt Process Solutions to recover precious and critical metals from mine waste and </w:t>
      </w:r>
      <w:r w:rsidR="00FE759D" w:rsidRPr="006D6338">
        <w:rPr>
          <w:rFonts w:ascii="Calibri" w:hAnsi="Calibri" w:cs="Calibri"/>
          <w:sz w:val="20"/>
          <w:szCs w:val="20"/>
        </w:rPr>
        <w:t xml:space="preserve">to </w:t>
      </w:r>
      <w:r w:rsidRPr="006D6338">
        <w:rPr>
          <w:rFonts w:ascii="Calibri" w:hAnsi="Calibri" w:cs="Calibri"/>
          <w:sz w:val="20"/>
          <w:szCs w:val="20"/>
        </w:rPr>
        <w:t xml:space="preserve">support </w:t>
      </w:r>
      <w:r w:rsidR="00FE759D" w:rsidRPr="006D6338">
        <w:rPr>
          <w:rFonts w:ascii="Calibri" w:hAnsi="Calibri" w:cs="Calibri"/>
          <w:sz w:val="20"/>
          <w:szCs w:val="20"/>
        </w:rPr>
        <w:t xml:space="preserve">potential </w:t>
      </w:r>
      <w:r w:rsidRPr="006D6338">
        <w:rPr>
          <w:rFonts w:ascii="Calibri" w:hAnsi="Calibri" w:cs="Calibri"/>
          <w:sz w:val="20"/>
          <w:szCs w:val="20"/>
        </w:rPr>
        <w:t>site regeneration, announces interim results for the six months to 30 June 2026.</w:t>
      </w:r>
    </w:p>
    <w:p w14:paraId="79905331" w14:textId="77777777" w:rsidR="006B00B2" w:rsidRPr="006D6338" w:rsidRDefault="006B00B2" w:rsidP="006B00B2">
      <w:pPr>
        <w:pStyle w:val="Body"/>
        <w:ind w:right="-18"/>
        <w:jc w:val="both"/>
        <w:rPr>
          <w:rFonts w:ascii="Calibri" w:eastAsia="Calibri" w:hAnsi="Calibri" w:cs="Calibri"/>
          <w:b/>
          <w:bCs/>
          <w:sz w:val="20"/>
          <w:szCs w:val="20"/>
          <w:lang w:val="en-GB"/>
        </w:rPr>
      </w:pPr>
      <w:r w:rsidRPr="006D6338">
        <w:rPr>
          <w:rFonts w:ascii="Calibri" w:eastAsia="Calibri" w:hAnsi="Calibri" w:cs="Calibri"/>
          <w:b/>
          <w:bCs/>
          <w:sz w:val="20"/>
          <w:szCs w:val="20"/>
          <w:lang w:val="en-GB"/>
        </w:rPr>
        <w:t>Operational and Strategic Highlights</w:t>
      </w:r>
    </w:p>
    <w:p w14:paraId="4F7B7CA0" w14:textId="77777777" w:rsidR="00932D01" w:rsidRPr="006D6338" w:rsidRDefault="00932D01" w:rsidP="00932D01">
      <w:pPr>
        <w:pStyle w:val="Body"/>
        <w:numPr>
          <w:ilvl w:val="0"/>
          <w:numId w:val="18"/>
        </w:numPr>
        <w:rPr>
          <w:rFonts w:ascii="Calibri" w:eastAsia="Calibri" w:hAnsi="Calibri" w:cs="Calibri"/>
          <w:sz w:val="20"/>
          <w:szCs w:val="20"/>
          <w:lang w:val="en-GB"/>
        </w:rPr>
      </w:pPr>
      <w:r w:rsidRPr="006D6338">
        <w:rPr>
          <w:rFonts w:ascii="Calibri" w:eastAsia="Calibri" w:hAnsi="Calibri" w:cs="Calibri"/>
          <w:sz w:val="20"/>
          <w:szCs w:val="20"/>
          <w:lang w:val="en-GB"/>
        </w:rPr>
        <w:t xml:space="preserve">Transitioned from technical validation and strategic positioning into execution, with Teck-Hughes Phase 3 testing achieving 78% gold recovery alongside strong recoveries of other precious, base and critical metals </w:t>
      </w:r>
    </w:p>
    <w:p w14:paraId="4F68DA1E" w14:textId="14ADEED1" w:rsidR="00932D01" w:rsidRPr="006D6338" w:rsidRDefault="00932D01" w:rsidP="00932D01">
      <w:pPr>
        <w:pStyle w:val="Body"/>
        <w:numPr>
          <w:ilvl w:val="0"/>
          <w:numId w:val="18"/>
        </w:numPr>
        <w:rPr>
          <w:rFonts w:ascii="Calibri" w:eastAsia="Calibri" w:hAnsi="Calibri" w:cs="Calibri"/>
          <w:sz w:val="20"/>
          <w:szCs w:val="20"/>
          <w:lang w:val="en-GB"/>
        </w:rPr>
      </w:pPr>
      <w:r w:rsidRPr="006D6338">
        <w:rPr>
          <w:rFonts w:ascii="Calibri" w:eastAsia="Calibri" w:hAnsi="Calibri" w:cs="Calibri"/>
          <w:sz w:val="20"/>
          <w:szCs w:val="20"/>
          <w:lang w:val="en-GB"/>
        </w:rPr>
        <w:t xml:space="preserve">Reported multi-metal assays from the 159-hole Teck-Hughes auger programme, strengthening the dataset </w:t>
      </w:r>
      <w:r w:rsidR="00C11396">
        <w:rPr>
          <w:rFonts w:ascii="Calibri" w:eastAsia="Calibri" w:hAnsi="Calibri" w:cs="Calibri"/>
          <w:sz w:val="20"/>
          <w:szCs w:val="20"/>
          <w:lang w:val="en-GB"/>
        </w:rPr>
        <w:t xml:space="preserve">to </w:t>
      </w:r>
      <w:r w:rsidRPr="006D6338">
        <w:rPr>
          <w:rFonts w:ascii="Calibri" w:eastAsia="Calibri" w:hAnsi="Calibri" w:cs="Calibri"/>
          <w:sz w:val="20"/>
          <w:szCs w:val="20"/>
          <w:lang w:val="en-GB"/>
        </w:rPr>
        <w:t xml:space="preserve">support </w:t>
      </w:r>
      <w:r w:rsidR="00C11396">
        <w:rPr>
          <w:rFonts w:ascii="Calibri" w:eastAsia="Calibri" w:hAnsi="Calibri" w:cs="Calibri"/>
          <w:sz w:val="20"/>
          <w:szCs w:val="20"/>
          <w:lang w:val="en-GB"/>
        </w:rPr>
        <w:t>a</w:t>
      </w:r>
      <w:r w:rsidR="00C11396" w:rsidRPr="006D6338">
        <w:rPr>
          <w:rFonts w:ascii="Calibri" w:eastAsia="Calibri" w:hAnsi="Calibri" w:cs="Calibri"/>
          <w:sz w:val="20"/>
          <w:szCs w:val="20"/>
          <w:lang w:val="en-GB"/>
        </w:rPr>
        <w:t xml:space="preserve"> </w:t>
      </w:r>
      <w:r w:rsidR="00C11396">
        <w:rPr>
          <w:rFonts w:ascii="Calibri" w:eastAsia="Calibri" w:hAnsi="Calibri" w:cs="Calibri"/>
          <w:sz w:val="20"/>
          <w:szCs w:val="20"/>
          <w:lang w:val="en-GB"/>
        </w:rPr>
        <w:t xml:space="preserve">43-101 compliant </w:t>
      </w:r>
      <w:r w:rsidRPr="006D6338">
        <w:rPr>
          <w:rFonts w:ascii="Calibri" w:eastAsia="Calibri" w:hAnsi="Calibri" w:cs="Calibri"/>
          <w:sz w:val="20"/>
          <w:szCs w:val="20"/>
          <w:lang w:val="en-GB"/>
        </w:rPr>
        <w:t xml:space="preserve">Mineral Resource Estimate and pilot programme </w:t>
      </w:r>
    </w:p>
    <w:p w14:paraId="0484A27E" w14:textId="77777777" w:rsidR="00932D01" w:rsidRPr="006D6338" w:rsidRDefault="00932D01" w:rsidP="00932D01">
      <w:pPr>
        <w:pStyle w:val="Body"/>
        <w:numPr>
          <w:ilvl w:val="0"/>
          <w:numId w:val="18"/>
        </w:numPr>
        <w:rPr>
          <w:rFonts w:ascii="Calibri" w:eastAsia="Calibri" w:hAnsi="Calibri" w:cs="Calibri"/>
          <w:sz w:val="20"/>
          <w:szCs w:val="20"/>
          <w:lang w:val="en-GB"/>
        </w:rPr>
      </w:pPr>
      <w:r w:rsidRPr="006D6338">
        <w:rPr>
          <w:rFonts w:ascii="Calibri" w:eastAsia="Calibri" w:hAnsi="Calibri" w:cs="Calibri"/>
          <w:sz w:val="20"/>
          <w:szCs w:val="20"/>
          <w:lang w:val="en-GB"/>
        </w:rPr>
        <w:t>Completed the pilot concept study and signed the TDI Piloting Agreement, establishing the delivery framework for a reusable pilot facility with capacity of up to 2.4 tonnes per day, supported by Extrakt and Bechtel</w:t>
      </w:r>
    </w:p>
    <w:p w14:paraId="6F5A7D55" w14:textId="4E4EFA91" w:rsidR="00932D01" w:rsidRPr="006D6338" w:rsidRDefault="00932D01" w:rsidP="00932D01">
      <w:pPr>
        <w:pStyle w:val="Body"/>
        <w:numPr>
          <w:ilvl w:val="0"/>
          <w:numId w:val="18"/>
        </w:numPr>
        <w:rPr>
          <w:rFonts w:ascii="Calibri" w:eastAsia="Calibri" w:hAnsi="Calibri" w:cs="Calibri"/>
          <w:sz w:val="20"/>
          <w:szCs w:val="20"/>
          <w:lang w:val="en-GB"/>
        </w:rPr>
      </w:pPr>
      <w:r w:rsidRPr="006D6338">
        <w:rPr>
          <w:rFonts w:ascii="Calibri" w:eastAsia="Calibri" w:hAnsi="Calibri" w:cs="Calibri"/>
          <w:sz w:val="20"/>
          <w:szCs w:val="20"/>
          <w:lang w:val="en-GB"/>
        </w:rPr>
        <w:t>Positioned Teck-Hughes and Sylvanite, comprising a</w:t>
      </w:r>
      <w:r w:rsidR="00C11396">
        <w:rPr>
          <w:rFonts w:ascii="Calibri" w:eastAsia="Calibri" w:hAnsi="Calibri" w:cs="Calibri"/>
          <w:sz w:val="20"/>
          <w:szCs w:val="20"/>
          <w:lang w:val="en-GB"/>
        </w:rPr>
        <w:t xml:space="preserve"> historical </w:t>
      </w:r>
      <w:r w:rsidRPr="006D6338">
        <w:rPr>
          <w:rFonts w:ascii="Calibri" w:eastAsia="Calibri" w:hAnsi="Calibri" w:cs="Calibri"/>
          <w:sz w:val="20"/>
          <w:szCs w:val="20"/>
          <w:lang w:val="en-GB"/>
        </w:rPr>
        <w:t xml:space="preserve">estimate </w:t>
      </w:r>
      <w:r w:rsidR="00C11396">
        <w:rPr>
          <w:rFonts w:ascii="Calibri" w:eastAsia="Calibri" w:hAnsi="Calibri" w:cs="Calibri"/>
          <w:sz w:val="20"/>
          <w:szCs w:val="20"/>
          <w:lang w:val="en-GB"/>
        </w:rPr>
        <w:t xml:space="preserve">of </w:t>
      </w:r>
      <w:r w:rsidRPr="006D6338">
        <w:rPr>
          <w:rFonts w:ascii="Calibri" w:eastAsia="Calibri" w:hAnsi="Calibri" w:cs="Calibri"/>
          <w:sz w:val="20"/>
          <w:szCs w:val="20"/>
          <w:lang w:val="en-GB"/>
        </w:rPr>
        <w:t>10.7 million tonnes</w:t>
      </w:r>
      <w:r w:rsidR="00301181">
        <w:rPr>
          <w:rFonts w:ascii="Calibri" w:eastAsia="Calibri" w:hAnsi="Calibri" w:cs="Calibri"/>
          <w:sz w:val="20"/>
          <w:szCs w:val="20"/>
          <w:lang w:val="en-GB"/>
        </w:rPr>
        <w:t>*</w:t>
      </w:r>
      <w:r w:rsidRPr="006D6338">
        <w:rPr>
          <w:rFonts w:ascii="Calibri" w:eastAsia="Calibri" w:hAnsi="Calibri" w:cs="Calibri"/>
          <w:sz w:val="20"/>
          <w:szCs w:val="20"/>
          <w:lang w:val="en-GB"/>
        </w:rPr>
        <w:t xml:space="preserve"> of tailings, as the initial projects within a scalable platform underpinned by Fulcrum’s existing exclusive Extrakt rights across Timmins and Kirkland Lake which contains 70+ documented legacy mine-waste sites </w:t>
      </w:r>
    </w:p>
    <w:p w14:paraId="224EB46A" w14:textId="523C5805" w:rsidR="006B00B2" w:rsidRPr="006D6338" w:rsidRDefault="00932D01" w:rsidP="00932D01">
      <w:pPr>
        <w:pStyle w:val="Body"/>
        <w:numPr>
          <w:ilvl w:val="0"/>
          <w:numId w:val="18"/>
        </w:numPr>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t xml:space="preserve">Post period: ordered certain major long-lead pilot equipment and </w:t>
      </w:r>
      <w:r w:rsidR="00A64FF5">
        <w:rPr>
          <w:rFonts w:ascii="Calibri" w:eastAsia="Calibri" w:hAnsi="Calibri" w:cs="Calibri"/>
          <w:sz w:val="20"/>
          <w:szCs w:val="20"/>
          <w:lang w:val="en-GB"/>
        </w:rPr>
        <w:t xml:space="preserve">entered into </w:t>
      </w:r>
      <w:r w:rsidR="000E2DC4" w:rsidRPr="006D6338">
        <w:rPr>
          <w:rFonts w:ascii="Calibri" w:eastAsia="Calibri" w:hAnsi="Calibri" w:cs="Calibri"/>
          <w:sz w:val="20"/>
          <w:szCs w:val="20"/>
          <w:lang w:val="en-GB"/>
        </w:rPr>
        <w:t>late</w:t>
      </w:r>
      <w:r w:rsidR="005613BA" w:rsidRPr="006D6338">
        <w:rPr>
          <w:rFonts w:ascii="Calibri" w:eastAsia="Calibri" w:hAnsi="Calibri" w:cs="Calibri"/>
          <w:sz w:val="20"/>
          <w:szCs w:val="20"/>
          <w:lang w:val="en-GB"/>
        </w:rPr>
        <w:t>-s</w:t>
      </w:r>
      <w:r w:rsidR="000E2DC4" w:rsidRPr="006D6338">
        <w:rPr>
          <w:rFonts w:ascii="Calibri" w:eastAsia="Calibri" w:hAnsi="Calibri" w:cs="Calibri"/>
          <w:sz w:val="20"/>
          <w:szCs w:val="20"/>
          <w:lang w:val="en-GB"/>
        </w:rPr>
        <w:t xml:space="preserve">tage discussions </w:t>
      </w:r>
      <w:r w:rsidRPr="006D6338">
        <w:rPr>
          <w:rFonts w:ascii="Calibri" w:eastAsia="Calibri" w:hAnsi="Calibri" w:cs="Calibri"/>
          <w:sz w:val="20"/>
          <w:szCs w:val="20"/>
          <w:lang w:val="en-GB"/>
        </w:rPr>
        <w:t xml:space="preserve">regarding a specific </w:t>
      </w:r>
      <w:r w:rsidR="000E2DC4" w:rsidRPr="006D6338">
        <w:rPr>
          <w:rFonts w:ascii="Calibri" w:eastAsia="Calibri" w:hAnsi="Calibri" w:cs="Calibri"/>
          <w:sz w:val="20"/>
          <w:szCs w:val="20"/>
          <w:lang w:val="en-GB"/>
        </w:rPr>
        <w:t xml:space="preserve">site in the Greater Toronto Area, </w:t>
      </w:r>
      <w:r w:rsidRPr="006D6338">
        <w:rPr>
          <w:rFonts w:ascii="Calibri" w:eastAsia="Calibri" w:hAnsi="Calibri" w:cs="Calibri"/>
          <w:sz w:val="20"/>
          <w:szCs w:val="20"/>
          <w:lang w:val="en-GB"/>
        </w:rPr>
        <w:t xml:space="preserve">Ontario </w:t>
      </w:r>
    </w:p>
    <w:p w14:paraId="406C0F57" w14:textId="77777777" w:rsidR="006B00B2" w:rsidRPr="006D6338" w:rsidRDefault="006B00B2" w:rsidP="006B00B2">
      <w:pPr>
        <w:pStyle w:val="Body"/>
        <w:ind w:right="-18"/>
        <w:jc w:val="both"/>
        <w:rPr>
          <w:rFonts w:ascii="Calibri" w:eastAsia="Calibri" w:hAnsi="Calibri" w:cs="Calibri"/>
          <w:b/>
          <w:bCs/>
          <w:sz w:val="20"/>
          <w:szCs w:val="20"/>
          <w:lang w:val="en-GB"/>
        </w:rPr>
      </w:pPr>
      <w:r w:rsidRPr="006D6338">
        <w:rPr>
          <w:rFonts w:ascii="Calibri" w:eastAsia="Calibri" w:hAnsi="Calibri" w:cs="Calibri"/>
          <w:b/>
          <w:bCs/>
          <w:sz w:val="20"/>
          <w:szCs w:val="20"/>
          <w:lang w:val="en-GB"/>
        </w:rPr>
        <w:t>Funding and Corporate Highlights</w:t>
      </w:r>
    </w:p>
    <w:p w14:paraId="73E1BDCE" w14:textId="77777777" w:rsidR="006B00B2" w:rsidRPr="006D6338" w:rsidRDefault="006B00B2"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rPr>
        <w:t>Secured a £6 million Yorkville funding package, comprising up to £5 million of unsecured convertible loan notes and up to £1 million of equity funding, alongside a separate £2.5 million at-the-market facility with Clear Capital</w:t>
      </w:r>
    </w:p>
    <w:p w14:paraId="53D98299" w14:textId="46EF7547" w:rsidR="00932D01" w:rsidRPr="006D6338" w:rsidRDefault="00932D01"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rPr>
        <w:t xml:space="preserve">Based on current budgets, the £500,000 equity subscription and first £2.5 million Yorkville loan tranche </w:t>
      </w:r>
      <w:r w:rsidR="006E0EFC">
        <w:rPr>
          <w:rFonts w:ascii="Calibri" w:eastAsia="Calibri" w:hAnsi="Calibri" w:cs="Calibri"/>
          <w:sz w:val="20"/>
          <w:szCs w:val="20"/>
        </w:rPr>
        <w:t xml:space="preserve">will </w:t>
      </w:r>
      <w:r w:rsidRPr="006D6338">
        <w:rPr>
          <w:rFonts w:ascii="Calibri" w:eastAsia="Calibri" w:hAnsi="Calibri" w:cs="Calibri"/>
          <w:sz w:val="20"/>
          <w:szCs w:val="20"/>
        </w:rPr>
        <w:t>fund the pilot facility and initial Teck-Hughes programme</w:t>
      </w:r>
      <w:r w:rsidR="006E0EFC">
        <w:rPr>
          <w:rFonts w:ascii="Calibri" w:eastAsia="Calibri" w:hAnsi="Calibri" w:cs="Calibri"/>
          <w:sz w:val="20"/>
          <w:szCs w:val="20"/>
        </w:rPr>
        <w:t xml:space="preserve">, both of which </w:t>
      </w:r>
      <w:r w:rsidR="00977DEB" w:rsidRPr="006D6338">
        <w:rPr>
          <w:rFonts w:ascii="Calibri" w:eastAsia="Calibri" w:hAnsi="Calibri" w:cs="Calibri"/>
          <w:sz w:val="20"/>
          <w:szCs w:val="20"/>
        </w:rPr>
        <w:t>are expected to be funded</w:t>
      </w:r>
      <w:r w:rsidRPr="006D6338">
        <w:rPr>
          <w:rFonts w:ascii="Calibri" w:eastAsia="Calibri" w:hAnsi="Calibri" w:cs="Calibri"/>
          <w:sz w:val="20"/>
          <w:szCs w:val="20"/>
        </w:rPr>
        <w:t xml:space="preserve"> without requiring the second £2.5 million loan tranche, which remains undrawn</w:t>
      </w:r>
    </w:p>
    <w:p w14:paraId="126E4D3C" w14:textId="227DD023" w:rsidR="006B00B2" w:rsidRPr="006D6338" w:rsidRDefault="006B00B2"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t>Established a potential pathway from successful pilot testing to the proposed US$20 million Chancery royalty financing, providing a potential non-equity route towards future development of Teck-Hughes; Chancery also invested £200,000 at 8.5 pence per share</w:t>
      </w:r>
      <w:r w:rsidR="005613BA" w:rsidRPr="006D6338">
        <w:rPr>
          <w:rFonts w:ascii="Calibri" w:eastAsia="Calibri" w:hAnsi="Calibri" w:cs="Calibri"/>
          <w:sz w:val="20"/>
          <w:szCs w:val="20"/>
        </w:rPr>
        <w:t>, with the associated shares admitted post period</w:t>
      </w:r>
    </w:p>
    <w:p w14:paraId="2C95B3DD" w14:textId="677B6B89" w:rsidR="006B00B2" w:rsidRPr="006D6338" w:rsidRDefault="006B00B2"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t xml:space="preserve">Raised £834,575 through </w:t>
      </w:r>
      <w:r w:rsidR="00977DEB" w:rsidRPr="006D6338">
        <w:rPr>
          <w:rFonts w:ascii="Calibri" w:eastAsia="Calibri" w:hAnsi="Calibri" w:cs="Calibri"/>
          <w:sz w:val="20"/>
          <w:szCs w:val="20"/>
          <w:lang w:val="en-GB"/>
        </w:rPr>
        <w:t>a</w:t>
      </w:r>
      <w:r w:rsidRPr="006D6338">
        <w:rPr>
          <w:rFonts w:ascii="Calibri" w:eastAsia="Calibri" w:hAnsi="Calibri" w:cs="Calibri"/>
          <w:sz w:val="20"/>
          <w:szCs w:val="20"/>
          <w:lang w:val="en-GB"/>
        </w:rPr>
        <w:t xml:space="preserve"> warrant acceleration programme and completed a further </w:t>
      </w:r>
      <w:r w:rsidR="00932D01" w:rsidRPr="006D6338">
        <w:rPr>
          <w:rFonts w:ascii="Calibri" w:eastAsia="Calibri" w:hAnsi="Calibri" w:cs="Calibri"/>
          <w:sz w:val="20"/>
          <w:szCs w:val="20"/>
          <w:lang w:val="en-GB"/>
        </w:rPr>
        <w:t xml:space="preserve">direct </w:t>
      </w:r>
      <w:r w:rsidRPr="006D6338">
        <w:rPr>
          <w:rFonts w:ascii="Calibri" w:eastAsia="Calibri" w:hAnsi="Calibri" w:cs="Calibri"/>
          <w:sz w:val="20"/>
          <w:szCs w:val="20"/>
          <w:lang w:val="en-GB"/>
        </w:rPr>
        <w:t xml:space="preserve">equity subscription </w:t>
      </w:r>
      <w:r w:rsidR="00932D01" w:rsidRPr="006D6338">
        <w:rPr>
          <w:rFonts w:ascii="Calibri" w:eastAsia="Calibri" w:hAnsi="Calibri" w:cs="Calibri"/>
          <w:sz w:val="20"/>
          <w:szCs w:val="20"/>
          <w:lang w:val="en-GB"/>
        </w:rPr>
        <w:t xml:space="preserve">of £550,000 at 11 pence per share </w:t>
      </w:r>
      <w:r w:rsidRPr="006D6338">
        <w:rPr>
          <w:rFonts w:ascii="Calibri" w:eastAsia="Calibri" w:hAnsi="Calibri" w:cs="Calibri"/>
          <w:sz w:val="20"/>
          <w:szCs w:val="20"/>
          <w:lang w:val="en-GB"/>
        </w:rPr>
        <w:t xml:space="preserve">to support project development </w:t>
      </w:r>
      <w:r w:rsidR="00932D01" w:rsidRPr="006D6338">
        <w:rPr>
          <w:rFonts w:ascii="Calibri" w:eastAsia="Calibri" w:hAnsi="Calibri" w:cs="Calibri"/>
          <w:sz w:val="20"/>
          <w:szCs w:val="20"/>
          <w:lang w:val="en-GB"/>
        </w:rPr>
        <w:t>and working capital</w:t>
      </w:r>
    </w:p>
    <w:p w14:paraId="0622008D" w14:textId="1040FC52" w:rsidR="006B00B2" w:rsidRPr="006D6338" w:rsidRDefault="006B00B2"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t xml:space="preserve">Appointed Canada-based Natasha Dixon as </w:t>
      </w:r>
      <w:r w:rsidR="00977DEB" w:rsidRPr="006D6338">
        <w:rPr>
          <w:rFonts w:ascii="Calibri" w:eastAsia="Calibri" w:hAnsi="Calibri" w:cs="Calibri"/>
          <w:sz w:val="20"/>
          <w:szCs w:val="20"/>
          <w:lang w:val="en-GB"/>
        </w:rPr>
        <w:t>an i</w:t>
      </w:r>
      <w:r w:rsidRPr="006D6338">
        <w:rPr>
          <w:rFonts w:ascii="Calibri" w:eastAsia="Calibri" w:hAnsi="Calibri" w:cs="Calibri"/>
          <w:sz w:val="20"/>
          <w:szCs w:val="20"/>
          <w:lang w:val="en-GB"/>
        </w:rPr>
        <w:t xml:space="preserve">ndependent </w:t>
      </w:r>
      <w:r w:rsidR="00977DEB" w:rsidRPr="006D6338">
        <w:rPr>
          <w:rFonts w:ascii="Calibri" w:eastAsia="Calibri" w:hAnsi="Calibri" w:cs="Calibri"/>
          <w:sz w:val="20"/>
          <w:szCs w:val="20"/>
          <w:lang w:val="en-GB"/>
        </w:rPr>
        <w:t>n</w:t>
      </w:r>
      <w:r w:rsidRPr="006D6338">
        <w:rPr>
          <w:rFonts w:ascii="Calibri" w:eastAsia="Calibri" w:hAnsi="Calibri" w:cs="Calibri"/>
          <w:sz w:val="20"/>
          <w:szCs w:val="20"/>
          <w:lang w:val="en-GB"/>
        </w:rPr>
        <w:t>on-</w:t>
      </w:r>
      <w:r w:rsidR="00977DEB" w:rsidRPr="006D6338">
        <w:rPr>
          <w:rFonts w:ascii="Calibri" w:eastAsia="Calibri" w:hAnsi="Calibri" w:cs="Calibri"/>
          <w:sz w:val="20"/>
          <w:szCs w:val="20"/>
          <w:lang w:val="en-GB"/>
        </w:rPr>
        <w:t>e</w:t>
      </w:r>
      <w:r w:rsidRPr="006D6338">
        <w:rPr>
          <w:rFonts w:ascii="Calibri" w:eastAsia="Calibri" w:hAnsi="Calibri" w:cs="Calibri"/>
          <w:sz w:val="20"/>
          <w:szCs w:val="20"/>
          <w:lang w:val="en-GB"/>
        </w:rPr>
        <w:t xml:space="preserve">xecutive </w:t>
      </w:r>
      <w:r w:rsidR="00977DEB" w:rsidRPr="006D6338">
        <w:rPr>
          <w:rFonts w:ascii="Calibri" w:eastAsia="Calibri" w:hAnsi="Calibri" w:cs="Calibri"/>
          <w:sz w:val="20"/>
          <w:szCs w:val="20"/>
          <w:lang w:val="en-GB"/>
        </w:rPr>
        <w:t>d</w:t>
      </w:r>
      <w:r w:rsidRPr="006D6338">
        <w:rPr>
          <w:rFonts w:ascii="Calibri" w:eastAsia="Calibri" w:hAnsi="Calibri" w:cs="Calibri"/>
          <w:sz w:val="20"/>
          <w:szCs w:val="20"/>
          <w:lang w:val="en-GB"/>
        </w:rPr>
        <w:t xml:space="preserve">irector, strengthening the Board’s governance, Canadian presence and North American capital-markets experience </w:t>
      </w:r>
    </w:p>
    <w:p w14:paraId="67811DE0" w14:textId="692F0A40" w:rsidR="006B00B2" w:rsidRPr="006D6338" w:rsidRDefault="006B00B2" w:rsidP="006B00B2">
      <w:pPr>
        <w:pStyle w:val="Body"/>
        <w:numPr>
          <w:ilvl w:val="0"/>
          <w:numId w:val="19"/>
        </w:numPr>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lastRenderedPageBreak/>
        <w:t xml:space="preserve">Post period: raised a further £250,000 at 7 pence per share and commenced trading on OTCQB under the symbol FULMF, </w:t>
      </w:r>
      <w:r w:rsidR="00932D01" w:rsidRPr="006D6338">
        <w:rPr>
          <w:rFonts w:ascii="Calibri" w:eastAsia="Calibri" w:hAnsi="Calibri" w:cs="Calibri"/>
          <w:sz w:val="20"/>
          <w:szCs w:val="20"/>
          <w:lang w:val="en-GB"/>
        </w:rPr>
        <w:t>providing additional working capital</w:t>
      </w:r>
      <w:r w:rsidRPr="006D6338">
        <w:rPr>
          <w:rFonts w:ascii="Calibri" w:eastAsia="Calibri" w:hAnsi="Calibri" w:cs="Calibri"/>
          <w:sz w:val="20"/>
          <w:szCs w:val="20"/>
          <w:lang w:val="en-GB"/>
        </w:rPr>
        <w:t xml:space="preserve"> and broadening North American investor access </w:t>
      </w:r>
    </w:p>
    <w:p w14:paraId="4C7B0958" w14:textId="3383EF24" w:rsidR="008B198D" w:rsidRPr="006F575C" w:rsidRDefault="00301181" w:rsidP="009E5D3D">
      <w:pPr>
        <w:pStyle w:val="Body"/>
        <w:spacing w:after="0" w:line="240" w:lineRule="auto"/>
        <w:ind w:right="-18"/>
        <w:jc w:val="both"/>
        <w:rPr>
          <w:rFonts w:ascii="Calibri" w:hAnsi="Calibri" w:cs="Calibri"/>
          <w:i/>
          <w:iCs/>
          <w:sz w:val="18"/>
          <w:szCs w:val="18"/>
        </w:rPr>
      </w:pPr>
      <w:r w:rsidRPr="006F575C">
        <w:rPr>
          <w:rFonts w:ascii="Calibri" w:hAnsi="Calibri" w:cs="Calibri"/>
          <w:i/>
          <w:iCs/>
          <w:sz w:val="18"/>
          <w:szCs w:val="18"/>
        </w:rPr>
        <w:t>*Subject to verification by Fulcrum</w:t>
      </w:r>
    </w:p>
    <w:p w14:paraId="48642319" w14:textId="77777777" w:rsidR="00301181" w:rsidRPr="006D6338" w:rsidRDefault="00301181" w:rsidP="009E5D3D">
      <w:pPr>
        <w:pStyle w:val="Body"/>
        <w:spacing w:after="0" w:line="240" w:lineRule="auto"/>
        <w:ind w:left="720" w:right="-18"/>
        <w:jc w:val="both"/>
        <w:rPr>
          <w:rFonts w:ascii="Calibri" w:hAnsi="Calibri" w:cs="Calibri"/>
          <w:b/>
          <w:bCs/>
          <w:sz w:val="20"/>
          <w:szCs w:val="20"/>
        </w:rPr>
      </w:pPr>
    </w:p>
    <w:p w14:paraId="17E2BC38" w14:textId="24FE57CD" w:rsidR="00F515E9" w:rsidRPr="006D6338" w:rsidRDefault="00063F9C" w:rsidP="008B198D">
      <w:pPr>
        <w:pStyle w:val="Body"/>
        <w:spacing w:after="0" w:line="240" w:lineRule="auto"/>
        <w:ind w:right="-18"/>
        <w:jc w:val="both"/>
        <w:rPr>
          <w:rFonts w:ascii="Calibri" w:hAnsi="Calibri" w:cs="Calibri"/>
          <w:b/>
          <w:bCs/>
          <w:sz w:val="20"/>
          <w:szCs w:val="20"/>
        </w:rPr>
      </w:pPr>
      <w:r w:rsidRPr="006D6338">
        <w:rPr>
          <w:rFonts w:ascii="Calibri" w:hAnsi="Calibri" w:cs="Calibri"/>
          <w:b/>
          <w:bCs/>
          <w:sz w:val="20"/>
          <w:szCs w:val="20"/>
        </w:rPr>
        <w:t xml:space="preserve">Ryan Mee, Chief Executive Officer of Fulcrum Metals, commented: </w:t>
      </w:r>
    </w:p>
    <w:p w14:paraId="30A4BE81" w14:textId="77777777" w:rsidR="008B198D" w:rsidRPr="006D6338" w:rsidRDefault="008B198D" w:rsidP="006D6338">
      <w:pPr>
        <w:pStyle w:val="Body"/>
        <w:spacing w:after="0" w:line="240" w:lineRule="auto"/>
        <w:ind w:right="-17"/>
        <w:jc w:val="both"/>
        <w:rPr>
          <w:rFonts w:ascii="Calibri" w:eastAsia="Calibri" w:hAnsi="Calibri" w:cs="Calibri"/>
          <w:i/>
          <w:iCs/>
          <w:sz w:val="20"/>
          <w:szCs w:val="20"/>
        </w:rPr>
      </w:pPr>
    </w:p>
    <w:p w14:paraId="47DD1E66" w14:textId="6BA4E8A6" w:rsidR="00807D54" w:rsidRPr="006D6338" w:rsidRDefault="00063F9C" w:rsidP="008B198D">
      <w:pPr>
        <w:pStyle w:val="Body"/>
        <w:spacing w:line="240" w:lineRule="auto"/>
        <w:ind w:right="-18"/>
        <w:jc w:val="both"/>
        <w:rPr>
          <w:rFonts w:ascii="Calibri" w:hAnsi="Calibri" w:cs="Calibri"/>
          <w:i/>
          <w:iCs/>
          <w:sz w:val="20"/>
          <w:szCs w:val="20"/>
        </w:rPr>
      </w:pPr>
      <w:r w:rsidRPr="006D6338">
        <w:rPr>
          <w:rFonts w:ascii="Calibri" w:hAnsi="Calibri" w:cs="Calibri"/>
          <w:i/>
          <w:iCs/>
          <w:sz w:val="20"/>
          <w:szCs w:val="20"/>
        </w:rPr>
        <w:t>"The first half of 2026 marked Fulcrum's transition from technical validation</w:t>
      </w:r>
      <w:r w:rsidR="00807D54" w:rsidRPr="006D6338">
        <w:rPr>
          <w:rFonts w:ascii="Calibri" w:hAnsi="Calibri" w:cs="Calibri"/>
          <w:i/>
          <w:iCs/>
          <w:sz w:val="20"/>
          <w:szCs w:val="20"/>
        </w:rPr>
        <w:t xml:space="preserve"> and strategic positioning into execution. The pilot and first Teck-Hughes programme are funded. Successful pilot testing could then unlock the proposed US$20 million Chancery royalty financing, providing a potential non-equity route towards commercial production, subject to due diligence, definitive documentation and customary conditions.</w:t>
      </w:r>
    </w:p>
    <w:p w14:paraId="36998F9F" w14:textId="32008F57" w:rsidR="00807D54" w:rsidRPr="006D6338" w:rsidRDefault="00C8153B" w:rsidP="008B198D">
      <w:pPr>
        <w:pStyle w:val="Body"/>
        <w:spacing w:line="240" w:lineRule="auto"/>
        <w:ind w:right="-18"/>
        <w:jc w:val="both"/>
        <w:rPr>
          <w:rFonts w:ascii="Calibri" w:hAnsi="Calibri" w:cs="Calibri"/>
          <w:i/>
          <w:iCs/>
          <w:sz w:val="20"/>
          <w:szCs w:val="20"/>
        </w:rPr>
      </w:pPr>
      <w:r>
        <w:rPr>
          <w:rFonts w:ascii="Calibri" w:hAnsi="Calibri" w:cs="Calibri"/>
          <w:i/>
          <w:iCs/>
          <w:sz w:val="20"/>
          <w:szCs w:val="20"/>
        </w:rPr>
        <w:t>“</w:t>
      </w:r>
      <w:r w:rsidR="00807D54" w:rsidRPr="006D6338">
        <w:rPr>
          <w:rFonts w:ascii="Calibri" w:hAnsi="Calibri" w:cs="Calibri"/>
          <w:i/>
          <w:iCs/>
          <w:sz w:val="20"/>
          <w:szCs w:val="20"/>
        </w:rPr>
        <w:t>We have drawn only the first £2.5 million tranche of the Yorkville loan facility. The second £2.5 million tranche remains undrawn, demonstrating our staged and disciplined approach to funding.</w:t>
      </w:r>
    </w:p>
    <w:p w14:paraId="705B7D71" w14:textId="0EE4D2F8" w:rsidR="00F515E9" w:rsidRPr="006D6338" w:rsidRDefault="00C8153B" w:rsidP="008B198D">
      <w:pPr>
        <w:pStyle w:val="Body"/>
        <w:spacing w:line="240" w:lineRule="auto"/>
        <w:ind w:right="-18"/>
        <w:jc w:val="both"/>
        <w:rPr>
          <w:rFonts w:ascii="Calibri" w:eastAsia="Calibri" w:hAnsi="Calibri" w:cs="Calibri"/>
          <w:i/>
          <w:iCs/>
          <w:sz w:val="20"/>
          <w:szCs w:val="20"/>
        </w:rPr>
      </w:pPr>
      <w:r>
        <w:rPr>
          <w:rFonts w:ascii="Calibri" w:hAnsi="Calibri" w:cs="Calibri"/>
          <w:i/>
          <w:iCs/>
          <w:sz w:val="20"/>
          <w:szCs w:val="20"/>
        </w:rPr>
        <w:t>“</w:t>
      </w:r>
      <w:r w:rsidR="00807D54" w:rsidRPr="006D6338">
        <w:rPr>
          <w:rFonts w:ascii="Calibri" w:hAnsi="Calibri" w:cs="Calibri"/>
          <w:i/>
          <w:iCs/>
          <w:sz w:val="20"/>
          <w:szCs w:val="20"/>
        </w:rPr>
        <w:t>At Teck-Hughes, Phase 3 testing delivered a step-change in metallurgical performance, with gold recovery reaching 78% alongside strong recoveries of silver, tellurium, copper, cobalt and manganese. Together with the completed 159-hole auger programme, this has materially strengthened the dataset supporting</w:t>
      </w:r>
      <w:r w:rsidR="003332A6">
        <w:rPr>
          <w:rFonts w:ascii="Calibri" w:hAnsi="Calibri" w:cs="Calibri"/>
          <w:i/>
          <w:iCs/>
          <w:sz w:val="20"/>
          <w:szCs w:val="20"/>
        </w:rPr>
        <w:t xml:space="preserve"> a compliant </w:t>
      </w:r>
      <w:r w:rsidR="00807D54" w:rsidRPr="006D6338">
        <w:rPr>
          <w:rFonts w:ascii="Calibri" w:hAnsi="Calibri" w:cs="Calibri"/>
          <w:i/>
          <w:iCs/>
          <w:sz w:val="20"/>
          <w:szCs w:val="20"/>
        </w:rPr>
        <w:t>Mineral Resource Estimate and future engineering work.</w:t>
      </w:r>
    </w:p>
    <w:p w14:paraId="00E854BC" w14:textId="5B0B527F" w:rsidR="00F515E9" w:rsidRPr="006D6338" w:rsidRDefault="00C8153B" w:rsidP="008B198D">
      <w:pPr>
        <w:pStyle w:val="Body"/>
        <w:spacing w:line="240" w:lineRule="auto"/>
        <w:ind w:right="-18"/>
        <w:jc w:val="both"/>
        <w:rPr>
          <w:rFonts w:ascii="Calibri" w:eastAsia="Calibri" w:hAnsi="Calibri" w:cs="Calibri"/>
          <w:i/>
          <w:iCs/>
          <w:sz w:val="20"/>
          <w:szCs w:val="20"/>
        </w:rPr>
      </w:pPr>
      <w:r>
        <w:rPr>
          <w:rFonts w:ascii="Calibri" w:hAnsi="Calibri" w:cs="Calibri"/>
          <w:i/>
          <w:iCs/>
          <w:sz w:val="20"/>
          <w:szCs w:val="20"/>
        </w:rPr>
        <w:t>“</w:t>
      </w:r>
      <w:r w:rsidR="00063F9C" w:rsidRPr="006D6338">
        <w:rPr>
          <w:rFonts w:ascii="Calibri" w:hAnsi="Calibri" w:cs="Calibri"/>
          <w:i/>
          <w:iCs/>
          <w:sz w:val="20"/>
          <w:szCs w:val="20"/>
        </w:rPr>
        <w:t>Following completion of the pilot concept study, we signed the Piloting Agreement with TDI. This was a major execution milestone, establishing the framework fr</w:t>
      </w:r>
      <w:r w:rsidR="00807D54" w:rsidRPr="006D6338">
        <w:rPr>
          <w:rFonts w:ascii="Calibri" w:hAnsi="Calibri" w:cs="Calibri"/>
          <w:i/>
          <w:iCs/>
          <w:sz w:val="20"/>
          <w:szCs w:val="20"/>
        </w:rPr>
        <w:t>om</w:t>
      </w:r>
      <w:r w:rsidR="00063F9C" w:rsidRPr="006D6338">
        <w:rPr>
          <w:rFonts w:ascii="Calibri" w:hAnsi="Calibri" w:cs="Calibri"/>
          <w:i/>
          <w:iCs/>
          <w:sz w:val="20"/>
          <w:szCs w:val="20"/>
        </w:rPr>
        <w:t xml:space="preserve"> the design</w:t>
      </w:r>
      <w:r w:rsidR="00807D54" w:rsidRPr="006D6338">
        <w:rPr>
          <w:rFonts w:ascii="Calibri" w:hAnsi="Calibri" w:cs="Calibri"/>
          <w:i/>
          <w:iCs/>
          <w:sz w:val="20"/>
          <w:szCs w:val="20"/>
        </w:rPr>
        <w:t xml:space="preserve"> through to the operation </w:t>
      </w:r>
      <w:r w:rsidR="00063F9C" w:rsidRPr="006D6338">
        <w:rPr>
          <w:rFonts w:ascii="Calibri" w:hAnsi="Calibri" w:cs="Calibri"/>
          <w:i/>
          <w:iCs/>
          <w:sz w:val="20"/>
          <w:szCs w:val="20"/>
        </w:rPr>
        <w:t xml:space="preserve">of </w:t>
      </w:r>
      <w:r w:rsidR="00807D54" w:rsidRPr="006D6338">
        <w:rPr>
          <w:rFonts w:ascii="Calibri" w:hAnsi="Calibri" w:cs="Calibri"/>
          <w:i/>
          <w:iCs/>
          <w:sz w:val="20"/>
          <w:szCs w:val="20"/>
        </w:rPr>
        <w:t xml:space="preserve">a </w:t>
      </w:r>
      <w:r w:rsidR="00063F9C" w:rsidRPr="006D6338">
        <w:rPr>
          <w:rFonts w:ascii="Calibri" w:hAnsi="Calibri" w:cs="Calibri"/>
          <w:i/>
          <w:iCs/>
          <w:sz w:val="20"/>
          <w:szCs w:val="20"/>
        </w:rPr>
        <w:t>reusable 2.4 tonnes-per-day pilot capability</w:t>
      </w:r>
      <w:r w:rsidR="00807D54" w:rsidRPr="006D6338">
        <w:rPr>
          <w:rFonts w:ascii="Calibri" w:hAnsi="Calibri" w:cs="Calibri"/>
          <w:i/>
          <w:iCs/>
          <w:sz w:val="20"/>
          <w:szCs w:val="20"/>
        </w:rPr>
        <w:t xml:space="preserve"> for the initial Teck-Hughes programme</w:t>
      </w:r>
      <w:r w:rsidR="00063F9C" w:rsidRPr="006D6338">
        <w:rPr>
          <w:rFonts w:ascii="Calibri" w:hAnsi="Calibri" w:cs="Calibri"/>
          <w:i/>
          <w:iCs/>
          <w:sz w:val="20"/>
          <w:szCs w:val="20"/>
        </w:rPr>
        <w:t xml:space="preserve"> and subsequent </w:t>
      </w:r>
      <w:r w:rsidR="00807D54" w:rsidRPr="006D6338">
        <w:rPr>
          <w:rFonts w:ascii="Calibri" w:hAnsi="Calibri" w:cs="Calibri"/>
          <w:i/>
          <w:iCs/>
          <w:sz w:val="20"/>
          <w:szCs w:val="20"/>
        </w:rPr>
        <w:t xml:space="preserve">agreed </w:t>
      </w:r>
      <w:r w:rsidR="00063F9C" w:rsidRPr="006D6338">
        <w:rPr>
          <w:rFonts w:ascii="Calibri" w:hAnsi="Calibri" w:cs="Calibri"/>
          <w:i/>
          <w:iCs/>
          <w:sz w:val="20"/>
          <w:szCs w:val="20"/>
        </w:rPr>
        <w:t>pilot programmes</w:t>
      </w:r>
      <w:r w:rsidR="00807D54" w:rsidRPr="006D6338">
        <w:rPr>
          <w:rFonts w:ascii="Calibri" w:hAnsi="Calibri" w:cs="Calibri"/>
          <w:i/>
          <w:iCs/>
          <w:sz w:val="20"/>
          <w:szCs w:val="20"/>
        </w:rPr>
        <w:t>. The agreement and programmes are s</w:t>
      </w:r>
      <w:r w:rsidR="00063F9C" w:rsidRPr="006D6338">
        <w:rPr>
          <w:rFonts w:ascii="Calibri" w:hAnsi="Calibri" w:cs="Calibri"/>
          <w:i/>
          <w:iCs/>
          <w:sz w:val="20"/>
          <w:szCs w:val="20"/>
        </w:rPr>
        <w:t>upported by Extrakt and Bechtel</w:t>
      </w:r>
      <w:r w:rsidR="00807D54" w:rsidRPr="006D6338">
        <w:rPr>
          <w:rFonts w:ascii="Calibri" w:hAnsi="Calibri" w:cs="Calibri"/>
          <w:i/>
          <w:iCs/>
          <w:sz w:val="20"/>
          <w:szCs w:val="20"/>
        </w:rPr>
        <w:t xml:space="preserve"> which</w:t>
      </w:r>
      <w:r w:rsidR="00063F9C" w:rsidRPr="006D6338">
        <w:rPr>
          <w:rFonts w:ascii="Calibri" w:hAnsi="Calibri" w:cs="Calibri"/>
          <w:i/>
          <w:iCs/>
          <w:sz w:val="20"/>
          <w:szCs w:val="20"/>
        </w:rPr>
        <w:t xml:space="preserve"> brings together the specialist capability required to progress from laboratory testing to repeatable pilot-scale operation.</w:t>
      </w:r>
    </w:p>
    <w:p w14:paraId="6C076D5C" w14:textId="7D33A291" w:rsidR="00F515E9" w:rsidRPr="006D6338" w:rsidRDefault="00C8153B" w:rsidP="008B198D">
      <w:pPr>
        <w:pStyle w:val="Body"/>
        <w:spacing w:line="240" w:lineRule="auto"/>
        <w:ind w:right="-18"/>
        <w:jc w:val="both"/>
        <w:rPr>
          <w:rFonts w:ascii="Calibri" w:eastAsia="Calibri" w:hAnsi="Calibri" w:cs="Calibri"/>
          <w:i/>
          <w:iCs/>
          <w:sz w:val="20"/>
          <w:szCs w:val="20"/>
        </w:rPr>
      </w:pPr>
      <w:r>
        <w:rPr>
          <w:rFonts w:ascii="Calibri" w:hAnsi="Calibri" w:cs="Calibri"/>
          <w:i/>
          <w:iCs/>
          <w:sz w:val="20"/>
          <w:szCs w:val="20"/>
        </w:rPr>
        <w:t>“</w:t>
      </w:r>
      <w:r w:rsidR="00063F9C" w:rsidRPr="006D6338">
        <w:rPr>
          <w:rFonts w:ascii="Calibri" w:hAnsi="Calibri" w:cs="Calibri"/>
          <w:i/>
          <w:iCs/>
          <w:sz w:val="20"/>
          <w:szCs w:val="20"/>
        </w:rPr>
        <w:t xml:space="preserve">Since signing the agreement, the pilot development programme has continued to advance. Certain major long-lead equipment has been ordered and discussions regarding a specific Ontario site are at an advanced stage, although final site arrangements have not yet been completed. Once operational, the pilot is intended to convert laboratory results into the metallurgical, operating and engineering data required to accelerate </w:t>
      </w:r>
      <w:r w:rsidR="00807D54" w:rsidRPr="006D6338">
        <w:rPr>
          <w:rFonts w:ascii="Calibri" w:hAnsi="Calibri" w:cs="Calibri"/>
          <w:i/>
          <w:iCs/>
          <w:sz w:val="20"/>
          <w:szCs w:val="20"/>
        </w:rPr>
        <w:t>resource-definition</w:t>
      </w:r>
      <w:r w:rsidR="00063F9C" w:rsidRPr="006D6338">
        <w:rPr>
          <w:rFonts w:ascii="Calibri" w:hAnsi="Calibri" w:cs="Calibri"/>
          <w:i/>
          <w:iCs/>
          <w:sz w:val="20"/>
          <w:szCs w:val="20"/>
        </w:rPr>
        <w:t>, permitting, financing and commercial-development decisions.</w:t>
      </w:r>
    </w:p>
    <w:p w14:paraId="73FB640C" w14:textId="15109F4F" w:rsidR="00F515E9" w:rsidRPr="006D6338" w:rsidRDefault="00C8153B" w:rsidP="008B198D">
      <w:pPr>
        <w:pStyle w:val="Body"/>
        <w:spacing w:line="240" w:lineRule="auto"/>
        <w:ind w:right="-18"/>
        <w:jc w:val="both"/>
        <w:rPr>
          <w:rFonts w:ascii="Calibri" w:eastAsia="Calibri" w:hAnsi="Calibri" w:cs="Calibri"/>
          <w:i/>
          <w:iCs/>
          <w:sz w:val="20"/>
          <w:szCs w:val="20"/>
          <w14:textOutline w14:w="12700" w14:cap="flat" w14:cmpd="sng" w14:algn="ctr">
            <w14:noFill/>
            <w14:prstDash w14:val="solid"/>
            <w14:miter w14:lim="400000"/>
          </w14:textOutline>
        </w:rPr>
      </w:pPr>
      <w:r>
        <w:rPr>
          <w:rFonts w:ascii="Calibri" w:hAnsi="Calibri" w:cs="Calibri"/>
          <w:i/>
          <w:iCs/>
          <w:sz w:val="20"/>
          <w:szCs w:val="20"/>
        </w:rPr>
        <w:t>“</w:t>
      </w:r>
      <w:r w:rsidR="00063F9C" w:rsidRPr="006D6338">
        <w:rPr>
          <w:rFonts w:ascii="Calibri" w:hAnsi="Calibri" w:cs="Calibri"/>
          <w:i/>
          <w:iCs/>
          <w:sz w:val="20"/>
          <w:szCs w:val="20"/>
        </w:rPr>
        <w:t xml:space="preserve">Our projects and pilot form part of one scalable resource-recovery platform. Teck-Hughes and Sylvanite provide the initial project pipeline feeding the pilot. The technical knowledge, operating capability and development pathway generated through that work can then be applied across opportunities </w:t>
      </w:r>
      <w:r w:rsidR="00807D54" w:rsidRPr="006D6338">
        <w:rPr>
          <w:rFonts w:ascii="Calibri" w:hAnsi="Calibri" w:cs="Calibri"/>
          <w:i/>
          <w:iCs/>
          <w:sz w:val="20"/>
          <w:szCs w:val="20"/>
        </w:rPr>
        <w:t xml:space="preserve">in </w:t>
      </w:r>
      <w:r w:rsidR="00063F9C" w:rsidRPr="006D6338">
        <w:rPr>
          <w:rFonts w:ascii="Calibri" w:hAnsi="Calibri" w:cs="Calibri"/>
          <w:i/>
          <w:iCs/>
          <w:sz w:val="20"/>
          <w:szCs w:val="20"/>
        </w:rPr>
        <w:t xml:space="preserve">Kirkland Lake and Timmins covered by our </w:t>
      </w:r>
      <w:r w:rsidR="00861E30" w:rsidRPr="006D6338">
        <w:rPr>
          <w:rFonts w:ascii="Calibri" w:hAnsi="Calibri" w:cs="Calibri"/>
          <w:i/>
          <w:iCs/>
          <w:sz w:val="20"/>
          <w:szCs w:val="20"/>
        </w:rPr>
        <w:t xml:space="preserve">regional Extrakt </w:t>
      </w:r>
      <w:r w:rsidR="00063F9C" w:rsidRPr="006D6338">
        <w:rPr>
          <w:rFonts w:ascii="Calibri" w:hAnsi="Calibri" w:cs="Calibri"/>
          <w:i/>
          <w:iCs/>
          <w:sz w:val="20"/>
          <w:szCs w:val="20"/>
        </w:rPr>
        <w:t>exclusive rights</w:t>
      </w:r>
      <w:r w:rsidR="00807D54" w:rsidRPr="006D6338">
        <w:rPr>
          <w:rFonts w:ascii="Calibri" w:hAnsi="Calibri" w:cs="Calibri"/>
          <w:i/>
          <w:iCs/>
          <w:sz w:val="20"/>
          <w:szCs w:val="20"/>
        </w:rPr>
        <w:t xml:space="preserve">, </w:t>
      </w:r>
      <w:r w:rsidR="00063F9C" w:rsidRPr="006D6338">
        <w:rPr>
          <w:rFonts w:ascii="Calibri" w:hAnsi="Calibri" w:cs="Calibri"/>
          <w:i/>
          <w:iCs/>
          <w:sz w:val="20"/>
          <w:szCs w:val="20"/>
        </w:rPr>
        <w:t>and to wider opportunities through flexible commercial structures.</w:t>
      </w:r>
    </w:p>
    <w:p w14:paraId="0E3A0EE2" w14:textId="22D705B7" w:rsidR="00F515E9" w:rsidRPr="006D6338" w:rsidRDefault="00C8153B" w:rsidP="008B198D">
      <w:pPr>
        <w:pStyle w:val="Body"/>
        <w:spacing w:line="240" w:lineRule="auto"/>
        <w:ind w:right="-18"/>
        <w:jc w:val="both"/>
        <w:rPr>
          <w:rFonts w:ascii="Calibri" w:eastAsia="Calibri" w:hAnsi="Calibri" w:cs="Calibri"/>
          <w:i/>
          <w:iCs/>
          <w:sz w:val="20"/>
          <w:szCs w:val="20"/>
        </w:rPr>
      </w:pPr>
      <w:r>
        <w:rPr>
          <w:rFonts w:ascii="Calibri" w:hAnsi="Calibri" w:cs="Calibri"/>
          <w:i/>
          <w:iCs/>
          <w:sz w:val="20"/>
          <w:szCs w:val="20"/>
        </w:rPr>
        <w:t>“</w:t>
      </w:r>
      <w:r w:rsidR="00807D54" w:rsidRPr="006D6338">
        <w:rPr>
          <w:rFonts w:ascii="Calibri" w:hAnsi="Calibri" w:cs="Calibri"/>
          <w:i/>
          <w:iCs/>
          <w:sz w:val="20"/>
          <w:szCs w:val="20"/>
        </w:rPr>
        <w:t>Chancery Royalty’s £200,000 investment provides additional third-party validation of this development pathway and establishes a financing relationship with the potential to extend to additional projects. Our priority is now disciplined execution: finalising the proposed Ontario site arrangements, progressing the pilot development programme and generating the data required to advance our initial projects and expand the wider platform."</w:t>
      </w:r>
    </w:p>
    <w:p w14:paraId="784F3D90" w14:textId="77777777" w:rsidR="008B198D" w:rsidRPr="006D6338" w:rsidRDefault="008B198D" w:rsidP="008B198D">
      <w:pPr>
        <w:pStyle w:val="Body"/>
        <w:spacing w:after="0" w:line="240" w:lineRule="auto"/>
        <w:ind w:right="-18"/>
        <w:jc w:val="both"/>
        <w:rPr>
          <w:rFonts w:ascii="Calibri" w:hAnsi="Calibri" w:cs="Calibri"/>
          <w:b/>
          <w:bCs/>
          <w:sz w:val="20"/>
          <w:szCs w:val="20"/>
          <w:lang w:val="fr-FR"/>
        </w:rPr>
      </w:pPr>
    </w:p>
    <w:p w14:paraId="6459A494" w14:textId="18FE8C0B" w:rsidR="00F515E9" w:rsidRPr="006D6338" w:rsidRDefault="00063F9C" w:rsidP="008B198D">
      <w:pPr>
        <w:pStyle w:val="Body"/>
        <w:spacing w:after="0" w:line="240" w:lineRule="auto"/>
        <w:ind w:right="-18"/>
        <w:jc w:val="both"/>
        <w:rPr>
          <w:rFonts w:ascii="Calibri" w:eastAsia="Calibri" w:hAnsi="Calibri" w:cs="Calibri"/>
          <w:b/>
          <w:bCs/>
          <w:sz w:val="20"/>
          <w:szCs w:val="20"/>
        </w:rPr>
      </w:pPr>
      <w:r w:rsidRPr="006D6338">
        <w:rPr>
          <w:rFonts w:ascii="Calibri" w:hAnsi="Calibri" w:cs="Calibri"/>
          <w:b/>
          <w:bCs/>
          <w:sz w:val="20"/>
          <w:szCs w:val="20"/>
          <w:lang w:val="fr-FR"/>
        </w:rPr>
        <w:t>Chairman</w:t>
      </w:r>
      <w:r w:rsidRPr="006D6338">
        <w:rPr>
          <w:rFonts w:ascii="Calibri" w:hAnsi="Calibri" w:cs="Calibri"/>
          <w:b/>
          <w:bCs/>
          <w:sz w:val="20"/>
          <w:szCs w:val="20"/>
          <w:rtl/>
        </w:rPr>
        <w:t>’</w:t>
      </w:r>
      <w:r w:rsidRPr="006D6338">
        <w:rPr>
          <w:rFonts w:ascii="Calibri" w:hAnsi="Calibri" w:cs="Calibri"/>
          <w:b/>
          <w:bCs/>
          <w:sz w:val="20"/>
          <w:szCs w:val="20"/>
        </w:rPr>
        <w:t>s Statement</w:t>
      </w:r>
    </w:p>
    <w:p w14:paraId="7F157D8D" w14:textId="77777777" w:rsidR="008B198D" w:rsidRPr="006D6338" w:rsidRDefault="008B198D" w:rsidP="006D6338">
      <w:pPr>
        <w:pStyle w:val="Body"/>
        <w:spacing w:after="0" w:line="240" w:lineRule="auto"/>
        <w:ind w:right="-17"/>
        <w:jc w:val="both"/>
        <w:rPr>
          <w:rFonts w:ascii="Calibri" w:hAnsi="Calibri" w:cs="Calibri"/>
          <w:sz w:val="20"/>
          <w:szCs w:val="20"/>
        </w:rPr>
      </w:pPr>
    </w:p>
    <w:p w14:paraId="5E0BAF9C" w14:textId="3326FAFA"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I am pleased to present Fulcrum Metals </w:t>
      </w:r>
      <w:r w:rsidR="00C11396">
        <w:rPr>
          <w:rFonts w:ascii="Calibri" w:hAnsi="Calibri" w:cs="Calibri"/>
          <w:sz w:val="20"/>
          <w:szCs w:val="20"/>
        </w:rPr>
        <w:t>Plc</w:t>
      </w:r>
      <w:r w:rsidRPr="006D6338">
        <w:rPr>
          <w:rFonts w:ascii="Calibri" w:hAnsi="Calibri" w:cs="Calibri"/>
          <w:sz w:val="20"/>
          <w:szCs w:val="20"/>
          <w:rtl/>
        </w:rPr>
        <w:t>’</w:t>
      </w:r>
      <w:r w:rsidRPr="006D6338">
        <w:rPr>
          <w:rFonts w:ascii="Calibri" w:hAnsi="Calibri" w:cs="Calibri"/>
          <w:sz w:val="20"/>
          <w:szCs w:val="20"/>
        </w:rPr>
        <w:t>s unaudited interim results for the six months ended 30 June 2026.</w:t>
      </w:r>
    </w:p>
    <w:p w14:paraId="015CD874"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The first half of 2026 has been an important period in Fulcrum</w:t>
      </w:r>
      <w:r w:rsidRPr="006D6338">
        <w:rPr>
          <w:rFonts w:ascii="Calibri" w:hAnsi="Calibri" w:cs="Calibri"/>
          <w:sz w:val="20"/>
          <w:szCs w:val="20"/>
          <w:rtl/>
        </w:rPr>
        <w:t>’</w:t>
      </w:r>
      <w:r w:rsidRPr="006D6338">
        <w:rPr>
          <w:rFonts w:ascii="Calibri" w:hAnsi="Calibri" w:cs="Calibri"/>
          <w:sz w:val="20"/>
          <w:szCs w:val="20"/>
        </w:rPr>
        <w:t>s evolution. We have continued to advance our strategy of recovering precious and critical metals from historical mine waste, while taking meaningful steps towards establishing the technical, operational and commercial foundations of a scalable resource-recovery business.</w:t>
      </w:r>
    </w:p>
    <w:p w14:paraId="61E89961"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Our focus is increasingly on translating technical progress into commercial opportunity.</w:t>
      </w:r>
    </w:p>
    <w:p w14:paraId="335103C5"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Fulcrum</w:t>
      </w:r>
      <w:r w:rsidRPr="006D6338">
        <w:rPr>
          <w:rFonts w:ascii="Calibri" w:hAnsi="Calibri" w:cs="Calibri"/>
          <w:sz w:val="20"/>
          <w:szCs w:val="20"/>
          <w:rtl/>
        </w:rPr>
        <w:t>’</w:t>
      </w:r>
      <w:r w:rsidRPr="006D6338">
        <w:rPr>
          <w:rFonts w:ascii="Calibri" w:hAnsi="Calibri" w:cs="Calibri"/>
          <w:sz w:val="20"/>
          <w:szCs w:val="20"/>
        </w:rPr>
        <w:t>s strategy is built around a significant and largely untapped opportunity: recovering valuable metals from historical mine waste using innovative cyanide-free processing technology, while supporting the responsible management and potential regeneration of legacy mining sites.</w:t>
      </w:r>
    </w:p>
    <w:p w14:paraId="6F29906E" w14:textId="6D801EFB" w:rsidR="00921279" w:rsidRPr="006D6338" w:rsidRDefault="00921279" w:rsidP="00FE759D">
      <w:pPr>
        <w:pStyle w:val="Body"/>
        <w:ind w:right="-18"/>
        <w:jc w:val="both"/>
        <w:rPr>
          <w:rFonts w:ascii="Calibri" w:hAnsi="Calibri" w:cs="Calibri"/>
          <w:sz w:val="20"/>
          <w:szCs w:val="20"/>
        </w:rPr>
      </w:pPr>
      <w:r w:rsidRPr="006D6338">
        <w:rPr>
          <w:rFonts w:ascii="Calibri" w:hAnsi="Calibri" w:cs="Calibri"/>
          <w:sz w:val="20"/>
          <w:szCs w:val="20"/>
        </w:rPr>
        <w:t>Teck-Hughes and Sylvanite provide the initial foundation for this strategy and together comprise a</w:t>
      </w:r>
      <w:r w:rsidR="006D6338" w:rsidRPr="006D6338">
        <w:rPr>
          <w:rFonts w:ascii="Calibri" w:hAnsi="Calibri" w:cs="Calibri"/>
          <w:sz w:val="20"/>
          <w:szCs w:val="20"/>
        </w:rPr>
        <w:t xml:space="preserve"> historical </w:t>
      </w:r>
      <w:r w:rsidRPr="006D6338">
        <w:rPr>
          <w:rFonts w:ascii="Calibri" w:hAnsi="Calibri" w:cs="Calibri"/>
          <w:sz w:val="20"/>
          <w:szCs w:val="20"/>
        </w:rPr>
        <w:t xml:space="preserve">estimated 10.7 million tonnes of historically documented tailings. During the period, technical work </w:t>
      </w:r>
      <w:r w:rsidR="003164C3" w:rsidRPr="006D6338">
        <w:rPr>
          <w:rFonts w:ascii="Calibri" w:hAnsi="Calibri" w:cs="Calibri"/>
          <w:sz w:val="20"/>
          <w:szCs w:val="20"/>
        </w:rPr>
        <w:t xml:space="preserve">has </w:t>
      </w:r>
      <w:r w:rsidRPr="006D6338">
        <w:rPr>
          <w:rFonts w:ascii="Calibri" w:hAnsi="Calibri" w:cs="Calibri"/>
          <w:sz w:val="20"/>
          <w:szCs w:val="20"/>
        </w:rPr>
        <w:t xml:space="preserve">materially improved gold recovery at Teck-Hughes and demonstrated strong recoveries of other precious, base and critical metals. </w:t>
      </w:r>
    </w:p>
    <w:p w14:paraId="50E119C5" w14:textId="0B2A41C3" w:rsidR="00921279" w:rsidRPr="006D6338" w:rsidRDefault="00921279" w:rsidP="00FE759D">
      <w:pPr>
        <w:pStyle w:val="Body"/>
        <w:ind w:right="-18"/>
        <w:jc w:val="both"/>
        <w:rPr>
          <w:rFonts w:ascii="Calibri" w:hAnsi="Calibri" w:cs="Calibri"/>
          <w:sz w:val="20"/>
          <w:szCs w:val="20"/>
        </w:rPr>
      </w:pPr>
      <w:r w:rsidRPr="006D6338">
        <w:rPr>
          <w:rFonts w:ascii="Calibri" w:hAnsi="Calibri" w:cs="Calibri"/>
          <w:sz w:val="20"/>
          <w:szCs w:val="20"/>
        </w:rPr>
        <w:lastRenderedPageBreak/>
        <w:t>These results supported the deliberate decision to advance a reusable pilot capability alongside the ongoing resource-definition work.</w:t>
      </w:r>
    </w:p>
    <w:p w14:paraId="3A6D813A" w14:textId="79771445" w:rsidR="006D6338" w:rsidRPr="006D6338" w:rsidRDefault="00FE759D" w:rsidP="00FE759D">
      <w:pPr>
        <w:pStyle w:val="Body"/>
        <w:ind w:right="-18"/>
        <w:jc w:val="both"/>
        <w:rPr>
          <w:rFonts w:ascii="Calibri" w:eastAsia="Calibri" w:hAnsi="Calibri" w:cs="Calibri"/>
          <w:sz w:val="20"/>
          <w:szCs w:val="20"/>
          <w:lang w:val="en-GB"/>
        </w:rPr>
      </w:pPr>
      <w:r w:rsidRPr="006D6338">
        <w:rPr>
          <w:rFonts w:ascii="Calibri" w:eastAsia="Calibri" w:hAnsi="Calibri" w:cs="Calibri"/>
          <w:sz w:val="20"/>
          <w:szCs w:val="20"/>
          <w:lang w:val="en-GB"/>
        </w:rPr>
        <w:t>The pilot is intended to generate repeatable metallurgical, operating and engineering data at a larger scale, accelerating development and future commercial scale-up decisions at Teck-Hughes and Sylvanite. Beyond the initial projects, it is intended to function as a reusable development platform through which additional opportunities can be tested, evaluated and advanced more efficiently.</w:t>
      </w:r>
    </w:p>
    <w:p w14:paraId="6BA3DCE4" w14:textId="77777777" w:rsidR="00F515E9" w:rsidRPr="006D6338" w:rsidRDefault="00063F9C" w:rsidP="008B198D">
      <w:pPr>
        <w:pStyle w:val="Body"/>
        <w:spacing w:after="0" w:line="240" w:lineRule="auto"/>
        <w:ind w:right="-18"/>
        <w:jc w:val="both"/>
        <w:rPr>
          <w:rFonts w:ascii="Calibri" w:hAnsi="Calibri" w:cs="Calibri"/>
          <w:b/>
          <w:bCs/>
          <w:i/>
          <w:iCs/>
          <w:sz w:val="20"/>
          <w:szCs w:val="20"/>
        </w:rPr>
      </w:pPr>
      <w:r w:rsidRPr="006D6338">
        <w:rPr>
          <w:rFonts w:ascii="Calibri" w:hAnsi="Calibri" w:cs="Calibri"/>
          <w:b/>
          <w:bCs/>
          <w:i/>
          <w:iCs/>
          <w:sz w:val="20"/>
          <w:szCs w:val="20"/>
        </w:rPr>
        <w:t>From technical validation to execution</w:t>
      </w:r>
    </w:p>
    <w:p w14:paraId="3EE28C8E" w14:textId="77777777" w:rsidR="008B198D" w:rsidRPr="006D6338" w:rsidRDefault="008B198D" w:rsidP="008B198D">
      <w:pPr>
        <w:pStyle w:val="Body"/>
        <w:spacing w:after="0" w:line="240" w:lineRule="auto"/>
        <w:ind w:right="-18"/>
        <w:jc w:val="both"/>
        <w:rPr>
          <w:rFonts w:ascii="Calibri" w:eastAsia="Calibri" w:hAnsi="Calibri" w:cs="Calibri"/>
          <w:b/>
          <w:bCs/>
          <w:i/>
          <w:iCs/>
          <w:sz w:val="20"/>
          <w:szCs w:val="20"/>
        </w:rPr>
      </w:pPr>
    </w:p>
    <w:p w14:paraId="56D20ED9" w14:textId="739D9D43" w:rsidR="00B50A2D" w:rsidRPr="006D6338" w:rsidRDefault="00B50A2D"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Following completion of the pilot concept study, the signing of the </w:t>
      </w:r>
      <w:r w:rsidR="00F64F9E" w:rsidRPr="006D6338">
        <w:rPr>
          <w:rFonts w:ascii="Calibri" w:hAnsi="Calibri" w:cs="Calibri"/>
          <w:sz w:val="20"/>
          <w:szCs w:val="20"/>
        </w:rPr>
        <w:t>p</w:t>
      </w:r>
      <w:r w:rsidRPr="006D6338">
        <w:rPr>
          <w:rFonts w:ascii="Calibri" w:hAnsi="Calibri" w:cs="Calibri"/>
          <w:sz w:val="20"/>
          <w:szCs w:val="20"/>
        </w:rPr>
        <w:t xml:space="preserve">iloting </w:t>
      </w:r>
      <w:r w:rsidR="00F64F9E" w:rsidRPr="006D6338">
        <w:rPr>
          <w:rFonts w:ascii="Calibri" w:hAnsi="Calibri" w:cs="Calibri"/>
          <w:sz w:val="20"/>
          <w:szCs w:val="20"/>
        </w:rPr>
        <w:t>a</w:t>
      </w:r>
      <w:r w:rsidRPr="006D6338">
        <w:rPr>
          <w:rFonts w:ascii="Calibri" w:hAnsi="Calibri" w:cs="Calibri"/>
          <w:sz w:val="20"/>
          <w:szCs w:val="20"/>
        </w:rPr>
        <w:t xml:space="preserve">greement with TDI Solutions </w:t>
      </w:r>
      <w:r w:rsidR="00C11396">
        <w:rPr>
          <w:rFonts w:ascii="Calibri" w:hAnsi="Calibri" w:cs="Calibri"/>
          <w:sz w:val="20"/>
          <w:szCs w:val="20"/>
        </w:rPr>
        <w:t xml:space="preserve">LLC (“TDI”) </w:t>
      </w:r>
      <w:r w:rsidRPr="006D6338">
        <w:rPr>
          <w:rFonts w:ascii="Calibri" w:hAnsi="Calibri" w:cs="Calibri"/>
          <w:sz w:val="20"/>
          <w:szCs w:val="20"/>
        </w:rPr>
        <w:t xml:space="preserve">represented a significant execution milestone. The planned pilot programme is supported by Extrakt Process Solutions </w:t>
      </w:r>
      <w:r w:rsidR="00C11396">
        <w:rPr>
          <w:rFonts w:ascii="Calibri" w:hAnsi="Calibri" w:cs="Calibri"/>
          <w:sz w:val="20"/>
          <w:szCs w:val="20"/>
        </w:rPr>
        <w:t xml:space="preserve">LLC (“Extrakt”) </w:t>
      </w:r>
      <w:r w:rsidRPr="006D6338">
        <w:rPr>
          <w:rFonts w:ascii="Calibri" w:hAnsi="Calibri" w:cs="Calibri"/>
          <w:sz w:val="20"/>
          <w:szCs w:val="20"/>
        </w:rPr>
        <w:t xml:space="preserve">and </w:t>
      </w:r>
      <w:r w:rsidR="00C11396" w:rsidRPr="00C11396">
        <w:rPr>
          <w:rFonts w:ascii="Calibri" w:hAnsi="Calibri" w:cs="Calibri"/>
          <w:sz w:val="20"/>
          <w:szCs w:val="20"/>
        </w:rPr>
        <w:t>Bechtel Energy Technologies &amp; Solutions, Inc. (</w:t>
      </w:r>
      <w:r w:rsidR="00C11396">
        <w:rPr>
          <w:rFonts w:ascii="Calibri" w:hAnsi="Calibri" w:cs="Calibri"/>
          <w:sz w:val="20"/>
          <w:szCs w:val="20"/>
        </w:rPr>
        <w:t>“Bechtel”)</w:t>
      </w:r>
      <w:r w:rsidRPr="006D6338">
        <w:rPr>
          <w:rFonts w:ascii="Calibri" w:hAnsi="Calibri" w:cs="Calibri"/>
          <w:sz w:val="20"/>
          <w:szCs w:val="20"/>
        </w:rPr>
        <w:t>.</w:t>
      </w:r>
      <w:r w:rsidRPr="006D6338" w:rsidDel="00B50A2D">
        <w:rPr>
          <w:rFonts w:ascii="Calibri" w:hAnsi="Calibri" w:cs="Calibri"/>
          <w:sz w:val="20"/>
          <w:szCs w:val="20"/>
        </w:rPr>
        <w:t xml:space="preserve"> </w:t>
      </w:r>
    </w:p>
    <w:p w14:paraId="3E6A5A32" w14:textId="316378F7" w:rsidR="00B50A2D" w:rsidRPr="006D6338" w:rsidRDefault="00B50A2D"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The planned reusable 2.4 tonnes-per-day</w:t>
      </w:r>
      <w:r w:rsidR="00073073" w:rsidRPr="006D6338">
        <w:rPr>
          <w:rFonts w:ascii="Calibri" w:hAnsi="Calibri" w:cs="Calibri"/>
          <w:sz w:val="20"/>
          <w:szCs w:val="20"/>
        </w:rPr>
        <w:t xml:space="preserve"> plant</w:t>
      </w:r>
      <w:r w:rsidRPr="006D6338">
        <w:rPr>
          <w:rFonts w:ascii="Calibri" w:hAnsi="Calibri" w:cs="Calibri"/>
          <w:sz w:val="20"/>
          <w:szCs w:val="20"/>
        </w:rPr>
        <w:t xml:space="preserve"> capability represents an important step in moving Fulcrum beyond laboratory testing towards repeatable pilot-scale operation. From the Board’s perspective, its strategic importance extends beyond Teck-Hughes and Sylvanite. The resulting knowledge, operating capability and development pathway are intended to support a more efficient and repeatable approach to advancing additional opportunities.</w:t>
      </w:r>
      <w:r w:rsidRPr="006D6338" w:rsidDel="00B50A2D">
        <w:rPr>
          <w:rFonts w:ascii="Calibri" w:hAnsi="Calibri" w:cs="Calibri"/>
          <w:sz w:val="20"/>
          <w:szCs w:val="20"/>
        </w:rPr>
        <w:t xml:space="preserve"> </w:t>
      </w:r>
    </w:p>
    <w:p w14:paraId="6DF7746B" w14:textId="4DD1E7FE" w:rsidR="00B50A2D" w:rsidRPr="006D6338" w:rsidRDefault="00B50A2D" w:rsidP="006D6338">
      <w:pPr>
        <w:pStyle w:val="Body"/>
        <w:spacing w:after="0" w:line="240" w:lineRule="auto"/>
        <w:ind w:right="-18"/>
        <w:jc w:val="both"/>
        <w:rPr>
          <w:rFonts w:ascii="Calibri" w:eastAsia="Calibri" w:hAnsi="Calibri" w:cs="Calibri"/>
          <w:sz w:val="20"/>
          <w:szCs w:val="20"/>
        </w:rPr>
      </w:pPr>
      <w:r w:rsidRPr="006D6338">
        <w:rPr>
          <w:rFonts w:ascii="Calibri" w:hAnsi="Calibri" w:cs="Calibri"/>
          <w:sz w:val="20"/>
          <w:szCs w:val="20"/>
        </w:rPr>
        <w:t>Fulcrum’s exclusive rights to deploy Extrakt’s technology across the Kirkland Lake and Timmins districts provide a potentially significant regional opportunity pipeline. Our objective is to advance opportunities covered by those rights, together with wider opportunities pursued through flexible commercial structures, in a disciplined manner appropriate to their technical maturity, capital requirements and potential returns.</w:t>
      </w:r>
    </w:p>
    <w:p w14:paraId="2CED4778" w14:textId="30A48D6D" w:rsidR="00FE759D" w:rsidRPr="006D6338" w:rsidRDefault="00FE759D" w:rsidP="006D6338">
      <w:pPr>
        <w:pStyle w:val="Body"/>
        <w:spacing w:after="0" w:line="240" w:lineRule="auto"/>
        <w:ind w:right="-18"/>
        <w:jc w:val="both"/>
        <w:rPr>
          <w:rFonts w:ascii="Calibri" w:eastAsia="Calibri" w:hAnsi="Calibri" w:cs="Calibri"/>
          <w:sz w:val="20"/>
          <w:szCs w:val="20"/>
        </w:rPr>
      </w:pPr>
    </w:p>
    <w:p w14:paraId="654547AC" w14:textId="33D2551B" w:rsidR="00F515E9" w:rsidRPr="006D6338" w:rsidRDefault="006B00B2" w:rsidP="00B50A2D">
      <w:pPr>
        <w:pStyle w:val="Body"/>
        <w:spacing w:after="0" w:line="240" w:lineRule="auto"/>
        <w:ind w:right="-18"/>
        <w:jc w:val="both"/>
        <w:rPr>
          <w:rFonts w:ascii="Calibri" w:eastAsia="Calibri" w:hAnsi="Calibri" w:cs="Calibri"/>
          <w:b/>
          <w:bCs/>
          <w:i/>
          <w:iCs/>
          <w:sz w:val="20"/>
          <w:szCs w:val="20"/>
        </w:rPr>
      </w:pPr>
      <w:r w:rsidRPr="006D6338">
        <w:rPr>
          <w:rFonts w:ascii="Calibri" w:hAnsi="Calibri" w:cs="Calibri"/>
          <w:b/>
          <w:bCs/>
          <w:i/>
          <w:iCs/>
          <w:sz w:val="20"/>
          <w:szCs w:val="20"/>
        </w:rPr>
        <w:t>A staged funding pathway and capital discipline</w:t>
      </w:r>
    </w:p>
    <w:p w14:paraId="331B5E58" w14:textId="77777777" w:rsidR="008B198D" w:rsidRPr="006D6338" w:rsidRDefault="008B198D" w:rsidP="006D6338">
      <w:pPr>
        <w:pStyle w:val="Body"/>
        <w:spacing w:after="0" w:line="240" w:lineRule="auto"/>
        <w:ind w:right="-18"/>
        <w:jc w:val="both"/>
        <w:rPr>
          <w:rFonts w:ascii="Calibri" w:hAnsi="Calibri" w:cs="Calibri"/>
          <w:sz w:val="20"/>
          <w:szCs w:val="20"/>
        </w:rPr>
      </w:pPr>
    </w:p>
    <w:p w14:paraId="669D60D6" w14:textId="77777777" w:rsidR="006B00B2" w:rsidRPr="006D6338" w:rsidRDefault="006B00B2" w:rsidP="006B00B2">
      <w:pPr>
        <w:pStyle w:val="Body"/>
        <w:spacing w:after="0"/>
        <w:ind w:right="-18"/>
        <w:jc w:val="both"/>
        <w:rPr>
          <w:rFonts w:ascii="Calibri" w:hAnsi="Calibri" w:cs="Calibri"/>
          <w:sz w:val="20"/>
          <w:szCs w:val="20"/>
          <w:lang w:val="en-GB"/>
        </w:rPr>
      </w:pPr>
      <w:r w:rsidRPr="006D6338">
        <w:rPr>
          <w:rFonts w:ascii="Calibri" w:hAnsi="Calibri" w:cs="Calibri"/>
          <w:sz w:val="20"/>
          <w:szCs w:val="20"/>
          <w:lang w:val="en-GB"/>
        </w:rPr>
        <w:t>The Board recognises that moving from technical validation towards commercial development requires access to capital, careful prioritisation and clearly defined milestones. Fulcrum has therefore established a staged funding pathway intended to match capital deployment with technical and commercial progress at Teck-Hughes.</w:t>
      </w:r>
    </w:p>
    <w:p w14:paraId="6F79D4B9" w14:textId="77777777" w:rsidR="006B00B2" w:rsidRPr="006D6338" w:rsidRDefault="006B00B2" w:rsidP="006B00B2">
      <w:pPr>
        <w:pStyle w:val="Body"/>
        <w:spacing w:after="0"/>
        <w:ind w:right="-18"/>
        <w:jc w:val="both"/>
        <w:rPr>
          <w:rFonts w:ascii="Calibri" w:hAnsi="Calibri" w:cs="Calibri"/>
          <w:sz w:val="20"/>
          <w:szCs w:val="20"/>
          <w:lang w:val="en-GB"/>
        </w:rPr>
      </w:pPr>
    </w:p>
    <w:p w14:paraId="34FBA7BA" w14:textId="266EDADF" w:rsidR="006B00B2" w:rsidRPr="006D6338" w:rsidRDefault="006B00B2" w:rsidP="006B00B2">
      <w:pPr>
        <w:pStyle w:val="Body"/>
        <w:spacing w:after="0"/>
        <w:ind w:right="-18"/>
        <w:jc w:val="both"/>
        <w:rPr>
          <w:rFonts w:ascii="Calibri" w:hAnsi="Calibri" w:cs="Calibri"/>
          <w:sz w:val="20"/>
          <w:szCs w:val="20"/>
          <w:lang w:val="en-GB"/>
        </w:rPr>
      </w:pPr>
      <w:r w:rsidRPr="006D6338">
        <w:rPr>
          <w:rFonts w:ascii="Calibri" w:hAnsi="Calibri" w:cs="Calibri"/>
          <w:sz w:val="20"/>
          <w:szCs w:val="20"/>
          <w:lang w:val="en-GB"/>
        </w:rPr>
        <w:t xml:space="preserve">During the period, Fulcrum secured a £6 million Yorkville funding package and a separate £2.5 million at-the-market facility </w:t>
      </w:r>
      <w:r w:rsidR="00921279" w:rsidRPr="006D6338">
        <w:rPr>
          <w:rFonts w:ascii="Calibri" w:hAnsi="Calibri" w:cs="Calibri"/>
          <w:sz w:val="20"/>
          <w:szCs w:val="20"/>
          <w:lang w:val="en-GB"/>
        </w:rPr>
        <w:t xml:space="preserve">(“ATM”) </w:t>
      </w:r>
      <w:r w:rsidRPr="006D6338">
        <w:rPr>
          <w:rFonts w:ascii="Calibri" w:hAnsi="Calibri" w:cs="Calibri"/>
          <w:sz w:val="20"/>
          <w:szCs w:val="20"/>
          <w:lang w:val="en-GB"/>
        </w:rPr>
        <w:t xml:space="preserve">with Clear Capital, </w:t>
      </w:r>
      <w:r w:rsidR="006D6338" w:rsidRPr="006D6338">
        <w:rPr>
          <w:rFonts w:ascii="Calibri" w:hAnsi="Calibri" w:cs="Calibri"/>
          <w:sz w:val="20"/>
          <w:szCs w:val="20"/>
          <w:lang w:val="en-GB"/>
        </w:rPr>
        <w:t xml:space="preserve">which if used </w:t>
      </w:r>
      <w:r w:rsidRPr="006D6338">
        <w:rPr>
          <w:rFonts w:ascii="Calibri" w:hAnsi="Calibri" w:cs="Calibri"/>
          <w:sz w:val="20"/>
          <w:szCs w:val="20"/>
          <w:lang w:val="en-GB"/>
        </w:rPr>
        <w:t xml:space="preserve">the proceeds are </w:t>
      </w:r>
      <w:r w:rsidR="006D6338" w:rsidRPr="006D6338">
        <w:rPr>
          <w:rFonts w:ascii="Calibri" w:hAnsi="Calibri" w:cs="Calibri"/>
          <w:sz w:val="20"/>
          <w:szCs w:val="20"/>
          <w:lang w:val="en-GB"/>
        </w:rPr>
        <w:t xml:space="preserve">to be </w:t>
      </w:r>
      <w:r w:rsidRPr="006D6338">
        <w:rPr>
          <w:rFonts w:ascii="Calibri" w:hAnsi="Calibri" w:cs="Calibri"/>
          <w:sz w:val="20"/>
          <w:szCs w:val="20"/>
          <w:lang w:val="en-GB"/>
        </w:rPr>
        <w:t>applied towards specified Yorkville loan prepayments. The Company has drawn the first £2.5 million Yorkville loan tranche. Based on current budgets, the pilot facility and initial Teck-Hughes programme are</w:t>
      </w:r>
      <w:r w:rsidR="00402523" w:rsidRPr="006D6338">
        <w:rPr>
          <w:rFonts w:ascii="Calibri" w:hAnsi="Calibri" w:cs="Calibri"/>
          <w:sz w:val="20"/>
          <w:szCs w:val="20"/>
          <w:lang w:val="en-GB"/>
        </w:rPr>
        <w:t xml:space="preserve"> expected to be</w:t>
      </w:r>
      <w:r w:rsidRPr="006D6338">
        <w:rPr>
          <w:rFonts w:ascii="Calibri" w:hAnsi="Calibri" w:cs="Calibri"/>
          <w:sz w:val="20"/>
          <w:szCs w:val="20"/>
          <w:lang w:val="en-GB"/>
        </w:rPr>
        <w:t xml:space="preserve"> funded without requiring the second tranche, which remains undrawn.</w:t>
      </w:r>
    </w:p>
    <w:p w14:paraId="2ECF49AF" w14:textId="77777777" w:rsidR="006B00B2" w:rsidRPr="006D6338" w:rsidRDefault="006B00B2" w:rsidP="006B00B2">
      <w:pPr>
        <w:pStyle w:val="Body"/>
        <w:spacing w:after="0"/>
        <w:ind w:right="-18"/>
        <w:jc w:val="both"/>
        <w:rPr>
          <w:rFonts w:ascii="Calibri" w:hAnsi="Calibri" w:cs="Calibri"/>
          <w:sz w:val="20"/>
          <w:szCs w:val="20"/>
          <w:lang w:val="en-GB"/>
        </w:rPr>
      </w:pPr>
    </w:p>
    <w:p w14:paraId="355E61B7" w14:textId="77777777" w:rsidR="006B00B2" w:rsidRPr="006D6338" w:rsidRDefault="006B00B2" w:rsidP="006B00B2">
      <w:pPr>
        <w:pStyle w:val="Body"/>
        <w:spacing w:after="0"/>
        <w:ind w:right="-18"/>
        <w:jc w:val="both"/>
        <w:rPr>
          <w:rFonts w:ascii="Calibri" w:hAnsi="Calibri" w:cs="Calibri"/>
          <w:sz w:val="20"/>
          <w:szCs w:val="20"/>
          <w:lang w:val="en-GB"/>
        </w:rPr>
      </w:pPr>
      <w:r w:rsidRPr="006D6338">
        <w:rPr>
          <w:rFonts w:ascii="Calibri" w:hAnsi="Calibri" w:cs="Calibri"/>
          <w:sz w:val="20"/>
          <w:szCs w:val="20"/>
          <w:lang w:val="en-GB"/>
        </w:rPr>
        <w:t>Successful pilot testing is a key condition to accessing the proposed US$20 million Chancery royalty financing. Subject to the remaining conditions, this could provide non-equity project-level capital for the next stage of Teck-Hughes development without transferring ownership or operational control.</w:t>
      </w:r>
    </w:p>
    <w:p w14:paraId="46332FA9" w14:textId="77777777" w:rsidR="006B00B2" w:rsidRPr="006D6338" w:rsidRDefault="006B00B2" w:rsidP="006B00B2">
      <w:pPr>
        <w:pStyle w:val="Body"/>
        <w:spacing w:after="0"/>
        <w:ind w:right="-18"/>
        <w:jc w:val="both"/>
        <w:rPr>
          <w:rFonts w:ascii="Calibri" w:hAnsi="Calibri" w:cs="Calibri"/>
          <w:sz w:val="20"/>
          <w:szCs w:val="20"/>
          <w:lang w:val="en-GB"/>
        </w:rPr>
      </w:pPr>
    </w:p>
    <w:p w14:paraId="00D7667A" w14:textId="77777777" w:rsidR="006B00B2" w:rsidRPr="006D6338" w:rsidRDefault="006B00B2" w:rsidP="006B00B2">
      <w:pPr>
        <w:pStyle w:val="Body"/>
        <w:spacing w:after="0"/>
        <w:ind w:right="-18"/>
        <w:jc w:val="both"/>
        <w:rPr>
          <w:rFonts w:ascii="Calibri" w:hAnsi="Calibri" w:cs="Calibri"/>
          <w:sz w:val="20"/>
          <w:szCs w:val="20"/>
          <w:lang w:val="en-GB"/>
        </w:rPr>
      </w:pPr>
      <w:r w:rsidRPr="006D6338">
        <w:rPr>
          <w:rFonts w:ascii="Calibri" w:hAnsi="Calibri" w:cs="Calibri"/>
          <w:sz w:val="20"/>
          <w:szCs w:val="20"/>
          <w:lang w:val="en-GB"/>
        </w:rPr>
        <w:t>The pathway is therefore clear: corporate funding supports the pilot and initial programme, while successful pilot validation could provide access to non-equity development capital. The Board remains mindful of the potential dilution, repayment and future royalty obligations and will continue to deploy capital against defined milestones.</w:t>
      </w:r>
    </w:p>
    <w:p w14:paraId="572FB92C" w14:textId="77777777" w:rsidR="006B00B2" w:rsidRPr="006D6338" w:rsidRDefault="006B00B2" w:rsidP="006B00B2">
      <w:pPr>
        <w:pStyle w:val="Body"/>
        <w:spacing w:after="0"/>
        <w:ind w:right="-18"/>
        <w:jc w:val="both"/>
        <w:rPr>
          <w:rFonts w:ascii="Calibri" w:hAnsi="Calibri" w:cs="Calibri"/>
          <w:sz w:val="20"/>
          <w:szCs w:val="20"/>
          <w:lang w:val="en-GB"/>
        </w:rPr>
      </w:pPr>
    </w:p>
    <w:p w14:paraId="62830440" w14:textId="51D56BD8" w:rsidR="006B00B2" w:rsidRPr="006D6338" w:rsidRDefault="006B00B2" w:rsidP="006B00B2">
      <w:pPr>
        <w:pStyle w:val="Body"/>
        <w:spacing w:after="0"/>
        <w:ind w:right="-18"/>
        <w:jc w:val="both"/>
        <w:rPr>
          <w:rFonts w:ascii="Calibri" w:hAnsi="Calibri" w:cs="Calibri"/>
          <w:sz w:val="20"/>
          <w:szCs w:val="20"/>
          <w:lang w:val="en-GB"/>
        </w:rPr>
      </w:pPr>
      <w:r w:rsidRPr="006D6338">
        <w:rPr>
          <w:rFonts w:ascii="Calibri" w:hAnsi="Calibri" w:cs="Calibri"/>
          <w:sz w:val="20"/>
          <w:szCs w:val="20"/>
          <w:lang w:val="en-GB"/>
        </w:rPr>
        <w:t>Post period, the Company commenced trading on the OTCQB Venture Market under the symbol FULMF and raised a further £250,000</w:t>
      </w:r>
      <w:r w:rsidR="00D745C8" w:rsidRPr="006D6338">
        <w:rPr>
          <w:rFonts w:ascii="Calibri" w:hAnsi="Calibri" w:cs="Calibri"/>
          <w:sz w:val="20"/>
          <w:szCs w:val="20"/>
          <w:lang w:val="en-GB"/>
        </w:rPr>
        <w:t xml:space="preserve"> in the UK through an institutional investor</w:t>
      </w:r>
      <w:r w:rsidRPr="006D6338">
        <w:rPr>
          <w:rFonts w:ascii="Calibri" w:hAnsi="Calibri" w:cs="Calibri"/>
          <w:sz w:val="20"/>
          <w:szCs w:val="20"/>
          <w:lang w:val="en-GB"/>
        </w:rPr>
        <w:t xml:space="preserve"> to support pilot preparations and the advancement of Teck-Hughes and Sylvanite.</w:t>
      </w:r>
    </w:p>
    <w:p w14:paraId="0B8E6D89" w14:textId="77777777" w:rsidR="00A149C3" w:rsidRDefault="00A149C3" w:rsidP="00FE759D">
      <w:pPr>
        <w:pStyle w:val="Body"/>
        <w:spacing w:after="0" w:line="240" w:lineRule="auto"/>
        <w:ind w:right="-18"/>
        <w:jc w:val="both"/>
        <w:rPr>
          <w:rFonts w:ascii="Calibri" w:hAnsi="Calibri" w:cs="Calibri"/>
          <w:b/>
          <w:bCs/>
          <w:i/>
          <w:iCs/>
          <w:sz w:val="20"/>
          <w:szCs w:val="20"/>
        </w:rPr>
      </w:pPr>
    </w:p>
    <w:p w14:paraId="6EE559F6" w14:textId="7D3C40CA" w:rsidR="008B198D" w:rsidRPr="006D6338" w:rsidRDefault="00063F9C" w:rsidP="00FE759D">
      <w:pPr>
        <w:pStyle w:val="Body"/>
        <w:spacing w:after="0" w:line="240" w:lineRule="auto"/>
        <w:ind w:right="-18"/>
        <w:jc w:val="both"/>
        <w:rPr>
          <w:rFonts w:ascii="Calibri" w:eastAsia="Calibri" w:hAnsi="Calibri" w:cs="Calibri"/>
          <w:b/>
          <w:bCs/>
          <w:i/>
          <w:iCs/>
          <w:sz w:val="20"/>
          <w:szCs w:val="20"/>
        </w:rPr>
      </w:pPr>
      <w:r w:rsidRPr="006D6338">
        <w:rPr>
          <w:rFonts w:ascii="Calibri" w:hAnsi="Calibri" w:cs="Calibri"/>
          <w:b/>
          <w:bCs/>
          <w:i/>
          <w:iCs/>
          <w:sz w:val="20"/>
          <w:szCs w:val="20"/>
        </w:rPr>
        <w:t>Building the foundations for sustainable growth</w:t>
      </w:r>
    </w:p>
    <w:p w14:paraId="643FBE80" w14:textId="77777777" w:rsidR="008B198D" w:rsidRPr="006D6338" w:rsidRDefault="008B198D" w:rsidP="006D6338">
      <w:pPr>
        <w:pStyle w:val="Body"/>
        <w:spacing w:after="0" w:line="240" w:lineRule="auto"/>
        <w:ind w:right="-18"/>
        <w:jc w:val="both"/>
        <w:rPr>
          <w:rFonts w:ascii="Calibri" w:hAnsi="Calibri" w:cs="Calibri"/>
          <w:sz w:val="20"/>
          <w:szCs w:val="20"/>
        </w:rPr>
      </w:pPr>
    </w:p>
    <w:p w14:paraId="3244233D" w14:textId="260EAF81" w:rsidR="0076369D" w:rsidRPr="006D6338" w:rsidRDefault="00063F9C" w:rsidP="0076369D">
      <w:pPr>
        <w:pStyle w:val="Body"/>
        <w:spacing w:after="0" w:line="240" w:lineRule="auto"/>
        <w:ind w:right="-18"/>
        <w:jc w:val="both"/>
        <w:rPr>
          <w:rFonts w:ascii="Calibri" w:hAnsi="Calibri" w:cs="Calibri"/>
          <w:sz w:val="20"/>
          <w:szCs w:val="20"/>
        </w:rPr>
      </w:pPr>
      <w:r w:rsidRPr="006D6338">
        <w:rPr>
          <w:rFonts w:ascii="Calibri" w:hAnsi="Calibri" w:cs="Calibri"/>
          <w:sz w:val="20"/>
          <w:szCs w:val="20"/>
        </w:rPr>
        <w:t>As Fulcrum advances</w:t>
      </w:r>
      <w:r w:rsidR="0083478B" w:rsidRPr="006D6338">
        <w:rPr>
          <w:rFonts w:ascii="Calibri" w:hAnsi="Calibri" w:cs="Calibri"/>
          <w:sz w:val="20"/>
          <w:szCs w:val="20"/>
        </w:rPr>
        <w:t xml:space="preserve"> its tailings projects and executes on its</w:t>
      </w:r>
      <w:r w:rsidR="00653DE1" w:rsidRPr="006D6338">
        <w:rPr>
          <w:rFonts w:ascii="Calibri" w:hAnsi="Calibri" w:cs="Calibri"/>
          <w:sz w:val="20"/>
          <w:szCs w:val="20"/>
        </w:rPr>
        <w:t xml:space="preserve"> stated </w:t>
      </w:r>
      <w:r w:rsidR="0076369D" w:rsidRPr="006D6338">
        <w:rPr>
          <w:rFonts w:ascii="Calibri" w:hAnsi="Calibri" w:cs="Calibri"/>
          <w:sz w:val="20"/>
          <w:szCs w:val="20"/>
        </w:rPr>
        <w:t>strategy</w:t>
      </w:r>
      <w:r w:rsidRPr="006D6338">
        <w:rPr>
          <w:rFonts w:ascii="Calibri" w:hAnsi="Calibri" w:cs="Calibri"/>
          <w:sz w:val="20"/>
          <w:szCs w:val="20"/>
        </w:rPr>
        <w:t>, the Board</w:t>
      </w:r>
      <w:r w:rsidRPr="006D6338">
        <w:rPr>
          <w:rFonts w:ascii="Calibri" w:hAnsi="Calibri" w:cs="Calibri"/>
          <w:sz w:val="20"/>
          <w:szCs w:val="20"/>
          <w:rtl/>
        </w:rPr>
        <w:t>’</w:t>
      </w:r>
      <w:r w:rsidRPr="006D6338">
        <w:rPr>
          <w:rFonts w:ascii="Calibri" w:hAnsi="Calibri" w:cs="Calibri"/>
          <w:sz w:val="20"/>
          <w:szCs w:val="20"/>
        </w:rPr>
        <w:t>s responsibilities extend beyond</w:t>
      </w:r>
      <w:r w:rsidR="0076369D" w:rsidRPr="006D6338">
        <w:rPr>
          <w:rFonts w:ascii="Calibri" w:hAnsi="Calibri" w:cs="Calibri"/>
          <w:sz w:val="20"/>
          <w:szCs w:val="20"/>
        </w:rPr>
        <w:t xml:space="preserve"> </w:t>
      </w:r>
      <w:r w:rsidRPr="006D6338">
        <w:rPr>
          <w:rFonts w:ascii="Calibri" w:hAnsi="Calibri" w:cs="Calibri"/>
          <w:sz w:val="20"/>
          <w:szCs w:val="20"/>
        </w:rPr>
        <w:t>overseeing individual technical programmes.</w:t>
      </w:r>
      <w:r w:rsidR="0076369D" w:rsidRPr="006D6338">
        <w:rPr>
          <w:rFonts w:ascii="Calibri" w:hAnsi="Calibri" w:cs="Calibri"/>
          <w:sz w:val="20"/>
          <w:szCs w:val="20"/>
        </w:rPr>
        <w:t xml:space="preserve"> </w:t>
      </w:r>
      <w:r w:rsidRPr="006D6338">
        <w:rPr>
          <w:rFonts w:ascii="Calibri" w:hAnsi="Calibri" w:cs="Calibri"/>
          <w:sz w:val="20"/>
          <w:szCs w:val="20"/>
        </w:rPr>
        <w:t>We are focused on ensuring that the Company has the appropriate governance, management capabilities, specialist partnerships and financial discipline to support its next stage of development.</w:t>
      </w:r>
      <w:r w:rsidR="0076369D" w:rsidRPr="006D6338">
        <w:rPr>
          <w:rFonts w:ascii="Calibri" w:hAnsi="Calibri" w:cs="Calibri"/>
          <w:sz w:val="20"/>
          <w:szCs w:val="20"/>
        </w:rPr>
        <w:t xml:space="preserve"> </w:t>
      </w:r>
    </w:p>
    <w:p w14:paraId="3D9C41D8" w14:textId="77777777" w:rsidR="0076369D" w:rsidRPr="006D6338" w:rsidRDefault="0076369D" w:rsidP="006D6338">
      <w:pPr>
        <w:pStyle w:val="Body"/>
        <w:spacing w:after="0" w:line="240" w:lineRule="auto"/>
        <w:ind w:right="-18"/>
        <w:jc w:val="both"/>
        <w:rPr>
          <w:rFonts w:ascii="Calibri" w:eastAsia="Calibri" w:hAnsi="Calibri" w:cs="Calibri"/>
          <w:sz w:val="20"/>
          <w:szCs w:val="20"/>
        </w:rPr>
      </w:pPr>
    </w:p>
    <w:p w14:paraId="69B154FA" w14:textId="559EB9BF" w:rsidR="00F515E9" w:rsidRPr="006D6338" w:rsidRDefault="00063F9C" w:rsidP="0076369D">
      <w:pPr>
        <w:pStyle w:val="Body"/>
        <w:spacing w:after="0" w:line="240" w:lineRule="auto"/>
        <w:ind w:right="-18"/>
        <w:jc w:val="both"/>
        <w:rPr>
          <w:rFonts w:ascii="Calibri" w:hAnsi="Calibri" w:cs="Calibri"/>
          <w:sz w:val="20"/>
          <w:szCs w:val="20"/>
        </w:rPr>
      </w:pPr>
      <w:r w:rsidRPr="006D6338">
        <w:rPr>
          <w:rFonts w:ascii="Calibri" w:hAnsi="Calibri" w:cs="Calibri"/>
          <w:sz w:val="20"/>
          <w:szCs w:val="20"/>
        </w:rPr>
        <w:t>The appointment of Natasha Dixon as an Independent Non-Executive Director has further strengthened the Board</w:t>
      </w:r>
      <w:r w:rsidRPr="006D6338">
        <w:rPr>
          <w:rFonts w:ascii="Calibri" w:hAnsi="Calibri" w:cs="Calibri"/>
          <w:sz w:val="20"/>
          <w:szCs w:val="20"/>
          <w:rtl/>
        </w:rPr>
        <w:t>’</w:t>
      </w:r>
      <w:r w:rsidRPr="006D6338">
        <w:rPr>
          <w:rFonts w:ascii="Calibri" w:hAnsi="Calibri" w:cs="Calibri"/>
          <w:sz w:val="20"/>
          <w:szCs w:val="20"/>
        </w:rPr>
        <w:t>s capital-markets and North American experience.</w:t>
      </w:r>
    </w:p>
    <w:p w14:paraId="6CD451B1" w14:textId="77777777" w:rsidR="0076369D" w:rsidRPr="006D6338" w:rsidRDefault="0076369D" w:rsidP="006D6338">
      <w:pPr>
        <w:pStyle w:val="Body"/>
        <w:spacing w:after="0" w:line="240" w:lineRule="auto"/>
        <w:ind w:right="-18"/>
        <w:jc w:val="both"/>
        <w:rPr>
          <w:rFonts w:ascii="Calibri" w:eastAsia="Calibri" w:hAnsi="Calibri" w:cs="Calibri"/>
          <w:sz w:val="20"/>
          <w:szCs w:val="20"/>
        </w:rPr>
      </w:pPr>
    </w:p>
    <w:p w14:paraId="5315EB24"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Responsible development and stakeholder engagement remain fundamental to our approach. We recognise the importance of progressing technical, environmental, permitting and community engagement activities together, including continued engagement with First Nations and other relevant stakeholders.</w:t>
      </w:r>
    </w:p>
    <w:p w14:paraId="0AEA9946" w14:textId="77777777" w:rsidR="00F515E9" w:rsidRPr="006D6338" w:rsidRDefault="00063F9C" w:rsidP="006D6338">
      <w:pPr>
        <w:pStyle w:val="Body"/>
        <w:spacing w:after="0" w:line="240" w:lineRule="auto"/>
        <w:ind w:right="-18"/>
        <w:jc w:val="both"/>
        <w:rPr>
          <w:rFonts w:ascii="Calibri" w:eastAsia="Calibri" w:hAnsi="Calibri" w:cs="Calibri"/>
          <w:sz w:val="20"/>
          <w:szCs w:val="20"/>
        </w:rPr>
      </w:pPr>
      <w:r w:rsidRPr="006D6338">
        <w:rPr>
          <w:rFonts w:ascii="Calibri" w:hAnsi="Calibri" w:cs="Calibri"/>
          <w:sz w:val="20"/>
          <w:szCs w:val="20"/>
        </w:rPr>
        <w:t>Our ambition is to establish a business that combines the recovery of valuable metals with the potential to address historical mine-waste challenges. Achieving this will require both technical success and a commercially viable development model.</w:t>
      </w:r>
    </w:p>
    <w:p w14:paraId="3D21660F" w14:textId="77777777" w:rsidR="006D6338" w:rsidRDefault="006D6338" w:rsidP="008B198D">
      <w:pPr>
        <w:pStyle w:val="Body"/>
        <w:spacing w:after="0" w:line="240" w:lineRule="auto"/>
        <w:ind w:right="-18"/>
        <w:jc w:val="both"/>
        <w:rPr>
          <w:rFonts w:ascii="Calibri" w:hAnsi="Calibri" w:cs="Calibri"/>
          <w:b/>
          <w:bCs/>
          <w:i/>
          <w:iCs/>
          <w:sz w:val="20"/>
          <w:szCs w:val="20"/>
        </w:rPr>
      </w:pPr>
    </w:p>
    <w:p w14:paraId="09D40CFA" w14:textId="22193C0C" w:rsidR="008B198D" w:rsidRPr="006D6338" w:rsidRDefault="00063F9C" w:rsidP="008B198D">
      <w:pPr>
        <w:pStyle w:val="Body"/>
        <w:spacing w:after="0" w:line="240" w:lineRule="auto"/>
        <w:ind w:right="-18"/>
        <w:jc w:val="both"/>
        <w:rPr>
          <w:rFonts w:ascii="Calibri" w:eastAsia="Calibri" w:hAnsi="Calibri" w:cs="Calibri"/>
          <w:b/>
          <w:bCs/>
          <w:i/>
          <w:iCs/>
          <w:sz w:val="20"/>
          <w:szCs w:val="20"/>
        </w:rPr>
      </w:pPr>
      <w:r w:rsidRPr="006D6338">
        <w:rPr>
          <w:rFonts w:ascii="Calibri" w:hAnsi="Calibri" w:cs="Calibri"/>
          <w:b/>
          <w:bCs/>
          <w:i/>
          <w:iCs/>
          <w:sz w:val="20"/>
          <w:szCs w:val="20"/>
        </w:rPr>
        <w:t>Looking ahead</w:t>
      </w:r>
    </w:p>
    <w:p w14:paraId="7A99F053" w14:textId="77777777" w:rsidR="008B198D" w:rsidRPr="006D6338" w:rsidRDefault="008B198D" w:rsidP="006D6338">
      <w:pPr>
        <w:pStyle w:val="Body"/>
        <w:spacing w:after="0" w:line="240" w:lineRule="auto"/>
        <w:ind w:right="-18"/>
        <w:jc w:val="both"/>
        <w:rPr>
          <w:rFonts w:ascii="Calibri" w:hAnsi="Calibri" w:cs="Calibri"/>
          <w:sz w:val="20"/>
          <w:szCs w:val="20"/>
        </w:rPr>
      </w:pPr>
    </w:p>
    <w:p w14:paraId="52E8642A" w14:textId="0809CA13"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The remainder of 2026 will be an important period of execution.</w:t>
      </w:r>
    </w:p>
    <w:p w14:paraId="38577C9F" w14:textId="1D3D1DB6"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Our immediate priorities are to finalise the proposed Ontario pilot site arrangements, advance the pilot development programme, progress the </w:t>
      </w:r>
      <w:r w:rsidR="003332A6">
        <w:rPr>
          <w:rFonts w:ascii="Calibri" w:hAnsi="Calibri" w:cs="Calibri"/>
          <w:sz w:val="20"/>
          <w:szCs w:val="20"/>
        </w:rPr>
        <w:t>43-101 compliant</w:t>
      </w:r>
      <w:r w:rsidR="003332A6" w:rsidRPr="006D6338">
        <w:rPr>
          <w:rFonts w:ascii="Calibri" w:hAnsi="Calibri" w:cs="Calibri"/>
          <w:sz w:val="20"/>
          <w:szCs w:val="20"/>
        </w:rPr>
        <w:t xml:space="preserve"> </w:t>
      </w:r>
      <w:r w:rsidRPr="006D6338">
        <w:rPr>
          <w:rFonts w:ascii="Calibri" w:hAnsi="Calibri" w:cs="Calibri"/>
          <w:sz w:val="20"/>
          <w:szCs w:val="20"/>
        </w:rPr>
        <w:t>Mineral Resource Estimate at Teck-Hughes and continue the technical, environmental and permitting work required to advance our initial projects.</w:t>
      </w:r>
    </w:p>
    <w:p w14:paraId="0F549FAE"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The Board will also maintain a disciplined approach to evaluating the wider opportunity pipeline, ensuring that future growth is supported by appropriate technical evidence, commercial arrangements and access to capital.</w:t>
      </w:r>
    </w:p>
    <w:p w14:paraId="3C7E875D" w14:textId="2C1D627A"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We have made meaningful progress </w:t>
      </w:r>
      <w:r w:rsidR="00921279" w:rsidRPr="006D6338">
        <w:rPr>
          <w:rFonts w:ascii="Calibri" w:hAnsi="Calibri" w:cs="Calibri"/>
          <w:sz w:val="20"/>
          <w:szCs w:val="20"/>
        </w:rPr>
        <w:t>and</w:t>
      </w:r>
      <w:r w:rsidRPr="006D6338">
        <w:rPr>
          <w:rFonts w:ascii="Calibri" w:hAnsi="Calibri" w:cs="Calibri"/>
          <w:sz w:val="20"/>
          <w:szCs w:val="20"/>
        </w:rPr>
        <w:t xml:space="preserve"> establish</w:t>
      </w:r>
      <w:r w:rsidR="00921279" w:rsidRPr="006D6338">
        <w:rPr>
          <w:rFonts w:ascii="Calibri" w:hAnsi="Calibri" w:cs="Calibri"/>
          <w:sz w:val="20"/>
          <w:szCs w:val="20"/>
        </w:rPr>
        <w:t>ed</w:t>
      </w:r>
      <w:r w:rsidRPr="006D6338">
        <w:rPr>
          <w:rFonts w:ascii="Calibri" w:hAnsi="Calibri" w:cs="Calibri"/>
          <w:sz w:val="20"/>
          <w:szCs w:val="20"/>
        </w:rPr>
        <w:t xml:space="preserve"> the foundations of Fulcrum</w:t>
      </w:r>
      <w:r w:rsidRPr="006D6338">
        <w:rPr>
          <w:rFonts w:ascii="Calibri" w:hAnsi="Calibri" w:cs="Calibri"/>
          <w:sz w:val="20"/>
          <w:szCs w:val="20"/>
          <w:rtl/>
        </w:rPr>
        <w:t>’</w:t>
      </w:r>
      <w:r w:rsidRPr="006D6338">
        <w:rPr>
          <w:rFonts w:ascii="Calibri" w:hAnsi="Calibri" w:cs="Calibri"/>
          <w:sz w:val="20"/>
          <w:szCs w:val="20"/>
        </w:rPr>
        <w:t xml:space="preserve">s mine-waste recovery strategy. The next </w:t>
      </w:r>
      <w:r w:rsidR="00073073" w:rsidRPr="006D6338">
        <w:rPr>
          <w:rFonts w:ascii="Calibri" w:hAnsi="Calibri" w:cs="Calibri"/>
          <w:sz w:val="20"/>
          <w:szCs w:val="20"/>
        </w:rPr>
        <w:t xml:space="preserve">phase </w:t>
      </w:r>
      <w:r w:rsidRPr="006D6338">
        <w:rPr>
          <w:rFonts w:ascii="Calibri" w:hAnsi="Calibri" w:cs="Calibri"/>
          <w:sz w:val="20"/>
          <w:szCs w:val="20"/>
        </w:rPr>
        <w:t>is to demonstrate how that progress can translate into a repeatable, commercially viable development model.</w:t>
      </w:r>
    </w:p>
    <w:p w14:paraId="5D1BDA9E" w14:textId="04A9BBCA" w:rsidR="00F515E9" w:rsidRPr="006D6338" w:rsidRDefault="00417DEF"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The opportunity ahead of Fulcrum extends beyond any single project. </w:t>
      </w:r>
      <w:r w:rsidR="00921279" w:rsidRPr="006D6338">
        <w:rPr>
          <w:rFonts w:ascii="Calibri" w:hAnsi="Calibri" w:cs="Calibri"/>
          <w:sz w:val="20"/>
          <w:szCs w:val="20"/>
        </w:rPr>
        <w:t xml:space="preserve">By combining our initial projects, reusable pilot capability and regional technology rights, we aim to build </w:t>
      </w:r>
      <w:r w:rsidRPr="006D6338">
        <w:rPr>
          <w:rFonts w:ascii="Calibri" w:hAnsi="Calibri" w:cs="Calibri"/>
          <w:sz w:val="20"/>
          <w:szCs w:val="20"/>
        </w:rPr>
        <w:t>a scalable resource-recovery business capable of unlocking value from historical mine waste, creating opportunities for shareholders and contributing to more responsible resource development.</w:t>
      </w:r>
    </w:p>
    <w:p w14:paraId="109EC574" w14:textId="77777777"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On behalf of the Board, I would like to thank our management team, shareholders, technology and project partners, First Nations and other stakeholders for their continued support.</w:t>
      </w:r>
    </w:p>
    <w:p w14:paraId="5E812ED2" w14:textId="77777777" w:rsidR="008B198D" w:rsidRPr="006D6338" w:rsidRDefault="008B198D" w:rsidP="008B198D">
      <w:pPr>
        <w:pStyle w:val="Body"/>
        <w:spacing w:line="240" w:lineRule="auto"/>
        <w:ind w:right="-18"/>
        <w:jc w:val="both"/>
        <w:rPr>
          <w:rFonts w:ascii="Calibri" w:hAnsi="Calibri" w:cs="Calibri"/>
          <w:b/>
          <w:bCs/>
          <w:sz w:val="20"/>
          <w:szCs w:val="20"/>
        </w:rPr>
      </w:pPr>
    </w:p>
    <w:p w14:paraId="5CD92B93" w14:textId="7E95E575" w:rsidR="008B198D" w:rsidRPr="006D6338" w:rsidRDefault="00063F9C" w:rsidP="006D6338">
      <w:pPr>
        <w:pStyle w:val="Body"/>
        <w:spacing w:after="0" w:line="240" w:lineRule="auto"/>
        <w:ind w:right="-18"/>
        <w:jc w:val="both"/>
        <w:rPr>
          <w:rFonts w:ascii="Calibri" w:hAnsi="Calibri" w:cs="Calibri"/>
          <w:b/>
          <w:bCs/>
          <w:sz w:val="20"/>
          <w:szCs w:val="20"/>
        </w:rPr>
      </w:pPr>
      <w:r w:rsidRPr="006D6338">
        <w:rPr>
          <w:rFonts w:ascii="Calibri" w:hAnsi="Calibri" w:cs="Calibri"/>
          <w:b/>
          <w:bCs/>
          <w:sz w:val="20"/>
          <w:szCs w:val="20"/>
        </w:rPr>
        <w:t>Mitchell Smith</w:t>
      </w:r>
    </w:p>
    <w:p w14:paraId="3609B5C1" w14:textId="26B08488" w:rsidR="00F515E9" w:rsidRPr="006D6338" w:rsidRDefault="00063F9C" w:rsidP="006D6338">
      <w:pPr>
        <w:pStyle w:val="Body"/>
        <w:spacing w:after="0" w:line="240" w:lineRule="auto"/>
        <w:ind w:right="-18"/>
        <w:jc w:val="both"/>
        <w:rPr>
          <w:rFonts w:ascii="Calibri" w:hAnsi="Calibri" w:cs="Calibri"/>
          <w:b/>
          <w:bCs/>
          <w:sz w:val="20"/>
          <w:szCs w:val="20"/>
        </w:rPr>
      </w:pPr>
      <w:r w:rsidRPr="006D6338">
        <w:rPr>
          <w:rFonts w:ascii="Calibri" w:hAnsi="Calibri" w:cs="Calibri"/>
          <w:b/>
          <w:bCs/>
          <w:sz w:val="20"/>
          <w:szCs w:val="20"/>
        </w:rPr>
        <w:t xml:space="preserve">Chairman </w:t>
      </w:r>
    </w:p>
    <w:p w14:paraId="32B30271" w14:textId="63860583" w:rsidR="008B198D" w:rsidRPr="006D6338" w:rsidRDefault="0096321B" w:rsidP="006D6338">
      <w:pPr>
        <w:pStyle w:val="Body"/>
        <w:spacing w:after="0" w:line="240" w:lineRule="auto"/>
        <w:ind w:right="-18"/>
        <w:jc w:val="both"/>
        <w:rPr>
          <w:rFonts w:ascii="Calibri" w:eastAsia="Calibri" w:hAnsi="Calibri" w:cs="Calibri"/>
          <w:b/>
          <w:bCs/>
          <w:sz w:val="20"/>
          <w:szCs w:val="20"/>
        </w:rPr>
      </w:pPr>
      <w:r w:rsidRPr="006D6338">
        <w:rPr>
          <w:rFonts w:ascii="Calibri" w:hAnsi="Calibri" w:cs="Calibri"/>
          <w:b/>
          <w:bCs/>
          <w:sz w:val="20"/>
          <w:szCs w:val="20"/>
        </w:rPr>
        <w:t>28</w:t>
      </w:r>
      <w:r w:rsidR="008B198D" w:rsidRPr="006D6338">
        <w:rPr>
          <w:rFonts w:ascii="Calibri" w:hAnsi="Calibri" w:cs="Calibri"/>
          <w:b/>
          <w:bCs/>
          <w:sz w:val="20"/>
          <w:szCs w:val="20"/>
        </w:rPr>
        <w:t xml:space="preserve"> September 2026</w:t>
      </w:r>
    </w:p>
    <w:p w14:paraId="2D391BA8" w14:textId="77777777" w:rsidR="008B198D" w:rsidRPr="006D6338" w:rsidRDefault="008B198D" w:rsidP="008B198D">
      <w:pPr>
        <w:pStyle w:val="BodyText"/>
        <w:spacing w:before="9"/>
        <w:ind w:right="-18"/>
        <w:jc w:val="both"/>
        <w:rPr>
          <w:rFonts w:ascii="Calibri" w:hAnsi="Calibri" w:cs="Calibri"/>
          <w:b/>
          <w:bCs/>
        </w:rPr>
      </w:pPr>
    </w:p>
    <w:p w14:paraId="570E7536" w14:textId="77777777" w:rsidR="008B198D" w:rsidRPr="006D6338" w:rsidRDefault="008B198D" w:rsidP="008B198D">
      <w:pPr>
        <w:pStyle w:val="BodyText"/>
        <w:spacing w:before="9"/>
        <w:ind w:right="-18"/>
        <w:jc w:val="both"/>
        <w:rPr>
          <w:rFonts w:ascii="Calibri" w:hAnsi="Calibri" w:cs="Calibri"/>
          <w:b/>
          <w:bCs/>
        </w:rPr>
      </w:pPr>
    </w:p>
    <w:p w14:paraId="2D8E72F3" w14:textId="3A2C7843" w:rsidR="00F515E9" w:rsidRPr="006D6338" w:rsidRDefault="00063F9C" w:rsidP="008B198D">
      <w:pPr>
        <w:pStyle w:val="BodyText"/>
        <w:spacing w:before="9"/>
        <w:ind w:right="-18"/>
        <w:jc w:val="both"/>
        <w:rPr>
          <w:rFonts w:ascii="Calibri" w:eastAsia="Calibri" w:hAnsi="Calibri" w:cs="Calibri"/>
          <w:b/>
          <w:bCs/>
        </w:rPr>
      </w:pPr>
      <w:r w:rsidRPr="006D6338">
        <w:rPr>
          <w:rFonts w:ascii="Calibri" w:hAnsi="Calibri" w:cs="Calibri"/>
          <w:b/>
          <w:bCs/>
        </w:rPr>
        <w:t>Operational Review</w:t>
      </w:r>
    </w:p>
    <w:p w14:paraId="44E6E238" w14:textId="77777777" w:rsidR="008B198D" w:rsidRPr="006D6338" w:rsidRDefault="008B198D" w:rsidP="008B198D">
      <w:pPr>
        <w:pStyle w:val="BodyText"/>
        <w:spacing w:before="9"/>
        <w:ind w:right="-18"/>
        <w:jc w:val="both"/>
        <w:rPr>
          <w:rFonts w:ascii="Calibri" w:hAnsi="Calibri" w:cs="Calibri"/>
          <w:b/>
          <w:bCs/>
        </w:rPr>
      </w:pPr>
    </w:p>
    <w:p w14:paraId="4CDC92D8" w14:textId="6FD47705" w:rsidR="00F515E9" w:rsidRPr="006D6338" w:rsidRDefault="00063F9C" w:rsidP="008B198D">
      <w:pPr>
        <w:pStyle w:val="BodyText"/>
        <w:spacing w:before="9"/>
        <w:ind w:right="-18"/>
        <w:jc w:val="both"/>
        <w:rPr>
          <w:rFonts w:ascii="Calibri" w:hAnsi="Calibri" w:cs="Calibri"/>
          <w:b/>
          <w:bCs/>
        </w:rPr>
      </w:pPr>
      <w:r w:rsidRPr="006D6338">
        <w:rPr>
          <w:rFonts w:ascii="Calibri" w:hAnsi="Calibri" w:cs="Calibri"/>
          <w:b/>
          <w:bCs/>
        </w:rPr>
        <w:t>Teck-Hughes Project</w:t>
      </w:r>
    </w:p>
    <w:p w14:paraId="0A3BF45D" w14:textId="77777777" w:rsidR="008B198D" w:rsidRPr="006D6338" w:rsidRDefault="008B198D" w:rsidP="008B198D">
      <w:pPr>
        <w:pStyle w:val="BodyText"/>
        <w:spacing w:before="9"/>
        <w:ind w:right="-18"/>
        <w:jc w:val="both"/>
        <w:rPr>
          <w:rFonts w:ascii="Calibri" w:eastAsia="Calibri" w:hAnsi="Calibri" w:cs="Calibri"/>
        </w:rPr>
      </w:pPr>
    </w:p>
    <w:p w14:paraId="44FA35A5" w14:textId="77777777" w:rsidR="00F515E9" w:rsidRPr="006D6338" w:rsidRDefault="00063F9C" w:rsidP="008B198D">
      <w:pPr>
        <w:pStyle w:val="BodyText"/>
        <w:spacing w:before="9"/>
        <w:ind w:right="-18"/>
        <w:jc w:val="both"/>
        <w:rPr>
          <w:rFonts w:ascii="Calibri" w:hAnsi="Calibri" w:cs="Calibri"/>
        </w:rPr>
      </w:pPr>
      <w:r w:rsidRPr="006D6338">
        <w:rPr>
          <w:rFonts w:ascii="Calibri" w:hAnsi="Calibri" w:cs="Calibri"/>
        </w:rPr>
        <w:t>Phase 3 metallurgical testing at Teck-Hughes was completed during the period with Extrakt and TDI. Gold recovery reached 78%, representing a 31% relative improvement compared with Phase 1. Recoveries of up to 95% silver, 96% tellurium, 85% copper, 60% cobalt, 65% manganese and approximately 20% gallium were also achieved. The optimised leach cycle was completed in less than six hours, dewatering took less than one minute and approximately 80% of water and reagents were recovered for reuse. Further work will seek to optimise the recovery of gallium and other potentially saleable metals.</w:t>
      </w:r>
    </w:p>
    <w:p w14:paraId="58CAE5FB" w14:textId="77777777" w:rsidR="00A149C3" w:rsidRDefault="00A149C3" w:rsidP="008B198D">
      <w:pPr>
        <w:pStyle w:val="p1"/>
        <w:jc w:val="both"/>
        <w:rPr>
          <w:rFonts w:cs="Calibri"/>
          <w:b/>
          <w:bCs/>
          <w:color w:val="000000" w:themeColor="text1"/>
          <w:sz w:val="20"/>
          <w:szCs w:val="20"/>
          <w:lang w:val="en-IE"/>
        </w:rPr>
      </w:pPr>
    </w:p>
    <w:p w14:paraId="43B892C0" w14:textId="002CFBF7" w:rsidR="008B198D" w:rsidRPr="006D6338" w:rsidRDefault="008B198D" w:rsidP="008B198D">
      <w:pPr>
        <w:pStyle w:val="p1"/>
        <w:jc w:val="both"/>
        <w:rPr>
          <w:rFonts w:cs="Calibri"/>
          <w:color w:val="000000" w:themeColor="text1"/>
          <w:sz w:val="20"/>
          <w:szCs w:val="20"/>
          <w:lang w:val="en-IE"/>
        </w:rPr>
      </w:pPr>
      <w:r w:rsidRPr="006D6338">
        <w:rPr>
          <w:rFonts w:cs="Calibri"/>
          <w:b/>
          <w:bCs/>
          <w:color w:val="000000" w:themeColor="text1"/>
          <w:sz w:val="20"/>
          <w:szCs w:val="20"/>
          <w:lang w:val="en-IE"/>
        </w:rPr>
        <w:t xml:space="preserve">Figure </w:t>
      </w:r>
      <w:r w:rsidR="00FE759D" w:rsidRPr="006D6338">
        <w:rPr>
          <w:rFonts w:cs="Calibri"/>
          <w:b/>
          <w:bCs/>
          <w:color w:val="000000" w:themeColor="text1"/>
          <w:sz w:val="20"/>
          <w:szCs w:val="20"/>
          <w:lang w:val="en-IE"/>
        </w:rPr>
        <w:t>1</w:t>
      </w:r>
      <w:r w:rsidRPr="006D6338">
        <w:rPr>
          <w:rFonts w:cs="Calibri"/>
          <w:b/>
          <w:bCs/>
          <w:color w:val="000000" w:themeColor="text1"/>
          <w:sz w:val="20"/>
          <w:szCs w:val="20"/>
          <w:lang w:val="en-IE"/>
        </w:rPr>
        <w:t xml:space="preserve">: Optimised leaching results for select material at 54 microns and </w:t>
      </w:r>
      <w:r w:rsidR="00456894" w:rsidRPr="006D6338">
        <w:rPr>
          <w:rFonts w:cs="Calibri"/>
          <w:b/>
          <w:bCs/>
          <w:color w:val="000000" w:themeColor="text1"/>
          <w:sz w:val="20"/>
          <w:szCs w:val="20"/>
        </w:rPr>
        <w:t>38°C</w:t>
      </w:r>
    </w:p>
    <w:p w14:paraId="4D2BA3C0" w14:textId="05B4D0DA" w:rsidR="008B198D" w:rsidRPr="006D6338" w:rsidRDefault="008B198D" w:rsidP="008B198D">
      <w:pPr>
        <w:pStyle w:val="p1"/>
        <w:jc w:val="both"/>
        <w:rPr>
          <w:rFonts w:cs="Calibri"/>
          <w:color w:val="000000" w:themeColor="text1"/>
          <w:sz w:val="22"/>
          <w:szCs w:val="22"/>
          <w:lang w:val="en-IE"/>
        </w:rPr>
      </w:pPr>
      <w:r w:rsidRPr="006D6338">
        <w:rPr>
          <w:rFonts w:cs="Calibri"/>
          <w:noProof/>
          <w:color w:val="000000" w:themeColor="text1"/>
          <w:sz w:val="22"/>
          <w:szCs w:val="22"/>
          <w:lang w:val="en-IE"/>
        </w:rPr>
        <w:lastRenderedPageBreak/>
        <w:drawing>
          <wp:inline distT="0" distB="0" distL="0" distR="0" wp14:anchorId="33C590FB" wp14:editId="3D57C3E0">
            <wp:extent cx="5731510" cy="2315210"/>
            <wp:effectExtent l="0" t="0" r="0" b="0"/>
            <wp:docPr id="1743726031" name="Picture 1" descr="A graph of metal recov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40193" name="Picture 1" descr="A graph of metal recovery&#10;&#10;Description automatically generated"/>
                    <pic:cNvPicPr/>
                  </pic:nvPicPr>
                  <pic:blipFill>
                    <a:blip r:embed="rId10"/>
                    <a:stretch>
                      <a:fillRect/>
                    </a:stretch>
                  </pic:blipFill>
                  <pic:spPr>
                    <a:xfrm>
                      <a:off x="0" y="0"/>
                      <a:ext cx="5731510" cy="2315210"/>
                    </a:xfrm>
                    <a:prstGeom prst="rect">
                      <a:avLst/>
                    </a:prstGeom>
                  </pic:spPr>
                </pic:pic>
              </a:graphicData>
            </a:graphic>
          </wp:inline>
        </w:drawing>
      </w:r>
    </w:p>
    <w:p w14:paraId="1E35E80D" w14:textId="77777777" w:rsidR="008B198D" w:rsidRPr="006D6338" w:rsidRDefault="008B198D" w:rsidP="008B198D">
      <w:pPr>
        <w:pStyle w:val="p1"/>
        <w:jc w:val="both"/>
        <w:rPr>
          <w:rFonts w:cs="Calibri"/>
          <w:color w:val="000000" w:themeColor="text1"/>
          <w:sz w:val="20"/>
          <w:szCs w:val="20"/>
          <w:lang w:val="en-IE"/>
        </w:rPr>
      </w:pPr>
    </w:p>
    <w:p w14:paraId="1513F266" w14:textId="03AB1EBE" w:rsidR="008B198D" w:rsidRPr="006D6338" w:rsidRDefault="008B198D" w:rsidP="008B198D">
      <w:pPr>
        <w:pStyle w:val="p1"/>
        <w:jc w:val="both"/>
        <w:rPr>
          <w:rFonts w:cs="Calibri"/>
          <w:color w:val="000000" w:themeColor="text1"/>
          <w:sz w:val="20"/>
          <w:szCs w:val="20"/>
          <w:lang w:val="en-IE"/>
        </w:rPr>
      </w:pPr>
      <w:r w:rsidRPr="006D6338">
        <w:rPr>
          <w:rFonts w:cs="Calibri"/>
          <w:color w:val="000000" w:themeColor="text1"/>
          <w:sz w:val="20"/>
          <w:szCs w:val="20"/>
          <w:lang w:val="en-IE"/>
        </w:rPr>
        <w:t>The extended testing program</w:t>
      </w:r>
      <w:r w:rsidR="006F575C">
        <w:rPr>
          <w:rFonts w:cs="Calibri"/>
          <w:color w:val="000000" w:themeColor="text1"/>
          <w:sz w:val="20"/>
          <w:szCs w:val="20"/>
          <w:lang w:val="en-IE"/>
        </w:rPr>
        <w:t>me</w:t>
      </w:r>
      <w:r w:rsidRPr="006D6338">
        <w:rPr>
          <w:rFonts w:cs="Calibri"/>
          <w:color w:val="000000" w:themeColor="text1"/>
          <w:sz w:val="20"/>
          <w:szCs w:val="20"/>
          <w:lang w:val="en-IE"/>
        </w:rPr>
        <w:t xml:space="preserve"> from step 1 demonstrated co-extraction of selected metals. Increasing leaching temperature consistently improved recoveries of all metals. Gallium demonstrated a very different behaviour and deportment which requires further testing and adjustments to leaching chemistry and configuration.</w:t>
      </w:r>
    </w:p>
    <w:p w14:paraId="3946E4F5" w14:textId="77777777" w:rsidR="008B198D" w:rsidRPr="006D6338" w:rsidRDefault="008B198D" w:rsidP="008B198D">
      <w:pPr>
        <w:pStyle w:val="p1"/>
        <w:jc w:val="both"/>
        <w:rPr>
          <w:rFonts w:cs="Calibri"/>
          <w:color w:val="000000" w:themeColor="text1"/>
          <w:sz w:val="20"/>
          <w:szCs w:val="20"/>
          <w:lang w:val="en-IE"/>
        </w:rPr>
      </w:pPr>
    </w:p>
    <w:p w14:paraId="221B544A" w14:textId="77777777" w:rsidR="006D6338" w:rsidRDefault="006D6338" w:rsidP="008B198D">
      <w:pPr>
        <w:pStyle w:val="p1"/>
        <w:jc w:val="both"/>
        <w:rPr>
          <w:rFonts w:cs="Calibri"/>
          <w:b/>
          <w:bCs/>
          <w:color w:val="000000" w:themeColor="text1"/>
          <w:sz w:val="20"/>
          <w:szCs w:val="20"/>
          <w:lang w:val="en-IE"/>
        </w:rPr>
      </w:pPr>
    </w:p>
    <w:p w14:paraId="6FCA63CB" w14:textId="5BB74D3F" w:rsidR="008B198D" w:rsidRPr="006D6338" w:rsidRDefault="008B198D" w:rsidP="008B198D">
      <w:pPr>
        <w:pStyle w:val="p1"/>
        <w:jc w:val="both"/>
        <w:rPr>
          <w:rFonts w:cs="Calibri"/>
          <w:b/>
          <w:bCs/>
          <w:color w:val="000000" w:themeColor="text1"/>
          <w:sz w:val="20"/>
          <w:szCs w:val="20"/>
          <w:lang w:val="en-IE"/>
        </w:rPr>
      </w:pPr>
      <w:r w:rsidRPr="006D6338">
        <w:rPr>
          <w:rFonts w:cs="Calibri"/>
          <w:b/>
          <w:bCs/>
          <w:color w:val="000000" w:themeColor="text1"/>
          <w:sz w:val="20"/>
          <w:szCs w:val="20"/>
          <w:lang w:val="en-IE"/>
        </w:rPr>
        <w:t xml:space="preserve">Figure </w:t>
      </w:r>
      <w:r w:rsidR="00FE759D" w:rsidRPr="006D6338">
        <w:rPr>
          <w:rFonts w:cs="Calibri"/>
          <w:b/>
          <w:bCs/>
          <w:color w:val="000000" w:themeColor="text1"/>
          <w:sz w:val="20"/>
          <w:szCs w:val="20"/>
          <w:lang w:val="en-IE"/>
        </w:rPr>
        <w:t>2</w:t>
      </w:r>
      <w:r w:rsidRPr="006D6338">
        <w:rPr>
          <w:rFonts w:cs="Calibri"/>
          <w:b/>
          <w:bCs/>
          <w:color w:val="000000" w:themeColor="text1"/>
          <w:sz w:val="20"/>
          <w:szCs w:val="20"/>
          <w:lang w:val="en-IE"/>
        </w:rPr>
        <w:t>: Effect of leaching temperature on Gold, Silver, Tellurium and Gallium recovery at 54 Microns</w:t>
      </w:r>
    </w:p>
    <w:p w14:paraId="426345F4" w14:textId="77777777" w:rsidR="008B198D" w:rsidRPr="006D6338" w:rsidRDefault="008B198D" w:rsidP="008B198D">
      <w:pPr>
        <w:pStyle w:val="p1"/>
        <w:jc w:val="both"/>
        <w:rPr>
          <w:rFonts w:cs="Calibri"/>
          <w:color w:val="000000" w:themeColor="text1"/>
          <w:sz w:val="22"/>
          <w:szCs w:val="22"/>
          <w:lang w:val="en-IE"/>
        </w:rPr>
      </w:pPr>
    </w:p>
    <w:p w14:paraId="757F67FF" w14:textId="77777777" w:rsidR="008B198D" w:rsidRPr="006D6338" w:rsidRDefault="008B198D" w:rsidP="008B198D">
      <w:pPr>
        <w:pStyle w:val="p1"/>
        <w:jc w:val="both"/>
        <w:rPr>
          <w:rFonts w:cs="Calibri"/>
          <w:color w:val="000000" w:themeColor="text1"/>
          <w:sz w:val="22"/>
          <w:szCs w:val="22"/>
          <w:lang w:val="en-IE"/>
        </w:rPr>
      </w:pPr>
      <w:r w:rsidRPr="006D6338">
        <w:rPr>
          <w:rFonts w:cs="Calibri"/>
          <w:noProof/>
          <w:color w:val="000000" w:themeColor="text1"/>
          <w:sz w:val="22"/>
          <w:szCs w:val="22"/>
          <w:lang w:val="en-IE"/>
        </w:rPr>
        <w:drawing>
          <wp:inline distT="0" distB="0" distL="0" distR="0" wp14:anchorId="6B024848" wp14:editId="376412BB">
            <wp:extent cx="4691368" cy="1819746"/>
            <wp:effectExtent l="0" t="0" r="0" b="0"/>
            <wp:docPr id="867317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7375" name="Picture 1"/>
                    <pic:cNvPicPr/>
                  </pic:nvPicPr>
                  <pic:blipFill>
                    <a:blip r:embed="rId11" cstate="print">
                      <a:extLst>
                        <a:ext uri="{28A0092B-C50C-407E-A947-70E740481C1C}">
                          <a14:useLocalDpi xmlns:a14="http://schemas.microsoft.com/office/drawing/2010/main" val="0"/>
                        </a:ext>
                      </a:extLst>
                    </a:blip>
                    <a:srcRect t="1288" b="1288"/>
                    <a:stretch>
                      <a:fillRect/>
                    </a:stretch>
                  </pic:blipFill>
                  <pic:spPr bwMode="auto">
                    <a:xfrm>
                      <a:off x="0" y="0"/>
                      <a:ext cx="4702498" cy="1824063"/>
                    </a:xfrm>
                    <a:prstGeom prst="rect">
                      <a:avLst/>
                    </a:prstGeom>
                    <a:ln>
                      <a:noFill/>
                    </a:ln>
                    <a:extLst>
                      <a:ext uri="{53640926-AAD7-44D8-BBD7-CCE9431645EC}">
                        <a14:shadowObscured xmlns:a14="http://schemas.microsoft.com/office/drawing/2010/main"/>
                      </a:ext>
                    </a:extLst>
                  </pic:spPr>
                </pic:pic>
              </a:graphicData>
            </a:graphic>
          </wp:inline>
        </w:drawing>
      </w:r>
    </w:p>
    <w:p w14:paraId="4C396FE1" w14:textId="77777777" w:rsidR="008B198D" w:rsidRPr="006D6338" w:rsidRDefault="008B198D" w:rsidP="008B198D">
      <w:pPr>
        <w:pStyle w:val="BodyText"/>
        <w:spacing w:before="9"/>
        <w:ind w:right="-18"/>
        <w:jc w:val="both"/>
        <w:rPr>
          <w:rFonts w:ascii="Calibri" w:hAnsi="Calibri" w:cs="Calibri"/>
        </w:rPr>
      </w:pPr>
    </w:p>
    <w:p w14:paraId="2E43240D" w14:textId="77777777" w:rsidR="008B198D" w:rsidRPr="006D6338" w:rsidRDefault="008B198D" w:rsidP="008B198D">
      <w:pPr>
        <w:pStyle w:val="BodyText"/>
        <w:spacing w:before="9"/>
        <w:ind w:right="-18"/>
        <w:jc w:val="both"/>
        <w:rPr>
          <w:rFonts w:ascii="Calibri" w:eastAsia="Calibri" w:hAnsi="Calibri" w:cs="Calibri"/>
        </w:rPr>
      </w:pPr>
    </w:p>
    <w:p w14:paraId="78BC0860" w14:textId="4CA989B6" w:rsidR="00F515E9" w:rsidRPr="006D6338" w:rsidRDefault="00063F9C" w:rsidP="008B198D">
      <w:pPr>
        <w:pStyle w:val="BodyText"/>
        <w:spacing w:before="9"/>
        <w:ind w:right="-18"/>
        <w:jc w:val="both"/>
        <w:rPr>
          <w:rFonts w:ascii="Calibri" w:hAnsi="Calibri" w:cs="Calibri"/>
        </w:rPr>
      </w:pPr>
      <w:r w:rsidRPr="006D6338">
        <w:rPr>
          <w:rFonts w:ascii="Calibri" w:hAnsi="Calibri" w:cs="Calibri"/>
        </w:rPr>
        <w:t>The 159-hole auger programme was completed, providing multi-element data across the approximately 6.5 million-tonne tailings deposit. Reported average grades included 0.63 g/t gold, 0.70 g/t silver, 12.86 g/t tellurium and 17.12 g/t gallium. Rubidium, strontium and zirconium were also identified</w:t>
      </w:r>
      <w:r w:rsidR="006B00B2" w:rsidRPr="006D6338">
        <w:rPr>
          <w:rFonts w:ascii="Calibri" w:hAnsi="Calibri" w:cs="Calibri"/>
        </w:rPr>
        <w:t xml:space="preserve"> which requires f</w:t>
      </w:r>
      <w:r w:rsidRPr="006D6338">
        <w:rPr>
          <w:rFonts w:ascii="Calibri" w:hAnsi="Calibri" w:cs="Calibri"/>
        </w:rPr>
        <w:t xml:space="preserve">urther recovery testing and saleability assessment </w:t>
      </w:r>
      <w:r w:rsidR="006B00B2" w:rsidRPr="006D6338">
        <w:rPr>
          <w:rFonts w:ascii="Calibri" w:hAnsi="Calibri" w:cs="Calibri"/>
        </w:rPr>
        <w:t xml:space="preserve">to </w:t>
      </w:r>
      <w:r w:rsidRPr="006D6338">
        <w:rPr>
          <w:rFonts w:ascii="Calibri" w:hAnsi="Calibri" w:cs="Calibri"/>
        </w:rPr>
        <w:t xml:space="preserve">determine whether these elements could make a potential economic contribution. The drilling, density and metallurgical datasets are intended to support preparation of a </w:t>
      </w:r>
      <w:r w:rsidR="003332A6">
        <w:rPr>
          <w:rFonts w:ascii="Calibri" w:hAnsi="Calibri" w:cs="Calibri"/>
        </w:rPr>
        <w:t>43-101 compliant</w:t>
      </w:r>
      <w:r w:rsidR="003332A6" w:rsidRPr="006D6338">
        <w:rPr>
          <w:rFonts w:ascii="Calibri" w:hAnsi="Calibri" w:cs="Calibri"/>
        </w:rPr>
        <w:t xml:space="preserve"> </w:t>
      </w:r>
      <w:r w:rsidRPr="006D6338">
        <w:rPr>
          <w:rFonts w:ascii="Calibri" w:hAnsi="Calibri" w:cs="Calibri"/>
        </w:rPr>
        <w:t>Mineral Resource Estimate and subsequent technical studies.</w:t>
      </w:r>
    </w:p>
    <w:p w14:paraId="27D3330C" w14:textId="77777777" w:rsidR="008B198D" w:rsidRPr="006D6338" w:rsidRDefault="008B198D" w:rsidP="008B198D">
      <w:pPr>
        <w:pStyle w:val="BodyText"/>
        <w:spacing w:before="9"/>
        <w:ind w:right="-18"/>
        <w:jc w:val="both"/>
        <w:rPr>
          <w:rFonts w:ascii="Calibri" w:hAnsi="Calibri" w:cs="Calibri"/>
          <w:sz w:val="16"/>
          <w:szCs w:val="16"/>
        </w:rPr>
      </w:pPr>
    </w:p>
    <w:p w14:paraId="144CF923" w14:textId="77777777" w:rsidR="00A149C3" w:rsidRDefault="00A149C3" w:rsidP="006D6338">
      <w:pPr>
        <w:pStyle w:val="BodyA"/>
        <w:jc w:val="both"/>
        <w:rPr>
          <w:rFonts w:ascii="Calibri" w:hAnsi="Calibri" w:cs="Calibri"/>
          <w:b/>
          <w:bCs/>
          <w:sz w:val="20"/>
          <w:szCs w:val="20"/>
          <w:lang w:val="en-GB"/>
        </w:rPr>
      </w:pPr>
    </w:p>
    <w:p w14:paraId="06D667D9" w14:textId="735162EC" w:rsidR="008B198D" w:rsidRPr="006D6338" w:rsidRDefault="008B198D" w:rsidP="006D6338">
      <w:pPr>
        <w:pStyle w:val="BodyA"/>
        <w:jc w:val="both"/>
        <w:rPr>
          <w:rFonts w:ascii="Calibri" w:hAnsi="Calibri" w:cs="Calibri"/>
          <w:b/>
          <w:bCs/>
          <w:lang w:val="en-GB"/>
        </w:rPr>
      </w:pPr>
      <w:r w:rsidRPr="006D6338">
        <w:rPr>
          <w:rFonts w:ascii="Calibri" w:hAnsi="Calibri" w:cs="Calibri"/>
          <w:b/>
          <w:bCs/>
          <w:sz w:val="20"/>
          <w:szCs w:val="20"/>
          <w:lang w:val="en-GB"/>
        </w:rPr>
        <w:t xml:space="preserve">Figure </w:t>
      </w:r>
      <w:r w:rsidR="00FE759D" w:rsidRPr="006D6338">
        <w:rPr>
          <w:rFonts w:ascii="Calibri" w:hAnsi="Calibri" w:cs="Calibri"/>
          <w:b/>
          <w:bCs/>
          <w:sz w:val="20"/>
          <w:szCs w:val="20"/>
          <w:lang w:val="en-GB"/>
        </w:rPr>
        <w:t>3</w:t>
      </w:r>
      <w:r w:rsidRPr="006D6338">
        <w:rPr>
          <w:rFonts w:ascii="Calibri" w:hAnsi="Calibri" w:cs="Calibri"/>
          <w:b/>
          <w:bCs/>
          <w:sz w:val="20"/>
          <w:szCs w:val="20"/>
          <w:lang w:val="en-GB"/>
        </w:rPr>
        <w:t xml:space="preserve"> – Teck Hughes map of average gold grades only</w:t>
      </w:r>
    </w:p>
    <w:p w14:paraId="6D540012" w14:textId="3957E7EB" w:rsidR="008B198D" w:rsidRPr="006D6338" w:rsidRDefault="008B198D" w:rsidP="008B198D">
      <w:pPr>
        <w:pStyle w:val="BodyText"/>
        <w:spacing w:before="9"/>
        <w:ind w:right="-18"/>
        <w:jc w:val="both"/>
        <w:rPr>
          <w:rFonts w:ascii="Calibri" w:hAnsi="Calibri" w:cs="Calibri"/>
        </w:rPr>
      </w:pPr>
      <w:r w:rsidRPr="006D6338">
        <w:rPr>
          <w:rFonts w:ascii="Calibri" w:hAnsi="Calibri" w:cs="Calibri"/>
          <w:noProof/>
        </w:rPr>
        <w:lastRenderedPageBreak/>
        <w:drawing>
          <wp:inline distT="0" distB="0" distL="0" distR="0" wp14:anchorId="7C68EE92" wp14:editId="72BC2854">
            <wp:extent cx="4784898" cy="3395050"/>
            <wp:effectExtent l="0" t="0" r="3175" b="0"/>
            <wp:docPr id="3088467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46761" name="Picture 3088467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24511" cy="3423157"/>
                    </a:xfrm>
                    <a:prstGeom prst="rect">
                      <a:avLst/>
                    </a:prstGeom>
                  </pic:spPr>
                </pic:pic>
              </a:graphicData>
            </a:graphic>
          </wp:inline>
        </w:drawing>
      </w:r>
    </w:p>
    <w:p w14:paraId="0929B540" w14:textId="77777777" w:rsidR="008B198D" w:rsidRPr="006D6338" w:rsidRDefault="008B198D" w:rsidP="008B198D">
      <w:pPr>
        <w:pStyle w:val="BodyText"/>
        <w:spacing w:before="9"/>
        <w:ind w:right="-18"/>
        <w:jc w:val="both"/>
        <w:rPr>
          <w:rFonts w:ascii="Calibri" w:hAnsi="Calibri" w:cs="Calibri"/>
        </w:rPr>
      </w:pPr>
    </w:p>
    <w:p w14:paraId="3C687E19" w14:textId="351CC2AD" w:rsidR="008B198D" w:rsidRPr="006D6338" w:rsidRDefault="008B198D" w:rsidP="008B198D">
      <w:pPr>
        <w:pStyle w:val="BodyText"/>
        <w:spacing w:before="9"/>
        <w:ind w:right="-18"/>
        <w:jc w:val="both"/>
        <w:rPr>
          <w:rFonts w:ascii="Calibri" w:hAnsi="Calibri" w:cs="Calibri"/>
        </w:rPr>
      </w:pPr>
      <w:r w:rsidRPr="006D6338">
        <w:rPr>
          <w:rFonts w:ascii="Calibri" w:hAnsi="Calibri" w:cs="Calibri"/>
        </w:rPr>
        <w:t xml:space="preserve">The Company also acquired five surface-rights parcels covering approximately 270 acres at Teck-Hughes for C$220,000 and a 1.5% net smelter return royalty. Fulcrum </w:t>
      </w:r>
      <w:r w:rsidR="00441DA9" w:rsidRPr="006D6338">
        <w:rPr>
          <w:rFonts w:ascii="Calibri" w:hAnsi="Calibri" w:cs="Calibri"/>
        </w:rPr>
        <w:t>has the optiona</w:t>
      </w:r>
      <w:r w:rsidR="00E52B3A" w:rsidRPr="006D6338">
        <w:rPr>
          <w:rFonts w:ascii="Calibri" w:hAnsi="Calibri" w:cs="Calibri"/>
        </w:rPr>
        <w:t>lity to</w:t>
      </w:r>
      <w:r w:rsidRPr="006D6338">
        <w:rPr>
          <w:rFonts w:ascii="Calibri" w:hAnsi="Calibri" w:cs="Calibri"/>
        </w:rPr>
        <w:t xml:space="preserve"> reduce the royalty to 0.75% fo</w:t>
      </w:r>
      <w:r w:rsidR="00E52B3A" w:rsidRPr="006D6338">
        <w:rPr>
          <w:rFonts w:ascii="Calibri" w:hAnsi="Calibri" w:cs="Calibri"/>
        </w:rPr>
        <w:t xml:space="preserve">r </w:t>
      </w:r>
      <w:r w:rsidRPr="006D6338">
        <w:rPr>
          <w:rFonts w:ascii="Calibri" w:hAnsi="Calibri" w:cs="Calibri"/>
        </w:rPr>
        <w:t>C$750,000 and then to 0.5% for a further C$500,000. The agreements include a one-kilometre area of interest around Teck-Hughes and Sylvanite and a five-year right of first refusal over relevant surface and mining rights. Together with the mining rights already held by Fulcrum, the acquisitions provide greater control and flexibility for site investigation, sampling and potential future development.</w:t>
      </w:r>
    </w:p>
    <w:p w14:paraId="6F558302" w14:textId="77777777" w:rsidR="008B198D" w:rsidRPr="006D6338" w:rsidRDefault="008B198D" w:rsidP="006D6338">
      <w:pPr>
        <w:pStyle w:val="Body"/>
        <w:spacing w:after="0"/>
        <w:rPr>
          <w:rFonts w:ascii="Calibri" w:eastAsia="Calibri" w:hAnsi="Calibri" w:cs="Calibri"/>
          <w:b/>
          <w:bCs/>
          <w:sz w:val="20"/>
          <w:szCs w:val="20"/>
        </w:rPr>
      </w:pPr>
    </w:p>
    <w:p w14:paraId="67E8BD00" w14:textId="19C64292" w:rsidR="008B198D" w:rsidRPr="006D6338" w:rsidRDefault="008B198D" w:rsidP="008B198D">
      <w:pPr>
        <w:pStyle w:val="Body"/>
        <w:rPr>
          <w:rFonts w:ascii="Calibri" w:eastAsia="Calibri" w:hAnsi="Calibri" w:cs="Calibri"/>
          <w:b/>
          <w:bCs/>
          <w:sz w:val="20"/>
          <w:szCs w:val="20"/>
        </w:rPr>
      </w:pPr>
      <w:r w:rsidRPr="006D6338">
        <w:rPr>
          <w:rFonts w:ascii="Calibri" w:eastAsia="Calibri" w:hAnsi="Calibri" w:cs="Calibri"/>
          <w:b/>
          <w:bCs/>
          <w:sz w:val="20"/>
          <w:szCs w:val="20"/>
        </w:rPr>
        <w:t xml:space="preserve">Figure </w:t>
      </w:r>
      <w:r w:rsidR="00FE759D" w:rsidRPr="006D6338">
        <w:rPr>
          <w:rFonts w:ascii="Calibri" w:eastAsia="Calibri" w:hAnsi="Calibri" w:cs="Calibri"/>
          <w:b/>
          <w:bCs/>
          <w:sz w:val="20"/>
          <w:szCs w:val="20"/>
        </w:rPr>
        <w:t>4</w:t>
      </w:r>
      <w:r w:rsidRPr="006D6338">
        <w:rPr>
          <w:rFonts w:ascii="Calibri" w:eastAsia="Calibri" w:hAnsi="Calibri" w:cs="Calibri"/>
          <w:b/>
          <w:bCs/>
          <w:sz w:val="20"/>
          <w:szCs w:val="20"/>
        </w:rPr>
        <w:t xml:space="preserve"> – Teck Hughes project – Mining rights in yellow, surface rights in green</w:t>
      </w:r>
    </w:p>
    <w:p w14:paraId="609A4CE0" w14:textId="278E7138" w:rsidR="00F515E9" w:rsidRPr="006D6338" w:rsidRDefault="008B198D" w:rsidP="009A201A">
      <w:pPr>
        <w:pStyle w:val="Body"/>
      </w:pPr>
      <w:r w:rsidRPr="006D6338">
        <w:rPr>
          <w:rFonts w:ascii="Calibri" w:eastAsia="Calibri" w:hAnsi="Calibri" w:cs="Calibri"/>
          <w:noProof/>
          <w:sz w:val="20"/>
          <w:szCs w:val="20"/>
        </w:rPr>
        <w:drawing>
          <wp:inline distT="0" distB="0" distL="0" distR="0" wp14:anchorId="43C07EDD" wp14:editId="58604484">
            <wp:extent cx="3078439" cy="3041965"/>
            <wp:effectExtent l="0" t="0" r="0" b="0"/>
            <wp:docPr id="1082991880" name="Picture 1" descr="A map with a yellow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91880" name="Picture 1" descr="A map with a yellow square&#10;&#10;Description automatically generated"/>
                    <pic:cNvPicPr/>
                  </pic:nvPicPr>
                  <pic:blipFill>
                    <a:blip r:embed="rId13"/>
                    <a:stretch>
                      <a:fillRect/>
                    </a:stretch>
                  </pic:blipFill>
                  <pic:spPr>
                    <a:xfrm>
                      <a:off x="0" y="0"/>
                      <a:ext cx="3149892" cy="3112571"/>
                    </a:xfrm>
                    <a:prstGeom prst="rect">
                      <a:avLst/>
                    </a:prstGeom>
                  </pic:spPr>
                </pic:pic>
              </a:graphicData>
            </a:graphic>
          </wp:inline>
        </w:drawing>
      </w:r>
    </w:p>
    <w:p w14:paraId="51FEB75E" w14:textId="77777777" w:rsidR="00B50A2D" w:rsidRPr="006D6338" w:rsidRDefault="00B50A2D" w:rsidP="008B198D">
      <w:pPr>
        <w:pStyle w:val="BodyText"/>
        <w:spacing w:before="9"/>
        <w:ind w:right="-18"/>
        <w:jc w:val="both"/>
        <w:rPr>
          <w:rFonts w:ascii="Calibri" w:hAnsi="Calibri" w:cs="Calibri"/>
          <w:b/>
          <w:bCs/>
        </w:rPr>
      </w:pPr>
    </w:p>
    <w:p w14:paraId="7F4C25C8" w14:textId="5DD5B540" w:rsidR="008B198D" w:rsidRPr="006D6338" w:rsidRDefault="008B198D" w:rsidP="008B198D">
      <w:pPr>
        <w:pStyle w:val="BodyText"/>
        <w:spacing w:before="9"/>
        <w:ind w:right="-18"/>
        <w:jc w:val="both"/>
        <w:rPr>
          <w:rFonts w:ascii="Calibri" w:hAnsi="Calibri" w:cs="Calibri"/>
          <w:b/>
          <w:bCs/>
        </w:rPr>
      </w:pPr>
      <w:r w:rsidRPr="006D6338">
        <w:rPr>
          <w:rFonts w:ascii="Calibri" w:hAnsi="Calibri" w:cs="Calibri"/>
          <w:b/>
          <w:bCs/>
        </w:rPr>
        <w:t>Pilot development programme</w:t>
      </w:r>
    </w:p>
    <w:p w14:paraId="636E46BA" w14:textId="56C71B57" w:rsidR="000242A8" w:rsidRPr="006D6338" w:rsidRDefault="00063F9C" w:rsidP="006D6338">
      <w:pPr>
        <w:pStyle w:val="BodyText"/>
        <w:spacing w:before="9"/>
        <w:ind w:right="-18"/>
        <w:jc w:val="both"/>
        <w:rPr>
          <w:rFonts w:ascii="Calibri" w:hAnsi="Calibri" w:cs="Calibri"/>
        </w:rPr>
      </w:pPr>
      <w:r w:rsidRPr="006D6338">
        <w:rPr>
          <w:rFonts w:ascii="Calibri" w:hAnsi="Calibri" w:cs="Calibri"/>
        </w:rPr>
        <w:t>Following completion of the pilot concept study, Fulcrum EnviroTech Corp.</w:t>
      </w:r>
      <w:r w:rsidR="00D1488F" w:rsidRPr="006D6338">
        <w:rPr>
          <w:rFonts w:ascii="Calibri" w:hAnsi="Calibri" w:cs="Calibri"/>
        </w:rPr>
        <w:t xml:space="preserve">, a wholly owned subsidiary of the Company, </w:t>
      </w:r>
      <w:r w:rsidRPr="006D6338">
        <w:rPr>
          <w:rFonts w:ascii="Calibri" w:hAnsi="Calibri" w:cs="Calibri"/>
        </w:rPr>
        <w:t xml:space="preserve">signed the </w:t>
      </w:r>
      <w:r w:rsidR="00D1488F" w:rsidRPr="006D6338">
        <w:rPr>
          <w:rFonts w:ascii="Calibri" w:hAnsi="Calibri" w:cs="Calibri"/>
        </w:rPr>
        <w:t>p</w:t>
      </w:r>
      <w:r w:rsidRPr="006D6338">
        <w:rPr>
          <w:rFonts w:ascii="Calibri" w:hAnsi="Calibri" w:cs="Calibri"/>
        </w:rPr>
        <w:t xml:space="preserve">iloting </w:t>
      </w:r>
      <w:r w:rsidR="00D1488F" w:rsidRPr="006D6338">
        <w:rPr>
          <w:rFonts w:ascii="Calibri" w:hAnsi="Calibri" w:cs="Calibri"/>
        </w:rPr>
        <w:t>a</w:t>
      </w:r>
      <w:r w:rsidRPr="006D6338">
        <w:rPr>
          <w:rFonts w:ascii="Calibri" w:hAnsi="Calibri" w:cs="Calibri"/>
        </w:rPr>
        <w:t xml:space="preserve">greement with TDI Solutions. The agreement establishes the framework for the design, fabrication, </w:t>
      </w:r>
      <w:r w:rsidRPr="006D6338">
        <w:rPr>
          <w:rFonts w:ascii="Calibri" w:hAnsi="Calibri" w:cs="Calibri"/>
        </w:rPr>
        <w:lastRenderedPageBreak/>
        <w:t>installation, commissioning and operation of the reusable 2.4 tonnes-per-day pilot capability and subsequent pilot programmes, supported by Extrakt and Bechtel. Certain major long-lead equipment has since been ordered and preparatory work is continuing.</w:t>
      </w:r>
    </w:p>
    <w:p w14:paraId="07184C9B" w14:textId="77777777" w:rsidR="006F575C" w:rsidRDefault="00063F9C" w:rsidP="006D6338">
      <w:pPr>
        <w:pStyle w:val="BodyText"/>
        <w:spacing w:before="9"/>
        <w:ind w:right="-18"/>
        <w:jc w:val="both"/>
        <w:rPr>
          <w:rFonts w:ascii="Calibri" w:hAnsi="Calibri" w:cs="Calibri"/>
        </w:rPr>
      </w:pPr>
      <w:r w:rsidRPr="006D6338">
        <w:rPr>
          <w:rFonts w:ascii="Calibri" w:eastAsia="Calibri" w:hAnsi="Calibri" w:cs="Calibri"/>
        </w:rPr>
        <w:br/>
      </w:r>
      <w:r w:rsidRPr="006D6338">
        <w:rPr>
          <w:rFonts w:ascii="Calibri" w:hAnsi="Calibri" w:cs="Calibri"/>
        </w:rPr>
        <w:t>The Company is in late-stage discussions regarding a specific site</w:t>
      </w:r>
      <w:r w:rsidR="006B00B2" w:rsidRPr="006D6338">
        <w:rPr>
          <w:rFonts w:ascii="Calibri" w:hAnsi="Calibri" w:cs="Calibri"/>
        </w:rPr>
        <w:t xml:space="preserve"> </w:t>
      </w:r>
      <w:r w:rsidR="00F041A1" w:rsidRPr="006D6338">
        <w:rPr>
          <w:rFonts w:ascii="Calibri" w:hAnsi="Calibri" w:cs="Calibri"/>
        </w:rPr>
        <w:t xml:space="preserve">for the pilot plant </w:t>
      </w:r>
      <w:r w:rsidR="006B00B2" w:rsidRPr="006D6338">
        <w:rPr>
          <w:rFonts w:ascii="Calibri" w:hAnsi="Calibri" w:cs="Calibri"/>
        </w:rPr>
        <w:t>in the Greater Toronto Area, Ontario</w:t>
      </w:r>
      <w:r w:rsidRPr="006D6338">
        <w:rPr>
          <w:rFonts w:ascii="Calibri" w:hAnsi="Calibri" w:cs="Calibri"/>
        </w:rPr>
        <w:t>, although final site arrangements have not yet been completed. Further details will be announced once those arrangements have</w:t>
      </w:r>
      <w:r w:rsidR="006D6338">
        <w:rPr>
          <w:rFonts w:ascii="Calibri" w:hAnsi="Calibri" w:cs="Calibri"/>
        </w:rPr>
        <w:t xml:space="preserve"> </w:t>
      </w:r>
      <w:r w:rsidRPr="006D6338">
        <w:rPr>
          <w:rFonts w:ascii="Calibri" w:hAnsi="Calibri" w:cs="Calibri"/>
        </w:rPr>
        <w:t>been</w:t>
      </w:r>
      <w:r w:rsidR="008B198D" w:rsidRPr="006D6338">
        <w:rPr>
          <w:rFonts w:ascii="Calibri" w:hAnsi="Calibri" w:cs="Calibri"/>
        </w:rPr>
        <w:t xml:space="preserve"> </w:t>
      </w:r>
      <w:r w:rsidRPr="006D6338">
        <w:rPr>
          <w:rFonts w:ascii="Calibri" w:hAnsi="Calibri" w:cs="Calibri"/>
        </w:rPr>
        <w:t>finalised.</w:t>
      </w:r>
    </w:p>
    <w:p w14:paraId="56F010D3" w14:textId="44C85C9B" w:rsidR="00F515E9" w:rsidRPr="006D6338" w:rsidRDefault="00063F9C" w:rsidP="006D6338">
      <w:pPr>
        <w:pStyle w:val="BodyText"/>
        <w:spacing w:before="9"/>
        <w:ind w:right="-18"/>
        <w:jc w:val="both"/>
        <w:rPr>
          <w:rFonts w:ascii="Calibri" w:eastAsia="Calibri" w:hAnsi="Calibri" w:cs="Calibri"/>
        </w:rPr>
      </w:pPr>
      <w:r w:rsidRPr="006D6338">
        <w:rPr>
          <w:rFonts w:ascii="Calibri" w:eastAsia="Calibri" w:hAnsi="Calibri" w:cs="Calibri"/>
        </w:rPr>
        <w:br/>
      </w:r>
      <w:r w:rsidRPr="006D6338">
        <w:rPr>
          <w:rFonts w:ascii="Calibri" w:hAnsi="Calibri" w:cs="Calibri"/>
        </w:rPr>
        <w:t>The initial programme is expected to process approximately 12 batches of Teck-Hughes material over four weeks. It is intended to generate the metallurgical, operating and engineering data required to accelerate resource, permitting, financing and commercial-development decisions. Teck-Hughes and Sylvanite provide the initial project pipeline feeding the pilot, while the resulting knowledge and operating capability can support opportunities covered by Fulcrum's exclusive rights and wider opportunities through flexible commercial structures.</w:t>
      </w:r>
    </w:p>
    <w:p w14:paraId="01612717" w14:textId="77777777" w:rsidR="00F515E9" w:rsidRPr="006D6338" w:rsidRDefault="00F515E9" w:rsidP="006D6338">
      <w:pPr>
        <w:pStyle w:val="BodyText"/>
        <w:spacing w:before="9"/>
        <w:ind w:right="-18"/>
        <w:jc w:val="both"/>
        <w:rPr>
          <w:rFonts w:ascii="Calibri" w:eastAsia="Calibri" w:hAnsi="Calibri" w:cs="Calibri"/>
        </w:rPr>
      </w:pPr>
    </w:p>
    <w:p w14:paraId="072543A6" w14:textId="77777777" w:rsidR="00F515E9" w:rsidRPr="006D6338" w:rsidRDefault="00063F9C" w:rsidP="008B198D">
      <w:pPr>
        <w:pStyle w:val="Body"/>
        <w:spacing w:after="0" w:line="240" w:lineRule="auto"/>
        <w:ind w:right="-18"/>
        <w:jc w:val="both"/>
        <w:rPr>
          <w:rFonts w:ascii="Calibri" w:eastAsia="Calibri" w:hAnsi="Calibri" w:cs="Calibri"/>
          <w:sz w:val="20"/>
          <w:szCs w:val="20"/>
        </w:rPr>
      </w:pPr>
      <w:r w:rsidRPr="006D6338">
        <w:rPr>
          <w:rFonts w:ascii="Calibri" w:hAnsi="Calibri" w:cs="Calibri"/>
          <w:b/>
          <w:bCs/>
          <w:sz w:val="20"/>
          <w:szCs w:val="20"/>
        </w:rPr>
        <w:t>Sylvanite Project</w:t>
      </w:r>
    </w:p>
    <w:p w14:paraId="6CD54C8E" w14:textId="687D31FE" w:rsidR="008B198D" w:rsidRPr="006D6338" w:rsidRDefault="00063F9C" w:rsidP="006D6338">
      <w:pPr>
        <w:pStyle w:val="Body"/>
        <w:spacing w:line="240" w:lineRule="auto"/>
        <w:ind w:right="-18"/>
        <w:jc w:val="both"/>
        <w:rPr>
          <w:rFonts w:ascii="Calibri" w:hAnsi="Calibri" w:cs="Calibri"/>
          <w:sz w:val="16"/>
          <w:szCs w:val="16"/>
        </w:rPr>
      </w:pPr>
      <w:r w:rsidRPr="006D6338">
        <w:rPr>
          <w:rFonts w:ascii="Calibri" w:hAnsi="Calibri" w:cs="Calibri"/>
          <w:sz w:val="20"/>
          <w:szCs w:val="20"/>
        </w:rPr>
        <w:t>Sylvanite contains approximately 4.2 million tonnes of historical tailings and is located approximately 3 km from Teck-Hughes. Results from 26 new sample sites, tested from surface to depths of up to five metres and ending in mineralisation, averaged 0.66 g/t gold, 0.71 g/t silver, 11.72 g/t tellurium and 17.1 g/t gallium; the highest gold result was 2.04 g/t. Rubidium, strontium and zirconium were also reported. Together, Teck-Hughes and Sylvanite provide Fulcrum with control of more than 10 million tonnes of historical tailings in the Kirkland Lake gold camp</w:t>
      </w:r>
      <w:r w:rsidR="006B00B2" w:rsidRPr="006D6338">
        <w:rPr>
          <w:rFonts w:ascii="Calibri" w:hAnsi="Calibri" w:cs="Calibri"/>
          <w:sz w:val="20"/>
          <w:szCs w:val="20"/>
        </w:rPr>
        <w:t>, the tonnage of both sites are to be verified by Fulcrum</w:t>
      </w:r>
      <w:r w:rsidRPr="006D6338">
        <w:rPr>
          <w:rFonts w:ascii="Calibri" w:hAnsi="Calibri" w:cs="Calibri"/>
          <w:sz w:val="20"/>
          <w:szCs w:val="20"/>
        </w:rPr>
        <w:t>. Planned systematic drilling, density and metallurgical work is intended to support future resource estimation and assessment of a coordinated development pathway. Material from Sylvanite may also be evaluated through the reusable pilot platform.</w:t>
      </w:r>
    </w:p>
    <w:p w14:paraId="56983B52" w14:textId="27B8B2EF" w:rsidR="006D6338" w:rsidRDefault="006D6338" w:rsidP="008B198D">
      <w:pPr>
        <w:pStyle w:val="BodyA"/>
        <w:jc w:val="both"/>
        <w:rPr>
          <w:rFonts w:ascii="Calibri" w:hAnsi="Calibri" w:cs="Calibri"/>
          <w:b/>
          <w:bCs/>
          <w:sz w:val="20"/>
          <w:szCs w:val="20"/>
          <w:lang w:val="en-GB"/>
        </w:rPr>
      </w:pPr>
    </w:p>
    <w:p w14:paraId="0E0537C8" w14:textId="1CF776EE" w:rsidR="00A04513" w:rsidRDefault="008B198D" w:rsidP="008B198D">
      <w:pPr>
        <w:pStyle w:val="BodyA"/>
        <w:jc w:val="both"/>
        <w:rPr>
          <w:rFonts w:ascii="Calibri" w:hAnsi="Calibri" w:cs="Calibri"/>
          <w:b/>
          <w:bCs/>
          <w:sz w:val="20"/>
          <w:szCs w:val="20"/>
          <w:lang w:val="en-GB"/>
        </w:rPr>
      </w:pPr>
      <w:r w:rsidRPr="006D6338">
        <w:rPr>
          <w:rFonts w:ascii="Calibri" w:hAnsi="Calibri" w:cs="Calibri"/>
          <w:b/>
          <w:bCs/>
          <w:sz w:val="20"/>
          <w:szCs w:val="20"/>
          <w:lang w:val="en-GB"/>
        </w:rPr>
        <w:t xml:space="preserve">Figure </w:t>
      </w:r>
      <w:r w:rsidR="00FE759D" w:rsidRPr="006D6338">
        <w:rPr>
          <w:rFonts w:ascii="Calibri" w:hAnsi="Calibri" w:cs="Calibri"/>
          <w:b/>
          <w:bCs/>
          <w:sz w:val="20"/>
          <w:szCs w:val="20"/>
          <w:lang w:val="en-GB"/>
        </w:rPr>
        <w:t>5</w:t>
      </w:r>
      <w:r w:rsidRPr="006D6338">
        <w:rPr>
          <w:rFonts w:ascii="Calibri" w:hAnsi="Calibri" w:cs="Calibri"/>
          <w:b/>
          <w:bCs/>
          <w:sz w:val="20"/>
          <w:szCs w:val="20"/>
          <w:lang w:val="en-GB"/>
        </w:rPr>
        <w:t xml:space="preserve"> – Sylvanite property map with new average grades (purple and green squares)</w:t>
      </w:r>
    </w:p>
    <w:p w14:paraId="2B84311D" w14:textId="2D1103FE" w:rsidR="00A04513" w:rsidRPr="009A201A" w:rsidRDefault="00A04513" w:rsidP="008B198D">
      <w:pPr>
        <w:pStyle w:val="BodyA"/>
        <w:jc w:val="both"/>
        <w:rPr>
          <w:rFonts w:ascii="Calibri" w:hAnsi="Calibri" w:cs="Calibri"/>
          <w:b/>
          <w:bCs/>
          <w:sz w:val="20"/>
          <w:szCs w:val="20"/>
          <w:lang w:val="en-GB"/>
        </w:rPr>
      </w:pPr>
      <w:r>
        <w:rPr>
          <w:rFonts w:ascii="Calibri" w:hAnsi="Calibri" w:cs="Calibri"/>
          <w:b/>
          <w:bCs/>
          <w:noProof/>
          <w:sz w:val="20"/>
          <w:szCs w:val="20"/>
          <w:lang w:val="en-GB"/>
          <w14:textOutline w14:w="0" w14:cap="rnd" w14:cmpd="sng" w14:algn="ctr">
            <w14:noFill/>
            <w14:prstDash w14:val="solid"/>
            <w14:bevel/>
          </w14:textOutline>
        </w:rPr>
        <w:drawing>
          <wp:inline distT="0" distB="0" distL="0" distR="0" wp14:anchorId="00D2E7CA" wp14:editId="1F501019">
            <wp:extent cx="6379845" cy="3937635"/>
            <wp:effectExtent l="0" t="0" r="0" b="0"/>
            <wp:docPr id="21132260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26096" name="Picture 2113226096"/>
                    <pic:cNvPicPr/>
                  </pic:nvPicPr>
                  <pic:blipFill>
                    <a:blip r:embed="rId14"/>
                    <a:stretch>
                      <a:fillRect/>
                    </a:stretch>
                  </pic:blipFill>
                  <pic:spPr>
                    <a:xfrm>
                      <a:off x="0" y="0"/>
                      <a:ext cx="6379845" cy="3937635"/>
                    </a:xfrm>
                    <a:prstGeom prst="rect">
                      <a:avLst/>
                    </a:prstGeom>
                  </pic:spPr>
                </pic:pic>
              </a:graphicData>
            </a:graphic>
          </wp:inline>
        </w:drawing>
      </w:r>
    </w:p>
    <w:p w14:paraId="33F822B3" w14:textId="3C62F014" w:rsidR="008B198D" w:rsidRPr="006D6338" w:rsidRDefault="008B198D" w:rsidP="008B198D">
      <w:pPr>
        <w:pStyle w:val="BodyA"/>
        <w:jc w:val="both"/>
        <w:rPr>
          <w:rFonts w:ascii="Calibri" w:eastAsia="Calibri" w:hAnsi="Calibri" w:cs="Calibri"/>
          <w:b/>
          <w:bCs/>
          <w:sz w:val="20"/>
          <w:szCs w:val="20"/>
          <w:lang w:val="en-GB"/>
        </w:rPr>
      </w:pPr>
    </w:p>
    <w:p w14:paraId="265083DC" w14:textId="77777777" w:rsidR="00F515E9" w:rsidRPr="006D6338" w:rsidRDefault="00063F9C" w:rsidP="008B198D">
      <w:pPr>
        <w:pStyle w:val="Body"/>
        <w:spacing w:after="0" w:line="240" w:lineRule="auto"/>
        <w:ind w:right="-18"/>
        <w:jc w:val="both"/>
        <w:rPr>
          <w:rFonts w:ascii="Calibri" w:eastAsia="Calibri" w:hAnsi="Calibri" w:cs="Calibri"/>
          <w:sz w:val="20"/>
          <w:szCs w:val="20"/>
        </w:rPr>
      </w:pPr>
      <w:r w:rsidRPr="006D6338">
        <w:rPr>
          <w:rFonts w:ascii="Calibri" w:hAnsi="Calibri" w:cs="Calibri"/>
          <w:b/>
          <w:bCs/>
          <w:sz w:val="20"/>
          <w:szCs w:val="20"/>
        </w:rPr>
        <w:t>Regional growth opportunity</w:t>
      </w:r>
    </w:p>
    <w:p w14:paraId="79DF5042" w14:textId="52691303" w:rsidR="00F515E9" w:rsidRPr="006D6338" w:rsidRDefault="00063F9C" w:rsidP="008B198D">
      <w:pPr>
        <w:pStyle w:val="Body"/>
        <w:spacing w:line="240" w:lineRule="auto"/>
        <w:ind w:right="-18"/>
        <w:jc w:val="both"/>
        <w:rPr>
          <w:rFonts w:ascii="Calibri" w:eastAsia="Calibri" w:hAnsi="Calibri" w:cs="Calibri"/>
          <w:sz w:val="20"/>
          <w:szCs w:val="20"/>
        </w:rPr>
      </w:pPr>
      <w:r w:rsidRPr="006D6338">
        <w:rPr>
          <w:rFonts w:ascii="Calibri" w:hAnsi="Calibri" w:cs="Calibri"/>
          <w:sz w:val="20"/>
          <w:szCs w:val="20"/>
        </w:rPr>
        <w:t xml:space="preserve">Fulcrum holds exclusive rights to deploy Extrakt's cyanide-free technology at legacy gold mine-waste sites across the Kirkland Lake and Timmins mining districts. These districts have produced more than 110 million ounces of gold historically and contain more than 70 documented legacy mine-waste sites. Fulcrum's scalable platform is intended to provide a repeatable route for identifying, testing and advancing opportunities across these regions. Wider opportunities may be pursued, subject </w:t>
      </w:r>
      <w:r w:rsidRPr="006D6338">
        <w:rPr>
          <w:rFonts w:ascii="Calibri" w:hAnsi="Calibri" w:cs="Calibri"/>
          <w:sz w:val="20"/>
          <w:szCs w:val="20"/>
        </w:rPr>
        <w:lastRenderedPageBreak/>
        <w:t>to the applicable agreements and approvals, through flexible commercial structures appropriate to each project, including project participation, partnerships and service-based arrangements. This approach is intended to expand the opportunity pipeline while maintaining capital discipline.</w:t>
      </w:r>
    </w:p>
    <w:p w14:paraId="0716DCCE" w14:textId="77777777" w:rsidR="00F515E9" w:rsidRPr="006D6338" w:rsidRDefault="00063F9C" w:rsidP="008B198D">
      <w:pPr>
        <w:pStyle w:val="BodyText"/>
        <w:spacing w:before="9"/>
        <w:ind w:right="-18"/>
        <w:jc w:val="both"/>
        <w:rPr>
          <w:rFonts w:ascii="Calibri" w:eastAsia="Calibri" w:hAnsi="Calibri" w:cs="Calibri"/>
          <w:b/>
          <w:bCs/>
        </w:rPr>
      </w:pPr>
      <w:r w:rsidRPr="006D6338">
        <w:rPr>
          <w:rFonts w:ascii="Calibri" w:hAnsi="Calibri" w:cs="Calibri"/>
          <w:b/>
          <w:bCs/>
        </w:rPr>
        <w:t>Big Bear</w:t>
      </w:r>
    </w:p>
    <w:p w14:paraId="318ADDA5" w14:textId="13B310AB" w:rsidR="008B198D" w:rsidRPr="006D6338" w:rsidRDefault="00063F9C" w:rsidP="006D6338">
      <w:pPr>
        <w:pStyle w:val="BodyText"/>
        <w:ind w:right="-18"/>
        <w:jc w:val="both"/>
        <w:rPr>
          <w:rFonts w:ascii="Calibri" w:hAnsi="Calibri" w:cs="Calibri"/>
          <w:sz w:val="16"/>
          <w:szCs w:val="16"/>
        </w:rPr>
      </w:pPr>
      <w:r w:rsidRPr="006D6338">
        <w:rPr>
          <w:rFonts w:ascii="Calibri" w:hAnsi="Calibri" w:cs="Calibri"/>
        </w:rPr>
        <w:t>The 2025 programme at the Big Bear gold project comprised 639 soil samples and defined a target area approximately two kilometres by two kilometres within a broader three-kilometre mineralised corridor. Soil results included a new peak of 1.46 g/t gold, while previously reported rock samples returned up to 139 g/t gold. The project has 30 permitted drill pads across four drill-ready prospects and additional targets. Consistent with the Company's focus on mine-waste recovery, Big Bear remains available for further exploration, partnership or disposal, depending on capital allocation and market conditions.</w:t>
      </w:r>
    </w:p>
    <w:p w14:paraId="0FDD9BC9" w14:textId="77777777" w:rsidR="008B198D" w:rsidRPr="006D6338" w:rsidRDefault="008B198D" w:rsidP="006D6338">
      <w:pPr>
        <w:pStyle w:val="NormalWeb"/>
        <w:spacing w:before="0" w:beforeAutospacing="0" w:after="0" w:afterAutospacing="0"/>
        <w:jc w:val="both"/>
        <w:rPr>
          <w:rFonts w:ascii="Calibri" w:hAnsi="Calibri" w:cs="Calibri"/>
          <w:b/>
          <w:bCs/>
          <w:sz w:val="20"/>
          <w:szCs w:val="20"/>
        </w:rPr>
      </w:pPr>
    </w:p>
    <w:p w14:paraId="1AD935CA" w14:textId="39A0830D" w:rsidR="008B198D" w:rsidRPr="006D6338" w:rsidRDefault="008B198D" w:rsidP="006D6338">
      <w:pPr>
        <w:pStyle w:val="NormalWeb"/>
        <w:spacing w:before="0" w:beforeAutospacing="0"/>
        <w:jc w:val="both"/>
        <w:rPr>
          <w:rFonts w:ascii="Calibri" w:hAnsi="Calibri" w:cs="Calibri"/>
          <w:b/>
          <w:bCs/>
          <w:sz w:val="20"/>
          <w:szCs w:val="20"/>
        </w:rPr>
      </w:pPr>
      <w:r w:rsidRPr="006D6338">
        <w:rPr>
          <w:rFonts w:ascii="Calibri" w:hAnsi="Calibri" w:cs="Calibri"/>
          <w:b/>
          <w:bCs/>
          <w:sz w:val="20"/>
          <w:szCs w:val="20"/>
        </w:rPr>
        <w:t xml:space="preserve">Figure </w:t>
      </w:r>
      <w:r w:rsidR="00FE759D" w:rsidRPr="006D6338">
        <w:rPr>
          <w:rFonts w:ascii="Calibri" w:hAnsi="Calibri" w:cs="Calibri"/>
          <w:b/>
          <w:bCs/>
          <w:sz w:val="20"/>
          <w:szCs w:val="20"/>
        </w:rPr>
        <w:t>6</w:t>
      </w:r>
      <w:r w:rsidRPr="006D6338">
        <w:rPr>
          <w:rFonts w:ascii="Calibri" w:hAnsi="Calibri" w:cs="Calibri"/>
          <w:b/>
          <w:bCs/>
          <w:sz w:val="20"/>
          <w:szCs w:val="20"/>
        </w:rPr>
        <w:t xml:space="preserve">- 2025 soil sampling grid and previous results </w:t>
      </w:r>
    </w:p>
    <w:p w14:paraId="5AFAD75A" w14:textId="1F14E69B" w:rsidR="008B198D" w:rsidRPr="006D6338" w:rsidRDefault="008B198D" w:rsidP="006F575C">
      <w:pPr>
        <w:pStyle w:val="NormalWeb"/>
        <w:jc w:val="both"/>
        <w:rPr>
          <w:rFonts w:eastAsia="Calibri"/>
        </w:rPr>
      </w:pPr>
      <w:r w:rsidRPr="006D6338">
        <w:rPr>
          <w:rFonts w:ascii="Calibri" w:hAnsi="Calibri" w:cs="Calibri"/>
          <w:noProof/>
          <w:sz w:val="22"/>
          <w:szCs w:val="22"/>
        </w:rPr>
        <w:drawing>
          <wp:inline distT="0" distB="0" distL="0" distR="0" wp14:anchorId="58ACA2EB" wp14:editId="71F2EB35">
            <wp:extent cx="5727700" cy="3858260"/>
            <wp:effectExtent l="0" t="0" r="0" b="2540"/>
            <wp:docPr id="352277663" name="Picture 1" descr="A map of soil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34060" name="Picture 1" descr="A map of soil with text and numbers&#10;&#10;Description automatically generated with medium confidence"/>
                    <pic:cNvPicPr/>
                  </pic:nvPicPr>
                  <pic:blipFill>
                    <a:blip r:embed="rId15"/>
                    <a:stretch>
                      <a:fillRect/>
                    </a:stretch>
                  </pic:blipFill>
                  <pic:spPr>
                    <a:xfrm>
                      <a:off x="0" y="0"/>
                      <a:ext cx="5727700" cy="3858260"/>
                    </a:xfrm>
                    <a:prstGeom prst="rect">
                      <a:avLst/>
                    </a:prstGeom>
                  </pic:spPr>
                </pic:pic>
              </a:graphicData>
            </a:graphic>
          </wp:inline>
        </w:drawing>
      </w:r>
    </w:p>
    <w:p w14:paraId="3B929B20" w14:textId="77777777" w:rsidR="00F515E9" w:rsidRPr="006D6338" w:rsidRDefault="00063F9C" w:rsidP="008B198D">
      <w:pPr>
        <w:pStyle w:val="BodyText"/>
        <w:spacing w:before="9"/>
        <w:ind w:right="-18"/>
        <w:jc w:val="both"/>
        <w:rPr>
          <w:rFonts w:ascii="Calibri" w:eastAsia="Calibri" w:hAnsi="Calibri" w:cs="Calibri"/>
          <w:b/>
          <w:bCs/>
        </w:rPr>
      </w:pPr>
      <w:r w:rsidRPr="006D6338">
        <w:rPr>
          <w:rFonts w:ascii="Calibri" w:hAnsi="Calibri" w:cs="Calibri"/>
          <w:b/>
          <w:bCs/>
        </w:rPr>
        <w:t>Financing and strategic development</w:t>
      </w:r>
    </w:p>
    <w:p w14:paraId="0255FF55" w14:textId="7FCEE700" w:rsidR="00F515E9" w:rsidRPr="006D6338" w:rsidRDefault="00063F9C" w:rsidP="008B198D">
      <w:pPr>
        <w:pStyle w:val="BodyText"/>
        <w:spacing w:before="9"/>
        <w:ind w:right="-18"/>
        <w:jc w:val="both"/>
        <w:rPr>
          <w:rFonts w:ascii="Calibri" w:eastAsia="Calibri" w:hAnsi="Calibri" w:cs="Calibri"/>
        </w:rPr>
      </w:pPr>
      <w:r w:rsidRPr="006D6338">
        <w:rPr>
          <w:rFonts w:ascii="Calibri" w:hAnsi="Calibri" w:cs="Calibri"/>
        </w:rPr>
        <w:t>On 5 May 2026, Fulcrum announced a funding package</w:t>
      </w:r>
      <w:r w:rsidR="00BA26D9" w:rsidRPr="006D6338">
        <w:rPr>
          <w:rFonts w:ascii="Calibri" w:hAnsi="Calibri" w:cs="Calibri"/>
        </w:rPr>
        <w:t xml:space="preserve"> of up to £6 million</w:t>
      </w:r>
      <w:r w:rsidRPr="006D6338">
        <w:rPr>
          <w:rFonts w:ascii="Calibri" w:hAnsi="Calibri" w:cs="Calibri"/>
        </w:rPr>
        <w:t xml:space="preserve"> with Yorkville, comprising up to £5 million of unsecured convertible loan notes and up to £1 million of equity funding, alongside a separate £2.5 million at-the-market facility arranged with Clear Capital. During the period, the Company completed £500,000</w:t>
      </w:r>
      <w:r w:rsidR="00022C65" w:rsidRPr="006D6338">
        <w:rPr>
          <w:rFonts w:ascii="Calibri" w:hAnsi="Calibri" w:cs="Calibri"/>
        </w:rPr>
        <w:t xml:space="preserve"> of this equity funding through a</w:t>
      </w:r>
      <w:r w:rsidRPr="006D6338">
        <w:rPr>
          <w:rFonts w:ascii="Calibri" w:hAnsi="Calibri" w:cs="Calibri"/>
        </w:rPr>
        <w:t xml:space="preserve"> subscription at 8.75 pence per share and drew the £2.5 million first loan, receiving £2.325 million net of the original issue discount, fees and transaction costs. The second £2.5 million loan is available only at the Company's request and with Yorkville's prior written consent. Proceeds from the at-the-market facility are required to be applied towards specified loan prepayments. The arrangements provide funding flexibility but may result in future equity issuance and carry repayment obligations.</w:t>
      </w:r>
    </w:p>
    <w:p w14:paraId="42EC1476" w14:textId="77777777" w:rsidR="008B198D" w:rsidRPr="006D6338" w:rsidRDefault="008B198D" w:rsidP="008B198D">
      <w:pPr>
        <w:pStyle w:val="BodyText"/>
        <w:spacing w:before="9"/>
        <w:ind w:right="-18"/>
        <w:jc w:val="both"/>
        <w:rPr>
          <w:rFonts w:ascii="Calibri" w:hAnsi="Calibri" w:cs="Calibri"/>
        </w:rPr>
      </w:pPr>
    </w:p>
    <w:p w14:paraId="38311827" w14:textId="65804A7B" w:rsidR="00F515E9" w:rsidRPr="006D6338" w:rsidRDefault="007F4D80" w:rsidP="008B198D">
      <w:pPr>
        <w:pStyle w:val="BodyText"/>
        <w:spacing w:before="9"/>
        <w:ind w:right="-18"/>
        <w:jc w:val="both"/>
        <w:rPr>
          <w:rFonts w:ascii="Calibri" w:eastAsia="Calibri" w:hAnsi="Calibri" w:cs="Calibri"/>
        </w:rPr>
      </w:pPr>
      <w:r w:rsidRPr="006D6338">
        <w:rPr>
          <w:rFonts w:ascii="Calibri" w:hAnsi="Calibri" w:cs="Calibri"/>
        </w:rPr>
        <w:t xml:space="preserve">As announced by the Company on 29 June 2026, Fulcrum signed a non-binding term sheet with Chancery Royalty for a potential US$20 million royalty financing to support future development of Teck-Hughes. Subject to successful pilot testing, due diligence, definitive documentation and customary conditions, Chancery would acquire a 5% net smelter return royalty over future gold production from Teck-Hughes for US$20 million. Fulcrum would retain the right, for two years after commencement of commercial production, to repurchase 2% of the royalty for US$10 million. </w:t>
      </w:r>
      <w:r w:rsidR="00417DEF" w:rsidRPr="006D6338">
        <w:rPr>
          <w:rFonts w:ascii="Calibri" w:hAnsi="Calibri" w:cs="Calibri"/>
        </w:rPr>
        <w:t>Subject to the execution of definitive agreements, Chancery would also be granted a two-year right of first refusal over future royalties on additional mine-waste projects controlled by Fulcrum in the Kirkland Lake area</w:t>
      </w:r>
      <w:r w:rsidRPr="006D6338">
        <w:rPr>
          <w:rFonts w:ascii="Calibri" w:hAnsi="Calibri" w:cs="Calibri"/>
        </w:rPr>
        <w:t xml:space="preserve">. The proposed financing would not transfer an ownership </w:t>
      </w:r>
      <w:r w:rsidRPr="006D6338">
        <w:rPr>
          <w:rFonts w:ascii="Calibri" w:hAnsi="Calibri" w:cs="Calibri"/>
        </w:rPr>
        <w:lastRenderedPageBreak/>
        <w:t xml:space="preserve">interest in, or operational control of, Teck-Hughes. Chancery </w:t>
      </w:r>
      <w:r w:rsidR="00AC61B0">
        <w:rPr>
          <w:rFonts w:ascii="Calibri" w:hAnsi="Calibri" w:cs="Calibri"/>
        </w:rPr>
        <w:t xml:space="preserve">also </w:t>
      </w:r>
      <w:r w:rsidRPr="006D6338">
        <w:rPr>
          <w:rFonts w:ascii="Calibri" w:hAnsi="Calibri" w:cs="Calibri"/>
        </w:rPr>
        <w:t>completed a separate £200,000 equity subscription at 8.5 pence per share</w:t>
      </w:r>
      <w:r w:rsidR="00417DEF" w:rsidRPr="006D6338">
        <w:rPr>
          <w:rFonts w:ascii="Calibri" w:hAnsi="Calibri" w:cs="Calibri"/>
        </w:rPr>
        <w:t>, with the associated shares admitted to trading post period,</w:t>
      </w:r>
      <w:r w:rsidRPr="006D6338">
        <w:rPr>
          <w:rFonts w:ascii="Calibri" w:hAnsi="Calibri" w:cs="Calibri"/>
        </w:rPr>
        <w:t xml:space="preserve"> and received warrants over 2,352,942 ordinary shares, exercisable at 11 pence for two years.</w:t>
      </w:r>
    </w:p>
    <w:p w14:paraId="4E785375" w14:textId="77777777" w:rsidR="00F515E9" w:rsidRPr="006D6338" w:rsidRDefault="00F515E9" w:rsidP="008B198D">
      <w:pPr>
        <w:pStyle w:val="BodyText"/>
        <w:spacing w:before="9"/>
        <w:ind w:right="-18"/>
        <w:jc w:val="both"/>
        <w:rPr>
          <w:rFonts w:ascii="Calibri" w:eastAsia="Calibri" w:hAnsi="Calibri" w:cs="Calibri"/>
        </w:rPr>
      </w:pPr>
    </w:p>
    <w:p w14:paraId="79267E53" w14:textId="77777777" w:rsidR="00F515E9" w:rsidRPr="006D6338" w:rsidRDefault="00063F9C" w:rsidP="008B198D">
      <w:pPr>
        <w:pStyle w:val="BodyText"/>
        <w:spacing w:before="9"/>
        <w:ind w:right="-18"/>
        <w:jc w:val="both"/>
        <w:rPr>
          <w:rFonts w:ascii="Calibri" w:eastAsia="Calibri" w:hAnsi="Calibri" w:cs="Calibri"/>
        </w:rPr>
      </w:pPr>
      <w:r w:rsidRPr="006D6338">
        <w:rPr>
          <w:rFonts w:ascii="Calibri" w:hAnsi="Calibri" w:cs="Calibri"/>
        </w:rPr>
        <w:t>Fulcrum continues to focus on recovering precious and critical metals from historical mine waste using Extrakt's cyanide-free processing technology. The development approach is designed to combine metal recovery with water and reagent recycling, dewatering and responsible management of processed residue. The Company's working agreement with Apitipi Anicinapek Nation provides an established framework for engagement, alongside continuing engagement with other relevant First Nations communities, as Teck-Hughes and Sylvanite progress.</w:t>
      </w:r>
    </w:p>
    <w:p w14:paraId="54C939A7" w14:textId="77777777" w:rsidR="00F515E9" w:rsidRPr="006D6338" w:rsidRDefault="00F515E9" w:rsidP="008B198D">
      <w:pPr>
        <w:pStyle w:val="BodyText"/>
        <w:spacing w:before="9"/>
        <w:ind w:right="-18" w:firstLine="78"/>
        <w:jc w:val="both"/>
        <w:rPr>
          <w:rFonts w:ascii="Calibri" w:eastAsia="Calibri" w:hAnsi="Calibri" w:cs="Calibri"/>
        </w:rPr>
      </w:pPr>
    </w:p>
    <w:p w14:paraId="46B58D1D" w14:textId="77777777" w:rsidR="00F515E9" w:rsidRPr="006D6338" w:rsidRDefault="00063F9C" w:rsidP="008B198D">
      <w:pPr>
        <w:pStyle w:val="BodyText"/>
        <w:spacing w:before="9"/>
        <w:ind w:right="-18"/>
        <w:jc w:val="both"/>
        <w:rPr>
          <w:rFonts w:ascii="Calibri" w:eastAsia="Calibri" w:hAnsi="Calibri" w:cs="Calibri"/>
          <w:b/>
          <w:bCs/>
        </w:rPr>
      </w:pPr>
      <w:r w:rsidRPr="006D6338">
        <w:rPr>
          <w:rFonts w:ascii="Calibri" w:hAnsi="Calibri" w:cs="Calibri"/>
          <w:b/>
          <w:bCs/>
        </w:rPr>
        <w:t>Strategic investments and royalties</w:t>
      </w:r>
    </w:p>
    <w:p w14:paraId="3DF37C62" w14:textId="6DB1D390" w:rsidR="00F515E9" w:rsidRPr="006D6338" w:rsidRDefault="00063F9C" w:rsidP="008B198D">
      <w:pPr>
        <w:pStyle w:val="BodyText"/>
        <w:spacing w:before="9"/>
        <w:ind w:right="-18"/>
        <w:jc w:val="both"/>
        <w:rPr>
          <w:rFonts w:ascii="Calibri" w:eastAsia="Calibri" w:hAnsi="Calibri" w:cs="Calibri"/>
        </w:rPr>
      </w:pPr>
      <w:r w:rsidRPr="006D6338">
        <w:rPr>
          <w:rFonts w:ascii="Calibri" w:hAnsi="Calibri" w:cs="Calibri"/>
        </w:rPr>
        <w:t>Fulcrum holds 78,972,740 shares in Loyalist Exploration Limited and a 2% net smelter return royalty over the Tully Gold Project. Post period, Loyalist announced an updated NI 43-101 Mineral Resource Estimate of approximately 2</w:t>
      </w:r>
      <w:r w:rsidR="008B198D" w:rsidRPr="006D6338">
        <w:rPr>
          <w:rFonts w:ascii="Calibri" w:hAnsi="Calibri" w:cs="Calibri"/>
        </w:rPr>
        <w:t>26</w:t>
      </w:r>
      <w:r w:rsidRPr="006D6338">
        <w:rPr>
          <w:rFonts w:ascii="Calibri" w:hAnsi="Calibri" w:cs="Calibri"/>
        </w:rPr>
        <w:t>,000 ounces of gold, based on only 15% of the known Mafic Tuff host. This exceeded the 200,000-ounce milestone under Fulcrum's disposal agreement and triggered further consideration of 15 million Loyalist shares, or cash in lieu, payable within 60 days after filing of the supporting technical report. At Loyalist's announced share price of C$0.035, that consideration would be valued at more than C$500,000. Fulcrum also holds 5,801,498 shares in Terra Balcanica Resources Corp.</w:t>
      </w:r>
    </w:p>
    <w:p w14:paraId="40F79631" w14:textId="77777777" w:rsidR="00F515E9" w:rsidRPr="006D6338" w:rsidRDefault="00F515E9" w:rsidP="008B198D">
      <w:pPr>
        <w:pStyle w:val="BodyText"/>
        <w:spacing w:before="9"/>
        <w:ind w:right="-18"/>
        <w:jc w:val="both"/>
        <w:rPr>
          <w:rFonts w:ascii="Calibri" w:eastAsia="Calibri" w:hAnsi="Calibri" w:cs="Calibri"/>
        </w:rPr>
      </w:pPr>
    </w:p>
    <w:p w14:paraId="7549A06D" w14:textId="519DA6B0" w:rsidR="00F515E9" w:rsidRPr="006D6338" w:rsidRDefault="00063F9C" w:rsidP="008B198D">
      <w:pPr>
        <w:pStyle w:val="BodyText"/>
        <w:spacing w:before="9"/>
        <w:ind w:right="-18"/>
        <w:jc w:val="both"/>
        <w:rPr>
          <w:rFonts w:ascii="Calibri" w:eastAsia="Calibri" w:hAnsi="Calibri" w:cs="Calibri"/>
        </w:rPr>
      </w:pPr>
      <w:r w:rsidRPr="006D6338">
        <w:rPr>
          <w:rFonts w:ascii="Calibri" w:hAnsi="Calibri" w:cs="Calibri"/>
        </w:rPr>
        <w:t>Post period, under an amended uranium portfolio option agreement, Fulcrum Metals (Canada) Ltd. received 5,600,000 Terra North shares issued at C$0.10, representing C$560,000 of contractual consideration and subject to a 12-month voluntary escrow. Remaining potential consideration comprises up to C$</w:t>
      </w:r>
      <w:r w:rsidR="00417DEF" w:rsidRPr="006D6338">
        <w:rPr>
          <w:rFonts w:ascii="Calibri" w:hAnsi="Calibri" w:cs="Calibri"/>
        </w:rPr>
        <w:t>225</w:t>
      </w:r>
      <w:r w:rsidRPr="006D6338">
        <w:rPr>
          <w:rFonts w:ascii="Calibri" w:hAnsi="Calibri" w:cs="Calibri"/>
        </w:rPr>
        <w:t>,000 in cash and C$1.9 million in Terra North shares, while Terra North must fund at least C$3.25 million of cumulative exploration expenditure. Fulcrum retains a 1% net smelter return royalty, of which 0.5% may be purchased for C$1 million. Terra North commenced a fully funded 2,441 line-kilometre airborne survey over 163.7 square kilometres at Charlot-Neely Lake and subsequently reported seven prominent preliminary radiometric anomalies, including a strong anomaly north of Neely Lake near a historical result of 0.8% U3O8.</w:t>
      </w:r>
    </w:p>
    <w:p w14:paraId="249C7281" w14:textId="77777777" w:rsidR="00F515E9" w:rsidRPr="006D6338" w:rsidRDefault="00F515E9" w:rsidP="008B198D">
      <w:pPr>
        <w:pStyle w:val="BodyText"/>
        <w:spacing w:before="9"/>
        <w:ind w:right="-18" w:firstLine="78"/>
        <w:jc w:val="both"/>
        <w:rPr>
          <w:rFonts w:ascii="Calibri" w:eastAsia="Calibri" w:hAnsi="Calibri" w:cs="Calibri"/>
          <w:b/>
          <w:bCs/>
        </w:rPr>
      </w:pPr>
    </w:p>
    <w:p w14:paraId="20E190E9" w14:textId="77777777" w:rsidR="00F515E9" w:rsidRPr="006D6338" w:rsidRDefault="00063F9C" w:rsidP="008B198D">
      <w:pPr>
        <w:pStyle w:val="BodyText"/>
        <w:spacing w:before="2"/>
        <w:ind w:right="-18"/>
        <w:jc w:val="both"/>
        <w:rPr>
          <w:rFonts w:ascii="Calibri" w:eastAsia="Calibri" w:hAnsi="Calibri" w:cs="Calibri"/>
          <w:b/>
          <w:bCs/>
        </w:rPr>
      </w:pPr>
      <w:r w:rsidRPr="006D6338">
        <w:rPr>
          <w:rFonts w:ascii="Calibri" w:hAnsi="Calibri" w:cs="Calibri"/>
          <w:b/>
          <w:bCs/>
        </w:rPr>
        <w:t>Outlook</w:t>
      </w:r>
    </w:p>
    <w:p w14:paraId="08811084" w14:textId="28107EDD" w:rsidR="00F515E9" w:rsidRPr="006D6338" w:rsidRDefault="00063F9C" w:rsidP="008B198D">
      <w:pPr>
        <w:pStyle w:val="BodyText"/>
        <w:spacing w:before="2"/>
        <w:ind w:right="-18"/>
        <w:jc w:val="both"/>
        <w:rPr>
          <w:rFonts w:ascii="Calibri" w:eastAsia="Calibri" w:hAnsi="Calibri" w:cs="Calibri"/>
        </w:rPr>
      </w:pPr>
      <w:r w:rsidRPr="006D6338">
        <w:rPr>
          <w:rFonts w:ascii="Calibri" w:hAnsi="Calibri" w:cs="Calibri"/>
        </w:rPr>
        <w:t xml:space="preserve">Fulcrum enters the second half of 2026 with a stronger technical dataset at Teck-Hughes, the pilot concept study completed, the Piloting Agreement with TDI signed, certain major long-lead equipment ordered and discussions regarding a specific Ontario site at an advanced stage. </w:t>
      </w:r>
      <w:r w:rsidR="0027030C" w:rsidRPr="006D6338">
        <w:rPr>
          <w:rFonts w:ascii="Calibri" w:hAnsi="Calibri" w:cs="Calibri"/>
        </w:rPr>
        <w:t>The initial Yorkville equity subscription and first loan tranche provide funding for the pilot facility and initial Teck-Hughes programme. Successful pilot testing could then provide access to the proposed US$20 million Chancery royalty financing as a potential source of non-equity capital for the next stage of Teck-Hughes development</w:t>
      </w:r>
      <w:r w:rsidR="00C44928" w:rsidRPr="006D6338">
        <w:rPr>
          <w:rFonts w:ascii="Calibri" w:hAnsi="Calibri" w:cs="Calibri"/>
        </w:rPr>
        <w:t xml:space="preserve"> subject to due diligence, definitive documentation and customary conditions</w:t>
      </w:r>
      <w:r w:rsidR="0027030C" w:rsidRPr="006D6338">
        <w:rPr>
          <w:rFonts w:ascii="Calibri" w:hAnsi="Calibri" w:cs="Calibri"/>
        </w:rPr>
        <w:t>. The separate ATM facility provides flexibility in managing specified Yorkville loan prepayments.</w:t>
      </w:r>
    </w:p>
    <w:p w14:paraId="5A635192" w14:textId="77777777" w:rsidR="00F515E9" w:rsidRPr="006D6338" w:rsidRDefault="00F515E9" w:rsidP="008B198D">
      <w:pPr>
        <w:pStyle w:val="BodyText"/>
        <w:spacing w:before="2"/>
        <w:ind w:right="-18"/>
        <w:jc w:val="both"/>
        <w:rPr>
          <w:rFonts w:ascii="Calibri" w:eastAsia="Calibri" w:hAnsi="Calibri" w:cs="Calibri"/>
        </w:rPr>
      </w:pPr>
    </w:p>
    <w:p w14:paraId="2F3D4208" w14:textId="7FDF99D4" w:rsidR="00F515E9" w:rsidRPr="006D6338" w:rsidRDefault="00063F9C" w:rsidP="008B198D">
      <w:pPr>
        <w:pStyle w:val="BodyText"/>
        <w:spacing w:before="2"/>
        <w:ind w:right="-18"/>
        <w:jc w:val="both"/>
        <w:rPr>
          <w:rFonts w:ascii="Calibri" w:eastAsia="Calibri" w:hAnsi="Calibri" w:cs="Calibri"/>
        </w:rPr>
      </w:pPr>
      <w:r w:rsidRPr="006D6338">
        <w:rPr>
          <w:rFonts w:ascii="Calibri" w:hAnsi="Calibri" w:cs="Calibri"/>
        </w:rPr>
        <w:t xml:space="preserve">The focus for the remainder of 2026 is disciplined execution: finalising the proposed Ontario site arrangements, progressing procurement and preparatory activities, advancing the Teck-Hughes </w:t>
      </w:r>
      <w:r w:rsidR="003332A6">
        <w:rPr>
          <w:rFonts w:ascii="Calibri" w:hAnsi="Calibri" w:cs="Calibri"/>
        </w:rPr>
        <w:t>43-101 compliant</w:t>
      </w:r>
      <w:r w:rsidR="003332A6" w:rsidRPr="006D6338">
        <w:rPr>
          <w:rFonts w:ascii="Calibri" w:hAnsi="Calibri" w:cs="Calibri"/>
        </w:rPr>
        <w:t xml:space="preserve"> </w:t>
      </w:r>
      <w:r w:rsidRPr="006D6338">
        <w:rPr>
          <w:rFonts w:ascii="Calibri" w:hAnsi="Calibri" w:cs="Calibri"/>
        </w:rPr>
        <w:t>Mineral Resource Estimate and continuing the environmental, permitting and community workstreams at Teck-Hughes and Sylvanite. The pilot is intended to generate repeatable processing and engineering data to accelerate commercial-development decisions across the initial projects. The resulting capability can then be applied across opportunities covered by Fulcrum's exclusive rights and to wider opportunities through flexible commercial structures.</w:t>
      </w:r>
    </w:p>
    <w:p w14:paraId="5C1AE746" w14:textId="77777777" w:rsidR="00F515E9" w:rsidRPr="006D6338" w:rsidRDefault="00F515E9" w:rsidP="008B198D">
      <w:pPr>
        <w:pStyle w:val="BodyText"/>
        <w:spacing w:before="2"/>
        <w:ind w:right="-18"/>
        <w:jc w:val="both"/>
        <w:rPr>
          <w:rFonts w:ascii="Calibri" w:eastAsia="Calibri" w:hAnsi="Calibri" w:cs="Calibri"/>
        </w:rPr>
      </w:pPr>
    </w:p>
    <w:p w14:paraId="0F275561" w14:textId="77777777" w:rsidR="00F515E9" w:rsidRPr="006D6338" w:rsidRDefault="00063F9C" w:rsidP="008B198D">
      <w:pPr>
        <w:pStyle w:val="BodyText"/>
        <w:spacing w:before="2"/>
        <w:ind w:right="-18"/>
        <w:jc w:val="both"/>
        <w:rPr>
          <w:rFonts w:ascii="Calibri" w:eastAsia="Calibri" w:hAnsi="Calibri" w:cs="Calibri"/>
          <w:b/>
          <w:bCs/>
        </w:rPr>
      </w:pPr>
      <w:r w:rsidRPr="006D6338">
        <w:rPr>
          <w:rFonts w:ascii="Calibri" w:hAnsi="Calibri" w:cs="Calibri"/>
          <w:b/>
          <w:bCs/>
        </w:rPr>
        <w:t>Qualified Person Statement</w:t>
      </w:r>
    </w:p>
    <w:p w14:paraId="730321C2" w14:textId="401D4BD5" w:rsidR="00F515E9" w:rsidRPr="006D6338" w:rsidRDefault="00063F9C" w:rsidP="008B198D">
      <w:pPr>
        <w:pStyle w:val="BodyText"/>
        <w:spacing w:before="2"/>
        <w:ind w:right="-18"/>
        <w:jc w:val="both"/>
        <w:rPr>
          <w:rFonts w:ascii="Calibri" w:eastAsia="Calibri" w:hAnsi="Calibri" w:cs="Calibri"/>
        </w:rPr>
      </w:pPr>
      <w:r w:rsidRPr="006D6338">
        <w:rPr>
          <w:rFonts w:ascii="Calibri" w:hAnsi="Calibri" w:cs="Calibri"/>
        </w:rPr>
        <w:t xml:space="preserve">The technical information in this announcement has been reviewed by Edward (Ed) Slowey, BSc, PGeo, technical adviser to Fulcrum Metals </w:t>
      </w:r>
      <w:r w:rsidR="00C11396">
        <w:rPr>
          <w:rFonts w:ascii="Calibri" w:hAnsi="Calibri" w:cs="Calibri"/>
        </w:rPr>
        <w:t>Plc</w:t>
      </w:r>
      <w:r w:rsidRPr="006D6338">
        <w:rPr>
          <w:rFonts w:ascii="Calibri" w:hAnsi="Calibri" w:cs="Calibri"/>
        </w:rPr>
        <w:t>. Mr Slowey is a graduate geologist with more than 40 years' relevant experience in mineral exploration and mining and a founding member of the Institute of Geologists of Ireland. Mr Slowey has sufficient experience relevant to the style of mineralisation and type of deposit under consideration and to the activities undertaken to qualify as a "Qualified Person" in accordance with the AIM Rules Guidance Note for Mining and Oil &amp; Gas Companies. Mr Slowey consents to the inclusion in this announcement of the matters based on his information in the form and context in which they appear.</w:t>
      </w:r>
    </w:p>
    <w:p w14:paraId="5A33002B" w14:textId="77777777" w:rsidR="00F515E9" w:rsidRPr="006D6338" w:rsidRDefault="00F515E9" w:rsidP="008B198D">
      <w:pPr>
        <w:pStyle w:val="BodyText"/>
        <w:spacing w:before="2"/>
        <w:ind w:right="-18"/>
        <w:rPr>
          <w:rFonts w:ascii="Calibri" w:eastAsia="Calibri" w:hAnsi="Calibri" w:cs="Calibri"/>
          <w:i/>
          <w:iCs/>
        </w:rPr>
      </w:pPr>
    </w:p>
    <w:p w14:paraId="1C95C61B" w14:textId="0B772FB6" w:rsidR="00F515E9" w:rsidRPr="006D6338" w:rsidRDefault="00063F9C" w:rsidP="009A201A">
      <w:pPr>
        <w:pStyle w:val="BodyText"/>
        <w:spacing w:before="2"/>
        <w:ind w:right="-18"/>
        <w:jc w:val="center"/>
        <w:rPr>
          <w:rFonts w:ascii="Calibri" w:eastAsia="Calibri" w:hAnsi="Calibri" w:cs="Calibri"/>
        </w:rPr>
      </w:pPr>
      <w:r w:rsidRPr="006D6338">
        <w:rPr>
          <w:rFonts w:ascii="Calibri" w:hAnsi="Calibri" w:cs="Calibri"/>
        </w:rPr>
        <w:t xml:space="preserve">Engage with the Fulcrum Metals </w:t>
      </w:r>
      <w:r w:rsidR="00C11396">
        <w:rPr>
          <w:rFonts w:ascii="Calibri" w:hAnsi="Calibri" w:cs="Calibri"/>
        </w:rPr>
        <w:t>Plc</w:t>
      </w:r>
      <w:r w:rsidRPr="006D6338">
        <w:rPr>
          <w:rFonts w:ascii="Calibri" w:hAnsi="Calibri" w:cs="Calibri"/>
        </w:rPr>
        <w:t xml:space="preserve"> management team directly by asking questions, watching video summaries and seeing what other shareholders have to say. Navigate to our interactive investor hub here: </w:t>
      </w:r>
      <w:r w:rsidRPr="006D6338">
        <w:rPr>
          <w:rStyle w:val="Link"/>
          <w:rFonts w:ascii="Calibri" w:hAnsi="Calibri" w:cs="Calibri"/>
        </w:rPr>
        <w:t>https://fulcrummetals.com/s/7fc3a5</w:t>
      </w:r>
    </w:p>
    <w:p w14:paraId="38DDB394" w14:textId="77777777" w:rsidR="00F515E9" w:rsidRPr="006D6338" w:rsidRDefault="00F515E9" w:rsidP="009A201A">
      <w:pPr>
        <w:pStyle w:val="BodyText"/>
        <w:spacing w:before="2"/>
        <w:ind w:right="-18"/>
        <w:jc w:val="center"/>
        <w:rPr>
          <w:rFonts w:ascii="Calibri" w:eastAsia="Calibri" w:hAnsi="Calibri" w:cs="Calibri"/>
          <w:b/>
          <w:bCs/>
        </w:rPr>
      </w:pPr>
    </w:p>
    <w:p w14:paraId="2C3F1054" w14:textId="77777777" w:rsidR="00F515E9" w:rsidRPr="006D6338" w:rsidRDefault="00063F9C" w:rsidP="009A201A">
      <w:pPr>
        <w:pStyle w:val="BodyText"/>
        <w:spacing w:before="2"/>
        <w:ind w:right="-18"/>
        <w:jc w:val="center"/>
        <w:rPr>
          <w:rFonts w:ascii="Calibri" w:eastAsia="Calibri" w:hAnsi="Calibri" w:cs="Calibri"/>
        </w:rPr>
      </w:pPr>
      <w:r w:rsidRPr="006D6338">
        <w:rPr>
          <w:rFonts w:ascii="Calibri" w:hAnsi="Calibri" w:cs="Calibri"/>
          <w:b/>
          <w:bCs/>
        </w:rPr>
        <w:t>Subscribe to our news alert service:</w:t>
      </w:r>
      <w:r w:rsidRPr="006D6338">
        <w:rPr>
          <w:rStyle w:val="Link"/>
          <w:rFonts w:ascii="Calibri" w:hAnsi="Calibri" w:cs="Calibri"/>
        </w:rPr>
        <w:t xml:space="preserve"> https://fulcrummetals.com/s/c5b90a</w:t>
      </w:r>
      <w:r w:rsidRPr="006D6338">
        <w:rPr>
          <w:rFonts w:ascii="Calibri" w:hAnsi="Calibri" w:cs="Calibri"/>
        </w:rPr>
        <w:t>.</w:t>
      </w:r>
    </w:p>
    <w:p w14:paraId="0A623F02" w14:textId="77777777" w:rsidR="00F515E9" w:rsidRPr="006D6338" w:rsidRDefault="00F515E9" w:rsidP="008B198D">
      <w:pPr>
        <w:pStyle w:val="BodyText"/>
        <w:spacing w:before="2"/>
        <w:ind w:right="-18"/>
        <w:jc w:val="both"/>
        <w:rPr>
          <w:rFonts w:ascii="Calibri" w:eastAsia="Calibri" w:hAnsi="Calibri" w:cs="Calibri"/>
          <w:b/>
          <w:bCs/>
        </w:rPr>
      </w:pPr>
    </w:p>
    <w:p w14:paraId="7617F70E" w14:textId="77777777" w:rsidR="00F515E9" w:rsidRPr="006D6338" w:rsidRDefault="00063F9C" w:rsidP="008B198D">
      <w:pPr>
        <w:pStyle w:val="BodyText"/>
        <w:spacing w:before="2"/>
        <w:ind w:right="-18"/>
        <w:jc w:val="both"/>
        <w:rPr>
          <w:rFonts w:ascii="Calibri" w:eastAsia="Calibri" w:hAnsi="Calibri" w:cs="Calibri"/>
          <w:b/>
          <w:bCs/>
        </w:rPr>
      </w:pPr>
      <w:r w:rsidRPr="006D6338">
        <w:rPr>
          <w:rFonts w:ascii="Calibri" w:hAnsi="Calibri" w:cs="Calibri"/>
          <w:b/>
          <w:bCs/>
        </w:rPr>
        <w:lastRenderedPageBreak/>
        <w:t>For further information, please contact:</w:t>
      </w:r>
    </w:p>
    <w:p w14:paraId="106DD14B" w14:textId="77777777" w:rsidR="00F515E9" w:rsidRPr="006D6338" w:rsidRDefault="00F515E9" w:rsidP="008B198D">
      <w:pPr>
        <w:pStyle w:val="BodyText"/>
        <w:spacing w:before="2"/>
        <w:ind w:right="-18"/>
        <w:jc w:val="both"/>
        <w:rPr>
          <w:rFonts w:ascii="Calibri" w:eastAsia="Calibri" w:hAnsi="Calibri" w:cs="Calibri"/>
          <w:b/>
          <w:bCs/>
        </w:rPr>
      </w:pPr>
    </w:p>
    <w:tbl>
      <w:tblPr>
        <w:tblW w:w="959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81"/>
        <w:gridCol w:w="4913"/>
      </w:tblGrid>
      <w:tr w:rsidR="00F515E9" w:rsidRPr="006D6338" w14:paraId="05E51880" w14:textId="77777777" w:rsidTr="006D6338">
        <w:trPr>
          <w:trHeight w:val="935"/>
        </w:trPr>
        <w:tc>
          <w:tcPr>
            <w:tcW w:w="468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789" w:type="dxa"/>
            </w:tcMar>
          </w:tcPr>
          <w:p w14:paraId="1098B043" w14:textId="6CDD82EE" w:rsidR="008B198D" w:rsidRPr="006D6338" w:rsidRDefault="008B198D" w:rsidP="006D6338">
            <w:pPr>
              <w:spacing w:line="300" w:lineRule="auto"/>
              <w:ind w:right="-827"/>
              <w:rPr>
                <w:rFonts w:ascii="Calibri" w:hAnsi="Calibri" w:cs="Calibri"/>
                <w:sz w:val="20"/>
                <w:szCs w:val="20"/>
              </w:rPr>
            </w:pPr>
            <w:r w:rsidRPr="006D6338">
              <w:rPr>
                <w:rFonts w:ascii="Calibri" w:hAnsi="Calibri" w:cs="Calibri"/>
                <w:b/>
                <w:bCs/>
                <w:sz w:val="20"/>
                <w:szCs w:val="20"/>
              </w:rPr>
              <w:t>Investor questions on this announcement</w:t>
            </w:r>
          </w:p>
          <w:p w14:paraId="4CAEBB4D" w14:textId="77777777" w:rsidR="008B198D" w:rsidRPr="006D6338" w:rsidRDefault="008B198D" w:rsidP="006D6338">
            <w:pPr>
              <w:ind w:right="-828"/>
              <w:rPr>
                <w:rFonts w:ascii="Calibri" w:hAnsi="Calibri" w:cs="Calibri"/>
                <w:sz w:val="20"/>
                <w:szCs w:val="20"/>
              </w:rPr>
            </w:pPr>
            <w:r w:rsidRPr="006D6338">
              <w:rPr>
                <w:rFonts w:ascii="Calibri" w:hAnsi="Calibri" w:cs="Calibri"/>
                <w:sz w:val="20"/>
                <w:szCs w:val="20"/>
              </w:rPr>
              <w:t>We encourage all investors to share questions</w:t>
            </w:r>
          </w:p>
          <w:p w14:paraId="518412D3" w14:textId="66546551" w:rsidR="00F515E9" w:rsidRPr="006D6338" w:rsidRDefault="008B198D" w:rsidP="006D6338">
            <w:pPr>
              <w:pStyle w:val="BodyText"/>
              <w:spacing w:before="2"/>
              <w:ind w:right="-828"/>
              <w:jc w:val="both"/>
              <w:rPr>
                <w:rFonts w:ascii="Calibri" w:hAnsi="Calibri" w:cs="Calibri"/>
              </w:rPr>
            </w:pPr>
            <w:r w:rsidRPr="006D6338">
              <w:rPr>
                <w:rFonts w:ascii="Calibri" w:hAnsi="Calibri" w:cs="Calibri"/>
              </w:rPr>
              <w:t>on this announcement via our investor hub</w:t>
            </w:r>
          </w:p>
        </w:tc>
        <w:tc>
          <w:tcPr>
            <w:tcW w:w="491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789" w:type="dxa"/>
            </w:tcMar>
          </w:tcPr>
          <w:p w14:paraId="52D30EA1" w14:textId="0BDDF052" w:rsidR="00E26AF5" w:rsidRPr="006D6338" w:rsidRDefault="006F575C" w:rsidP="008B198D">
            <w:pPr>
              <w:pStyle w:val="BodyText"/>
              <w:spacing w:before="2" w:line="340" w:lineRule="exact"/>
              <w:ind w:right="-18"/>
              <w:jc w:val="both"/>
              <w:rPr>
                <w:rFonts w:ascii="Calibri" w:hAnsi="Calibri" w:cs="Calibri"/>
              </w:rPr>
            </w:pPr>
            <w:hyperlink r:id="rId16" w:history="1">
              <w:r w:rsidRPr="009E0501">
                <w:rPr>
                  <w:rStyle w:val="Hyperlink"/>
                  <w:rFonts w:ascii="Calibri" w:hAnsi="Calibri" w:cs="Calibri"/>
                </w:rPr>
                <w:t>https://fulcrummetals.com/link/y5nj3e</w:t>
              </w:r>
            </w:hyperlink>
            <w:r>
              <w:rPr>
                <w:rFonts w:ascii="Calibri" w:hAnsi="Calibri" w:cs="Calibri"/>
              </w:rPr>
              <w:t xml:space="preserve"> </w:t>
            </w:r>
          </w:p>
        </w:tc>
      </w:tr>
      <w:tr w:rsidR="00F515E9" w:rsidRPr="006D6338" w14:paraId="2FEFB149" w14:textId="77777777" w:rsidTr="006D6338">
        <w:trPr>
          <w:trHeight w:val="967"/>
        </w:trPr>
        <w:tc>
          <w:tcPr>
            <w:tcW w:w="468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789" w:type="dxa"/>
            </w:tcMar>
          </w:tcPr>
          <w:p w14:paraId="2F9AC6AE" w14:textId="754247C5" w:rsidR="008B198D" w:rsidRPr="006D6338" w:rsidRDefault="008B198D" w:rsidP="006D6338">
            <w:pPr>
              <w:spacing w:line="300" w:lineRule="auto"/>
              <w:ind w:right="-827"/>
              <w:rPr>
                <w:rFonts w:ascii="Calibri" w:hAnsi="Calibri" w:cs="Calibri"/>
                <w:b/>
                <w:bCs/>
                <w:sz w:val="20"/>
                <w:szCs w:val="20"/>
              </w:rPr>
            </w:pPr>
            <w:r w:rsidRPr="006D6338">
              <w:rPr>
                <w:rFonts w:ascii="Calibri" w:hAnsi="Calibri" w:cs="Calibri"/>
                <w:b/>
                <w:bCs/>
                <w:sz w:val="20"/>
                <w:szCs w:val="20"/>
              </w:rPr>
              <w:t xml:space="preserve">Fulcrum Metals </w:t>
            </w:r>
            <w:r w:rsidR="00C11396">
              <w:rPr>
                <w:rFonts w:ascii="Calibri" w:hAnsi="Calibri" w:cs="Calibri"/>
                <w:b/>
                <w:bCs/>
                <w:sz w:val="20"/>
                <w:szCs w:val="20"/>
              </w:rPr>
              <w:t>Plc</w:t>
            </w:r>
          </w:p>
          <w:p w14:paraId="5A6378E8" w14:textId="5FC4D5E1" w:rsidR="00F515E9" w:rsidRPr="006D6338" w:rsidRDefault="008B198D" w:rsidP="006D6338">
            <w:pPr>
              <w:pStyle w:val="BodyText"/>
              <w:spacing w:before="2" w:line="340" w:lineRule="exact"/>
              <w:ind w:right="-827"/>
              <w:jc w:val="both"/>
              <w:rPr>
                <w:rFonts w:ascii="Calibri" w:hAnsi="Calibri" w:cs="Calibri"/>
              </w:rPr>
            </w:pPr>
            <w:r w:rsidRPr="006D6338">
              <w:rPr>
                <w:rFonts w:ascii="Calibri" w:hAnsi="Calibri" w:cs="Calibri"/>
              </w:rPr>
              <w:t>Ryan Mee, Chief Executive Officer</w:t>
            </w:r>
          </w:p>
        </w:tc>
        <w:tc>
          <w:tcPr>
            <w:tcW w:w="491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789" w:type="dxa"/>
            </w:tcMar>
          </w:tcPr>
          <w:p w14:paraId="00E42280" w14:textId="77777777" w:rsidR="00F515E9" w:rsidRPr="006D6338" w:rsidRDefault="00063F9C" w:rsidP="008B198D">
            <w:pPr>
              <w:pStyle w:val="BodyText"/>
              <w:spacing w:before="2" w:line="340" w:lineRule="exact"/>
              <w:ind w:right="-18"/>
              <w:jc w:val="both"/>
              <w:rPr>
                <w:rFonts w:ascii="Calibri" w:eastAsia="Calibri" w:hAnsi="Calibri" w:cs="Calibri"/>
                <w:i/>
                <w:iCs/>
              </w:rPr>
            </w:pPr>
            <w:r w:rsidRPr="006D6338">
              <w:rPr>
                <w:rFonts w:ascii="Calibri" w:hAnsi="Calibri" w:cs="Calibri"/>
                <w:i/>
                <w:iCs/>
              </w:rPr>
              <w:t>Via our investor hub;</w:t>
            </w:r>
          </w:p>
          <w:p w14:paraId="4B0C3F92" w14:textId="77777777" w:rsidR="00F515E9" w:rsidRPr="006D6338" w:rsidRDefault="00063F9C" w:rsidP="008B198D">
            <w:pPr>
              <w:pStyle w:val="BodyText"/>
              <w:spacing w:before="2" w:line="340" w:lineRule="exact"/>
              <w:ind w:right="-18"/>
              <w:jc w:val="both"/>
              <w:rPr>
                <w:rFonts w:ascii="Calibri" w:hAnsi="Calibri" w:cs="Calibri"/>
              </w:rPr>
            </w:pPr>
            <w:r w:rsidRPr="006D6338">
              <w:rPr>
                <w:rFonts w:ascii="Calibri" w:hAnsi="Calibri" w:cs="Calibri"/>
                <w:i/>
                <w:iCs/>
              </w:rPr>
              <w:t>Or through St Brides</w:t>
            </w:r>
          </w:p>
        </w:tc>
      </w:tr>
      <w:tr w:rsidR="00F515E9" w:rsidRPr="006D6338" w14:paraId="5BA6C287" w14:textId="77777777" w:rsidTr="006D6338">
        <w:trPr>
          <w:trHeight w:val="1034"/>
        </w:trPr>
        <w:tc>
          <w:tcPr>
            <w:tcW w:w="4681" w:type="dxa"/>
            <w:tcBorders>
              <w:top w:val="single" w:sz="8"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19711C62" w14:textId="77777777" w:rsidR="00F515E9" w:rsidRPr="006D6338" w:rsidRDefault="00063F9C" w:rsidP="006D6338">
            <w:pPr>
              <w:pStyle w:val="BodyText"/>
              <w:spacing w:before="2" w:line="340" w:lineRule="exact"/>
              <w:ind w:right="-827"/>
              <w:jc w:val="both"/>
              <w:rPr>
                <w:rFonts w:ascii="Calibri" w:eastAsia="Calibri" w:hAnsi="Calibri" w:cs="Calibri"/>
                <w:b/>
                <w:bCs/>
              </w:rPr>
            </w:pPr>
            <w:r w:rsidRPr="006D6338">
              <w:rPr>
                <w:rFonts w:ascii="Calibri" w:hAnsi="Calibri" w:cs="Calibri"/>
                <w:b/>
                <w:bCs/>
              </w:rPr>
              <w:t>Allenby Capital Limited (Nominated adviser)</w:t>
            </w:r>
          </w:p>
          <w:p w14:paraId="235A8D6E" w14:textId="77777777" w:rsidR="00F515E9" w:rsidRPr="006D6338" w:rsidRDefault="00063F9C" w:rsidP="006D6338">
            <w:pPr>
              <w:pStyle w:val="BodyText"/>
              <w:spacing w:before="2" w:line="340" w:lineRule="exact"/>
              <w:ind w:right="-827"/>
              <w:jc w:val="both"/>
              <w:rPr>
                <w:rFonts w:ascii="Calibri" w:hAnsi="Calibri" w:cs="Calibri"/>
              </w:rPr>
            </w:pPr>
            <w:r w:rsidRPr="006D6338">
              <w:rPr>
                <w:rFonts w:ascii="Calibri" w:hAnsi="Calibri" w:cs="Calibri"/>
              </w:rPr>
              <w:t>Nick Athanas / Ashur Joseph</w:t>
            </w:r>
          </w:p>
        </w:tc>
        <w:tc>
          <w:tcPr>
            <w:tcW w:w="4913" w:type="dxa"/>
            <w:tcBorders>
              <w:top w:val="single" w:sz="8"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63F086C8" w14:textId="77777777" w:rsidR="00F515E9" w:rsidRPr="006D6338" w:rsidRDefault="00F515E9" w:rsidP="008B198D">
            <w:pPr>
              <w:pStyle w:val="BodyText"/>
              <w:spacing w:before="2" w:line="340" w:lineRule="exact"/>
              <w:ind w:right="-18"/>
              <w:jc w:val="both"/>
              <w:rPr>
                <w:rFonts w:ascii="Calibri" w:eastAsia="Calibri" w:hAnsi="Calibri" w:cs="Calibri"/>
              </w:rPr>
            </w:pPr>
          </w:p>
          <w:p w14:paraId="1D6F8DFC" w14:textId="77777777" w:rsidR="00F515E9" w:rsidRPr="006D6338" w:rsidRDefault="00063F9C" w:rsidP="008B198D">
            <w:pPr>
              <w:pStyle w:val="BodyText"/>
              <w:spacing w:before="2" w:line="340" w:lineRule="exact"/>
              <w:ind w:right="-18"/>
              <w:jc w:val="both"/>
              <w:rPr>
                <w:rFonts w:ascii="Calibri" w:hAnsi="Calibri" w:cs="Calibri"/>
              </w:rPr>
            </w:pPr>
            <w:r w:rsidRPr="006D6338">
              <w:rPr>
                <w:rFonts w:ascii="Calibri" w:hAnsi="Calibri" w:cs="Calibri"/>
              </w:rPr>
              <w:t>Tel: +44 (0) 203 328 5656</w:t>
            </w:r>
          </w:p>
        </w:tc>
      </w:tr>
      <w:tr w:rsidR="00F515E9" w:rsidRPr="006D6338" w14:paraId="24AFE074" w14:textId="77777777" w:rsidTr="006D6338">
        <w:trPr>
          <w:trHeight w:val="895"/>
        </w:trPr>
        <w:tc>
          <w:tcPr>
            <w:tcW w:w="468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2781A7E9" w14:textId="77777777" w:rsidR="00F515E9" w:rsidRPr="006D6338" w:rsidRDefault="00063F9C" w:rsidP="006D6338">
            <w:pPr>
              <w:pStyle w:val="BodyText"/>
              <w:spacing w:before="2" w:line="340" w:lineRule="exact"/>
              <w:ind w:right="-827"/>
              <w:jc w:val="both"/>
              <w:rPr>
                <w:rFonts w:ascii="Calibri" w:eastAsia="Calibri" w:hAnsi="Calibri" w:cs="Calibri"/>
                <w:b/>
                <w:bCs/>
              </w:rPr>
            </w:pPr>
            <w:r w:rsidRPr="006D6338">
              <w:rPr>
                <w:rFonts w:ascii="Calibri" w:hAnsi="Calibri" w:cs="Calibri"/>
                <w:b/>
                <w:bCs/>
              </w:rPr>
              <w:t>Clear Capital Markets Limited (Broker)</w:t>
            </w:r>
          </w:p>
          <w:p w14:paraId="34135A94" w14:textId="77777777" w:rsidR="00F515E9" w:rsidRPr="006D6338" w:rsidRDefault="00063F9C" w:rsidP="006D6338">
            <w:pPr>
              <w:pStyle w:val="BodyText"/>
              <w:spacing w:before="2" w:line="340" w:lineRule="exact"/>
              <w:ind w:right="-827"/>
              <w:jc w:val="both"/>
              <w:rPr>
                <w:rFonts w:ascii="Calibri" w:hAnsi="Calibri" w:cs="Calibri"/>
              </w:rPr>
            </w:pPr>
            <w:r w:rsidRPr="006D6338">
              <w:rPr>
                <w:rFonts w:ascii="Calibri" w:hAnsi="Calibri" w:cs="Calibri"/>
              </w:rPr>
              <w:t>Bob Roberts</w:t>
            </w:r>
          </w:p>
        </w:tc>
        <w:tc>
          <w:tcPr>
            <w:tcW w:w="491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6586BDCC" w14:textId="77777777" w:rsidR="00F515E9" w:rsidRPr="006D6338" w:rsidRDefault="00F515E9" w:rsidP="008B198D">
            <w:pPr>
              <w:pStyle w:val="BodyText"/>
              <w:spacing w:before="2" w:line="340" w:lineRule="exact"/>
              <w:ind w:right="-18"/>
              <w:jc w:val="both"/>
              <w:rPr>
                <w:rFonts w:ascii="Calibri" w:eastAsia="Calibri" w:hAnsi="Calibri" w:cs="Calibri"/>
              </w:rPr>
            </w:pPr>
          </w:p>
          <w:p w14:paraId="7D2C39BC" w14:textId="77777777" w:rsidR="00F515E9" w:rsidRPr="006D6338" w:rsidRDefault="00063F9C" w:rsidP="008B198D">
            <w:pPr>
              <w:pStyle w:val="BodyText"/>
              <w:spacing w:before="2" w:line="340" w:lineRule="exact"/>
              <w:ind w:right="-18"/>
              <w:jc w:val="both"/>
              <w:rPr>
                <w:rFonts w:ascii="Calibri" w:hAnsi="Calibri" w:cs="Calibri"/>
              </w:rPr>
            </w:pPr>
            <w:r w:rsidRPr="006D6338">
              <w:rPr>
                <w:rFonts w:ascii="Calibri" w:hAnsi="Calibri" w:cs="Calibri"/>
              </w:rPr>
              <w:t>Tel: +44 (0) 203 869 6081</w:t>
            </w:r>
          </w:p>
        </w:tc>
      </w:tr>
      <w:tr w:rsidR="00F515E9" w:rsidRPr="006D6338" w14:paraId="53D2E72F" w14:textId="77777777" w:rsidTr="006D6338">
        <w:trPr>
          <w:trHeight w:val="895"/>
        </w:trPr>
        <w:tc>
          <w:tcPr>
            <w:tcW w:w="468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0A427F10" w14:textId="77777777" w:rsidR="00F515E9" w:rsidRPr="006D6338" w:rsidRDefault="00063F9C" w:rsidP="006D6338">
            <w:pPr>
              <w:pStyle w:val="BodyText"/>
              <w:spacing w:before="2" w:line="340" w:lineRule="exact"/>
              <w:ind w:right="-827"/>
              <w:jc w:val="both"/>
              <w:rPr>
                <w:rFonts w:ascii="Calibri" w:eastAsia="Calibri" w:hAnsi="Calibri" w:cs="Calibri"/>
                <w:b/>
                <w:bCs/>
              </w:rPr>
            </w:pPr>
            <w:r w:rsidRPr="006D6338">
              <w:rPr>
                <w:rFonts w:ascii="Calibri" w:hAnsi="Calibri" w:cs="Calibri"/>
                <w:b/>
                <w:bCs/>
              </w:rPr>
              <w:t>St Brides Partners Ltd (Financial PR)</w:t>
            </w:r>
          </w:p>
          <w:p w14:paraId="34112FC7" w14:textId="3FEC7D0A" w:rsidR="00F515E9" w:rsidRPr="006D6338" w:rsidRDefault="00063F9C" w:rsidP="006D6338">
            <w:pPr>
              <w:pStyle w:val="BodyText"/>
              <w:spacing w:before="2" w:line="340" w:lineRule="exact"/>
              <w:ind w:right="-827"/>
              <w:jc w:val="both"/>
              <w:rPr>
                <w:rFonts w:ascii="Calibri" w:hAnsi="Calibri" w:cs="Calibri"/>
              </w:rPr>
            </w:pPr>
            <w:r w:rsidRPr="006D6338">
              <w:rPr>
                <w:rFonts w:ascii="Calibri" w:hAnsi="Calibri" w:cs="Calibri"/>
              </w:rPr>
              <w:t xml:space="preserve">Ana Ribeiro / </w:t>
            </w:r>
            <w:r w:rsidR="007958AB">
              <w:rPr>
                <w:rFonts w:ascii="Calibri" w:hAnsi="Calibri" w:cs="Calibri"/>
              </w:rPr>
              <w:t>Charlotte Page</w:t>
            </w:r>
          </w:p>
        </w:tc>
        <w:tc>
          <w:tcPr>
            <w:tcW w:w="491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789" w:type="dxa"/>
            </w:tcMar>
          </w:tcPr>
          <w:p w14:paraId="1262AA28" w14:textId="77777777" w:rsidR="00F515E9" w:rsidRPr="006D6338" w:rsidRDefault="00F515E9" w:rsidP="008B198D">
            <w:pPr>
              <w:pStyle w:val="BodyText"/>
              <w:spacing w:before="2" w:line="340" w:lineRule="exact"/>
              <w:ind w:right="-18"/>
              <w:jc w:val="both"/>
              <w:rPr>
                <w:rFonts w:ascii="Calibri" w:eastAsia="Calibri" w:hAnsi="Calibri" w:cs="Calibri"/>
              </w:rPr>
            </w:pPr>
          </w:p>
          <w:p w14:paraId="6E26713B" w14:textId="77777777" w:rsidR="00F515E9" w:rsidRPr="006D6338" w:rsidRDefault="00063F9C" w:rsidP="008B198D">
            <w:pPr>
              <w:pStyle w:val="BodyText"/>
              <w:spacing w:before="2" w:line="340" w:lineRule="exact"/>
              <w:ind w:right="-18"/>
              <w:jc w:val="both"/>
              <w:rPr>
                <w:rFonts w:ascii="Calibri" w:hAnsi="Calibri" w:cs="Calibri"/>
              </w:rPr>
            </w:pPr>
            <w:r w:rsidRPr="006D6338">
              <w:rPr>
                <w:rFonts w:ascii="Calibri" w:hAnsi="Calibri" w:cs="Calibri"/>
              </w:rPr>
              <w:t>Tel: +44 (0) 20 7236 1177</w:t>
            </w:r>
          </w:p>
        </w:tc>
      </w:tr>
    </w:tbl>
    <w:p w14:paraId="5CFBCE90" w14:textId="77777777" w:rsidR="00F515E9" w:rsidRPr="006D6338" w:rsidRDefault="00F515E9" w:rsidP="008B198D">
      <w:pPr>
        <w:pStyle w:val="BodyText"/>
        <w:spacing w:before="2"/>
        <w:ind w:left="216" w:right="-18" w:hanging="216"/>
        <w:jc w:val="both"/>
        <w:rPr>
          <w:rFonts w:ascii="Calibri" w:eastAsia="Calibri" w:hAnsi="Calibri" w:cs="Calibri"/>
          <w:b/>
          <w:bCs/>
          <w:sz w:val="15"/>
          <w:szCs w:val="15"/>
        </w:rPr>
      </w:pPr>
    </w:p>
    <w:p w14:paraId="43305802" w14:textId="77777777" w:rsidR="00F515E9" w:rsidRPr="006D6338" w:rsidRDefault="00F515E9" w:rsidP="008B198D">
      <w:pPr>
        <w:pStyle w:val="BodyText"/>
        <w:spacing w:before="2"/>
        <w:ind w:right="-18"/>
        <w:rPr>
          <w:rFonts w:ascii="Calibri" w:eastAsia="Calibri" w:hAnsi="Calibri" w:cs="Calibri"/>
          <w:b/>
          <w:bCs/>
          <w:sz w:val="15"/>
          <w:szCs w:val="15"/>
        </w:rPr>
      </w:pPr>
    </w:p>
    <w:p w14:paraId="766264EC" w14:textId="77777777" w:rsidR="008B198D" w:rsidRPr="006D6338" w:rsidRDefault="008B198D" w:rsidP="008B198D">
      <w:pPr>
        <w:shd w:val="clear" w:color="auto" w:fill="FFFFFF"/>
        <w:spacing w:line="327" w:lineRule="auto"/>
        <w:ind w:right="-18"/>
        <w:jc w:val="both"/>
        <w:rPr>
          <w:rFonts w:ascii="Calibri" w:hAnsi="Calibri" w:cs="Calibri"/>
          <w:b/>
          <w:bCs/>
        </w:rPr>
      </w:pPr>
      <w:r w:rsidRPr="006D6338">
        <w:rPr>
          <w:rFonts w:ascii="Calibri" w:hAnsi="Calibri" w:cs="Calibri"/>
          <w:b/>
          <w:bCs/>
        </w:rPr>
        <w:t>Follow us.</w:t>
      </w:r>
    </w:p>
    <w:p w14:paraId="37C6BB01" w14:textId="77777777" w:rsidR="008B198D" w:rsidRPr="006D6338" w:rsidRDefault="008B198D" w:rsidP="008B198D">
      <w:pPr>
        <w:shd w:val="clear" w:color="auto" w:fill="FFFFFF"/>
        <w:spacing w:line="327" w:lineRule="auto"/>
        <w:ind w:right="-18"/>
        <w:jc w:val="both"/>
        <w:rPr>
          <w:rFonts w:ascii="Calibri" w:hAnsi="Calibri" w:cs="Calibri"/>
          <w:b/>
          <w:bCs/>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119"/>
      </w:tblGrid>
      <w:tr w:rsidR="008B198D" w:rsidRPr="006D6338" w14:paraId="1FF41DD3" w14:textId="77777777" w:rsidTr="00A44FCD">
        <w:tc>
          <w:tcPr>
            <w:tcW w:w="704" w:type="dxa"/>
          </w:tcPr>
          <w:p w14:paraId="5E00E636" w14:textId="77777777" w:rsidR="008B198D" w:rsidRPr="006D6338" w:rsidRDefault="008B198D" w:rsidP="008B198D">
            <w:pPr>
              <w:spacing w:line="327" w:lineRule="auto"/>
              <w:ind w:right="-18"/>
              <w:jc w:val="both"/>
              <w:rPr>
                <w:rFonts w:ascii="Calibri" w:hAnsi="Calibri" w:cs="Calibri"/>
                <w:b/>
                <w:bCs/>
              </w:rPr>
            </w:pPr>
            <w:r w:rsidRPr="006D6338">
              <w:rPr>
                <w:rFonts w:ascii="Calibri" w:hAnsi="Calibri" w:cs="Calibri"/>
                <w:b/>
                <w:bCs/>
                <w:noProof/>
              </w:rPr>
              <w:drawing>
                <wp:inline distT="0" distB="0" distL="0" distR="0" wp14:anchorId="06C233CB" wp14:editId="6349AC97">
                  <wp:extent cx="288000" cy="288000"/>
                  <wp:effectExtent l="0" t="0" r="4445" b="4445"/>
                  <wp:docPr id="220403891" name="Picture 2" descr="A white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53047" name="Picture 2" descr="A white x on a black backgroun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000" cy="288000"/>
                          </a:xfrm>
                          <a:prstGeom prst="rect">
                            <a:avLst/>
                          </a:prstGeom>
                        </pic:spPr>
                      </pic:pic>
                    </a:graphicData>
                  </a:graphic>
                </wp:inline>
              </w:drawing>
            </w:r>
          </w:p>
        </w:tc>
        <w:tc>
          <w:tcPr>
            <w:tcW w:w="3119" w:type="dxa"/>
            <w:vAlign w:val="center"/>
          </w:tcPr>
          <w:p w14:paraId="638C7F14" w14:textId="77777777" w:rsidR="008B198D" w:rsidRPr="006D6338" w:rsidRDefault="008B198D" w:rsidP="008B198D">
            <w:pPr>
              <w:shd w:val="clear" w:color="auto" w:fill="FFFFFF"/>
              <w:spacing w:line="327" w:lineRule="auto"/>
              <w:ind w:right="-18"/>
              <w:rPr>
                <w:rFonts w:ascii="Calibri" w:hAnsi="Calibri" w:cs="Calibri"/>
                <w:b/>
                <w:bCs/>
              </w:rPr>
            </w:pPr>
            <w:r w:rsidRPr="006D6338">
              <w:rPr>
                <w:rFonts w:ascii="Calibri" w:hAnsi="Calibri" w:cs="Calibri"/>
                <w:b/>
                <w:bCs/>
              </w:rPr>
              <w:t>@FulcrumMetals</w:t>
            </w:r>
          </w:p>
        </w:tc>
      </w:tr>
      <w:tr w:rsidR="008B198D" w:rsidRPr="006D6338" w14:paraId="6D4C3B72" w14:textId="77777777" w:rsidTr="00A44FCD">
        <w:tc>
          <w:tcPr>
            <w:tcW w:w="704" w:type="dxa"/>
          </w:tcPr>
          <w:p w14:paraId="7328EF48" w14:textId="77777777" w:rsidR="008B198D" w:rsidRPr="006D6338" w:rsidRDefault="008B198D" w:rsidP="008B198D">
            <w:pPr>
              <w:spacing w:line="327" w:lineRule="auto"/>
              <w:ind w:right="-18"/>
              <w:jc w:val="both"/>
              <w:rPr>
                <w:rFonts w:ascii="Calibri" w:hAnsi="Calibri" w:cs="Calibri"/>
                <w:b/>
                <w:bCs/>
              </w:rPr>
            </w:pPr>
            <w:r w:rsidRPr="006D6338">
              <w:rPr>
                <w:rFonts w:ascii="Calibri" w:hAnsi="Calibri" w:cs="Calibri"/>
                <w:b/>
                <w:bCs/>
                <w:noProof/>
              </w:rPr>
              <w:drawing>
                <wp:inline distT="0" distB="0" distL="0" distR="0" wp14:anchorId="1C6EFF63" wp14:editId="69484D55">
                  <wp:extent cx="288000" cy="288000"/>
                  <wp:effectExtent l="0" t="0" r="4445" b="4445"/>
                  <wp:docPr id="6071311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50128" name="Graphic 1089650128"/>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88000" cy="288000"/>
                          </a:xfrm>
                          <a:prstGeom prst="rect">
                            <a:avLst/>
                          </a:prstGeom>
                        </pic:spPr>
                      </pic:pic>
                    </a:graphicData>
                  </a:graphic>
                </wp:inline>
              </w:drawing>
            </w:r>
          </w:p>
        </w:tc>
        <w:tc>
          <w:tcPr>
            <w:tcW w:w="3119" w:type="dxa"/>
            <w:vAlign w:val="center"/>
          </w:tcPr>
          <w:p w14:paraId="04708FE0" w14:textId="6E85CAC9" w:rsidR="008B198D" w:rsidRPr="006D6338" w:rsidRDefault="008B198D" w:rsidP="008B198D">
            <w:pPr>
              <w:spacing w:line="327" w:lineRule="auto"/>
              <w:ind w:right="-18"/>
              <w:rPr>
                <w:rFonts w:ascii="Calibri" w:hAnsi="Calibri" w:cs="Calibri"/>
                <w:b/>
                <w:bCs/>
              </w:rPr>
            </w:pPr>
            <w:hyperlink r:id="rId20" w:history="1">
              <w:r w:rsidRPr="006D6338">
                <w:rPr>
                  <w:rStyle w:val="Hyperlink"/>
                  <w:rFonts w:ascii="Calibri" w:hAnsi="Calibri" w:cs="Calibri"/>
                  <w:b/>
                  <w:bCs/>
                  <w:color w:val="0070C0"/>
                </w:rPr>
                <w:t xml:space="preserve">Fulcrum Metals </w:t>
              </w:r>
              <w:r w:rsidR="00C11396">
                <w:rPr>
                  <w:rStyle w:val="Hyperlink"/>
                  <w:rFonts w:ascii="Calibri" w:hAnsi="Calibri" w:cs="Calibri"/>
                  <w:b/>
                  <w:bCs/>
                  <w:color w:val="0070C0"/>
                </w:rPr>
                <w:t>PLC</w:t>
              </w:r>
            </w:hyperlink>
          </w:p>
        </w:tc>
      </w:tr>
    </w:tbl>
    <w:p w14:paraId="0471AD0C" w14:textId="77777777" w:rsidR="00F515E9" w:rsidRPr="006D6338" w:rsidRDefault="00F515E9" w:rsidP="008B198D">
      <w:pPr>
        <w:pStyle w:val="BodyText"/>
        <w:spacing w:before="2"/>
        <w:ind w:right="-18"/>
        <w:jc w:val="both"/>
        <w:rPr>
          <w:rFonts w:ascii="Calibri" w:eastAsia="Calibri" w:hAnsi="Calibri" w:cs="Calibri"/>
          <w:b/>
          <w:bCs/>
        </w:rPr>
      </w:pPr>
    </w:p>
    <w:p w14:paraId="180854DE" w14:textId="77777777" w:rsidR="00F515E9" w:rsidRPr="006D6338" w:rsidRDefault="00063F9C" w:rsidP="008B198D">
      <w:pPr>
        <w:pStyle w:val="BodyText"/>
        <w:spacing w:before="2"/>
        <w:ind w:right="-18"/>
        <w:jc w:val="both"/>
        <w:rPr>
          <w:rFonts w:ascii="Calibri" w:hAnsi="Calibri" w:cs="Calibri"/>
          <w:b/>
          <w:bCs/>
        </w:rPr>
      </w:pPr>
      <w:r w:rsidRPr="006D6338">
        <w:rPr>
          <w:rFonts w:ascii="Calibri" w:hAnsi="Calibri" w:cs="Calibri"/>
          <w:b/>
          <w:bCs/>
        </w:rPr>
        <w:t>Notes to Editors</w:t>
      </w:r>
    </w:p>
    <w:p w14:paraId="1F773BC4" w14:textId="77777777" w:rsidR="00FE759D" w:rsidRPr="006D6338" w:rsidRDefault="00FE759D" w:rsidP="008B198D">
      <w:pPr>
        <w:pStyle w:val="BodyText"/>
        <w:spacing w:before="2"/>
        <w:ind w:right="-18"/>
        <w:jc w:val="both"/>
        <w:rPr>
          <w:rFonts w:ascii="Calibri" w:eastAsia="Calibri" w:hAnsi="Calibri" w:cs="Calibri"/>
          <w:b/>
          <w:bCs/>
        </w:rPr>
      </w:pPr>
    </w:p>
    <w:p w14:paraId="12AC8245" w14:textId="1DC17F47" w:rsidR="00F515E9" w:rsidRPr="006D6338" w:rsidRDefault="00063F9C" w:rsidP="008B198D">
      <w:pPr>
        <w:pStyle w:val="BodyText"/>
        <w:spacing w:before="2"/>
        <w:ind w:right="-18"/>
        <w:jc w:val="both"/>
        <w:rPr>
          <w:rFonts w:ascii="Calibri" w:eastAsia="Calibri" w:hAnsi="Calibri" w:cs="Calibri"/>
          <w:b/>
          <w:bCs/>
        </w:rPr>
      </w:pPr>
      <w:r w:rsidRPr="006D6338">
        <w:rPr>
          <w:rFonts w:ascii="Calibri" w:hAnsi="Calibri" w:cs="Calibri"/>
          <w:b/>
          <w:bCs/>
        </w:rPr>
        <w:t xml:space="preserve">About Fulcrum Metals </w:t>
      </w:r>
      <w:r w:rsidR="00C11396">
        <w:rPr>
          <w:rFonts w:ascii="Calibri" w:hAnsi="Calibri" w:cs="Calibri"/>
          <w:b/>
          <w:bCs/>
        </w:rPr>
        <w:t>Plc</w:t>
      </w:r>
    </w:p>
    <w:p w14:paraId="7F0E5EB0" w14:textId="77777777" w:rsidR="00F515E9" w:rsidRPr="006D6338" w:rsidRDefault="00F515E9" w:rsidP="008B198D">
      <w:pPr>
        <w:pStyle w:val="BodyText"/>
        <w:spacing w:before="2"/>
        <w:ind w:right="-18"/>
        <w:jc w:val="both"/>
        <w:rPr>
          <w:rFonts w:ascii="Calibri" w:eastAsia="Calibri" w:hAnsi="Calibri" w:cs="Calibri"/>
          <w:b/>
          <w:bCs/>
        </w:rPr>
      </w:pPr>
    </w:p>
    <w:p w14:paraId="1D0974B7" w14:textId="233C7CD1" w:rsidR="00FE759D" w:rsidRPr="006D6338" w:rsidRDefault="00FE759D" w:rsidP="00FE759D">
      <w:pPr>
        <w:pStyle w:val="BodyText"/>
        <w:spacing w:before="2"/>
        <w:ind w:right="-18"/>
        <w:jc w:val="both"/>
        <w:rPr>
          <w:rFonts w:ascii="Calibri" w:hAnsi="Calibri" w:cs="Calibri"/>
          <w:lang w:val="en-GB"/>
        </w:rPr>
      </w:pPr>
      <w:r w:rsidRPr="006D6338">
        <w:rPr>
          <w:rFonts w:ascii="Calibri" w:hAnsi="Calibri" w:cs="Calibri"/>
          <w:lang w:val="en-GB"/>
        </w:rPr>
        <w:t xml:space="preserve">Fulcrum Metals </w:t>
      </w:r>
      <w:r w:rsidR="00C11396">
        <w:rPr>
          <w:rFonts w:ascii="Calibri" w:hAnsi="Calibri" w:cs="Calibri"/>
          <w:lang w:val="en-GB"/>
        </w:rPr>
        <w:t>Plc</w:t>
      </w:r>
      <w:r w:rsidRPr="006D6338">
        <w:rPr>
          <w:rFonts w:ascii="Calibri" w:hAnsi="Calibri" w:cs="Calibri"/>
          <w:lang w:val="en-GB"/>
        </w:rPr>
        <w:t xml:space="preserve"> (AIM: FMET; OTCQB: FULMF) is a natural resources company building a scalable platform to recover precious and critical metals from historical mine waste and support the potential regeneration of legacy mine sites. The Company combines project ownership, pilot-scale validation and commercial development capability to deploy cyanide-free processing technology developed by Extrakt Process Solutions LLC and its associates (together, “Extrakt”).</w:t>
      </w:r>
    </w:p>
    <w:p w14:paraId="1D97FFCA" w14:textId="77777777" w:rsidR="00FE759D" w:rsidRPr="006D6338" w:rsidRDefault="00FE759D" w:rsidP="00FE759D">
      <w:pPr>
        <w:pStyle w:val="BodyText"/>
        <w:spacing w:before="2"/>
        <w:ind w:right="-18"/>
        <w:jc w:val="both"/>
        <w:rPr>
          <w:rFonts w:ascii="Calibri" w:hAnsi="Calibri" w:cs="Calibri"/>
          <w:lang w:val="en-GB"/>
        </w:rPr>
      </w:pPr>
    </w:p>
    <w:p w14:paraId="0ECF43E2" w14:textId="77777777" w:rsidR="00FE759D" w:rsidRPr="006D6338" w:rsidRDefault="00FE759D" w:rsidP="00FE759D">
      <w:pPr>
        <w:pStyle w:val="BodyText"/>
        <w:spacing w:before="2"/>
        <w:ind w:right="-18"/>
        <w:jc w:val="both"/>
        <w:rPr>
          <w:rFonts w:ascii="Calibri" w:hAnsi="Calibri" w:cs="Calibri"/>
          <w:lang w:val="en-GB"/>
        </w:rPr>
      </w:pPr>
      <w:r w:rsidRPr="006D6338">
        <w:rPr>
          <w:rFonts w:ascii="Calibri" w:hAnsi="Calibri" w:cs="Calibri"/>
          <w:lang w:val="en-GB"/>
        </w:rPr>
        <w:t>The Company’s initial projects are the historical tailings sites of the former Teck-Hughes and Sylvanite gold mines in the Kirkland Lake region of Ontario, which are estimated to contain more than 10 million tonnes of tailings in aggregate. Fulcrum also holds a portfolio of mineral exploration and development interests across Ontario and Saskatchewan, Canada.</w:t>
      </w:r>
    </w:p>
    <w:p w14:paraId="26F22648" w14:textId="77777777" w:rsidR="00FE759D" w:rsidRPr="006D6338" w:rsidRDefault="00FE759D" w:rsidP="00FE759D">
      <w:pPr>
        <w:pStyle w:val="BodyText"/>
        <w:spacing w:before="2"/>
        <w:ind w:right="-18"/>
        <w:jc w:val="both"/>
        <w:rPr>
          <w:rFonts w:ascii="Calibri" w:hAnsi="Calibri" w:cs="Calibri"/>
          <w:lang w:val="en-GB"/>
        </w:rPr>
      </w:pPr>
    </w:p>
    <w:p w14:paraId="406BFFCE" w14:textId="669D0E31" w:rsidR="00FE759D" w:rsidRPr="006D6338" w:rsidRDefault="00FE759D" w:rsidP="00FE759D">
      <w:pPr>
        <w:pStyle w:val="BodyText"/>
        <w:spacing w:before="2"/>
        <w:ind w:right="-18"/>
        <w:jc w:val="both"/>
        <w:rPr>
          <w:rFonts w:ascii="Calibri" w:hAnsi="Calibri" w:cs="Calibri"/>
          <w:lang w:val="en-GB"/>
        </w:rPr>
      </w:pPr>
      <w:r w:rsidRPr="006D6338">
        <w:rPr>
          <w:rFonts w:ascii="Calibri" w:hAnsi="Calibri" w:cs="Calibri"/>
          <w:lang w:val="en-GB"/>
        </w:rPr>
        <w:t>Fulcrum holds exclusive rights to deploy Extrakt’s technology at legacy gold mine-waste sites across the Kirkland Lake and Timmins mining districts, which have produced more than 110 million ounces of gold historically and contain more than 70 documented legacy mine-waste sites.</w:t>
      </w:r>
    </w:p>
    <w:p w14:paraId="71A1CE24" w14:textId="77777777" w:rsidR="00FE759D" w:rsidRPr="006D6338" w:rsidRDefault="00FE759D" w:rsidP="00FE759D">
      <w:pPr>
        <w:pStyle w:val="BodyText"/>
        <w:spacing w:before="2"/>
        <w:ind w:right="-18"/>
        <w:jc w:val="both"/>
        <w:rPr>
          <w:rFonts w:ascii="Calibri" w:hAnsi="Calibri" w:cs="Calibri"/>
          <w:lang w:val="en-GB"/>
        </w:rPr>
      </w:pPr>
    </w:p>
    <w:p w14:paraId="0A415F5A" w14:textId="4E6CDBC8" w:rsidR="00FE759D" w:rsidRDefault="00FE759D" w:rsidP="00FE759D">
      <w:pPr>
        <w:pStyle w:val="BodyText"/>
        <w:spacing w:before="2"/>
        <w:ind w:right="-18"/>
        <w:jc w:val="both"/>
        <w:rPr>
          <w:rFonts w:ascii="Calibri" w:hAnsi="Calibri" w:cs="Calibri"/>
          <w:lang w:val="en-GB"/>
        </w:rPr>
      </w:pPr>
      <w:r w:rsidRPr="006D6338">
        <w:rPr>
          <w:rFonts w:ascii="Calibri" w:hAnsi="Calibri" w:cs="Calibri"/>
          <w:lang w:val="en-GB"/>
        </w:rPr>
        <w:t xml:space="preserve">The Company’s planned reusable pilot capability is intended to accelerate development decisions at Teck-Hughes and Sylvanite and establish a repeatable pathway for opportunities covered by Fulcrum’s exclusive </w:t>
      </w:r>
      <w:r w:rsidR="00B979FC" w:rsidRPr="006D6338">
        <w:rPr>
          <w:rFonts w:ascii="Calibri" w:hAnsi="Calibri" w:cs="Calibri"/>
          <w:lang w:val="en-GB"/>
        </w:rPr>
        <w:t xml:space="preserve">Extrakt </w:t>
      </w:r>
      <w:r w:rsidRPr="006D6338">
        <w:rPr>
          <w:rFonts w:ascii="Calibri" w:hAnsi="Calibri" w:cs="Calibri"/>
          <w:lang w:val="en-GB"/>
        </w:rPr>
        <w:t>rights. The resulting knowledge, operating capability and development pathway may also be applied to wider opportunities pursued through flexible commercial structures.</w:t>
      </w:r>
    </w:p>
    <w:p w14:paraId="60E0DE0A" w14:textId="77777777" w:rsidR="00A07D85" w:rsidRPr="006D6338" w:rsidRDefault="00A07D85" w:rsidP="00FE759D">
      <w:pPr>
        <w:pStyle w:val="BodyText"/>
        <w:spacing w:before="2"/>
        <w:ind w:right="-18"/>
        <w:jc w:val="both"/>
        <w:rPr>
          <w:rFonts w:ascii="Calibri" w:hAnsi="Calibri" w:cs="Calibri"/>
          <w:lang w:val="en-GB"/>
        </w:rPr>
      </w:pPr>
    </w:p>
    <w:p w14:paraId="6BDC00E6" w14:textId="77777777" w:rsidR="00CC4100" w:rsidRPr="006D6338" w:rsidRDefault="00CC4100" w:rsidP="00CC4100">
      <w:pPr>
        <w:widowControl w:val="0"/>
        <w:autoSpaceDE w:val="0"/>
        <w:autoSpaceDN w:val="0"/>
        <w:spacing w:before="7"/>
        <w:jc w:val="both"/>
        <w:rPr>
          <w:rFonts w:ascii="Calibri" w:eastAsia="Arial" w:hAnsi="Calibri" w:cs="Calibri"/>
          <w:b/>
          <w:sz w:val="16"/>
          <w:szCs w:val="16"/>
        </w:rPr>
      </w:pPr>
      <w:r w:rsidRPr="006D6338">
        <w:rPr>
          <w:rFonts w:ascii="Calibri" w:eastAsia="Arial" w:hAnsi="Calibri" w:cs="Calibri"/>
          <w:b/>
          <w:sz w:val="16"/>
          <w:szCs w:val="16"/>
        </w:rPr>
        <w:t xml:space="preserve">UNAUDITED INTERIM FINANCIAL INFORMATION ON </w:t>
      </w:r>
    </w:p>
    <w:p w14:paraId="721B6D57" w14:textId="628D3657" w:rsidR="00CC4100" w:rsidRPr="006D6338" w:rsidRDefault="00CC4100" w:rsidP="00CC4100">
      <w:pPr>
        <w:widowControl w:val="0"/>
        <w:autoSpaceDE w:val="0"/>
        <w:autoSpaceDN w:val="0"/>
        <w:spacing w:before="7"/>
        <w:jc w:val="both"/>
        <w:rPr>
          <w:rFonts w:ascii="Calibri" w:eastAsia="Arial" w:hAnsi="Calibri" w:cs="Calibri"/>
          <w:b/>
          <w:sz w:val="16"/>
          <w:szCs w:val="16"/>
        </w:rPr>
      </w:pPr>
      <w:r w:rsidRPr="006D6338">
        <w:rPr>
          <w:rFonts w:ascii="Calibri" w:eastAsia="Arial" w:hAnsi="Calibri" w:cs="Calibri"/>
          <w:b/>
          <w:sz w:val="16"/>
          <w:szCs w:val="16"/>
        </w:rPr>
        <w:t xml:space="preserve">FULCRUM METALS </w:t>
      </w:r>
      <w:r w:rsidR="00C11396">
        <w:rPr>
          <w:rFonts w:ascii="Calibri" w:eastAsia="Arial" w:hAnsi="Calibri" w:cs="Calibri"/>
          <w:b/>
          <w:sz w:val="16"/>
          <w:szCs w:val="16"/>
        </w:rPr>
        <w:t>PLC</w:t>
      </w:r>
    </w:p>
    <w:p w14:paraId="213E9120" w14:textId="77777777" w:rsidR="00CC4100" w:rsidRPr="006D6338" w:rsidRDefault="00CC4100" w:rsidP="00CC4100">
      <w:pPr>
        <w:spacing w:line="256" w:lineRule="auto"/>
        <w:rPr>
          <w:rFonts w:ascii="Calibri" w:eastAsia="Calibri" w:hAnsi="Calibri" w:cs="Calibri"/>
          <w:sz w:val="16"/>
          <w:szCs w:val="16"/>
        </w:rPr>
      </w:pPr>
    </w:p>
    <w:tbl>
      <w:tblPr>
        <w:tblpPr w:leftFromText="180" w:rightFromText="180" w:bottomFromText="160" w:vertAnchor="text" w:tblpY="1"/>
        <w:tblOverlap w:val="never"/>
        <w:tblW w:w="10680" w:type="dxa"/>
        <w:tblLayout w:type="fixed"/>
        <w:tblLook w:val="04A0" w:firstRow="1" w:lastRow="0" w:firstColumn="1" w:lastColumn="0" w:noHBand="0" w:noVBand="1"/>
      </w:tblPr>
      <w:tblGrid>
        <w:gridCol w:w="4635"/>
        <w:gridCol w:w="858"/>
        <w:gridCol w:w="1729"/>
        <w:gridCol w:w="1729"/>
        <w:gridCol w:w="1729"/>
      </w:tblGrid>
      <w:tr w:rsidR="00CC4100" w:rsidRPr="006D6338" w14:paraId="08BF7614" w14:textId="77777777" w:rsidTr="006D6338">
        <w:trPr>
          <w:trHeight w:val="20"/>
        </w:trPr>
        <w:tc>
          <w:tcPr>
            <w:tcW w:w="10680" w:type="dxa"/>
            <w:gridSpan w:val="5"/>
            <w:noWrap/>
            <w:hideMark/>
          </w:tcPr>
          <w:p w14:paraId="78524F77" w14:textId="77777777" w:rsidR="00CC4100" w:rsidRPr="006D6338" w:rsidRDefault="00CC4100" w:rsidP="00CC4100">
            <w:pPr>
              <w:jc w:val="both"/>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Consolidated Statement of Comprehensive Income</w:t>
            </w:r>
          </w:p>
        </w:tc>
      </w:tr>
      <w:tr w:rsidR="00CC4100" w:rsidRPr="006D6338" w14:paraId="3030A53F" w14:textId="77777777" w:rsidTr="006D6338">
        <w:trPr>
          <w:trHeight w:val="20"/>
        </w:trPr>
        <w:tc>
          <w:tcPr>
            <w:tcW w:w="4635" w:type="dxa"/>
            <w:noWrap/>
            <w:hideMark/>
          </w:tcPr>
          <w:p w14:paraId="34219BAF"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for the six months ended 30 June 2026</w:t>
            </w:r>
          </w:p>
        </w:tc>
        <w:tc>
          <w:tcPr>
            <w:tcW w:w="858" w:type="dxa"/>
            <w:noWrap/>
            <w:hideMark/>
          </w:tcPr>
          <w:p w14:paraId="085E47D1"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729" w:type="dxa"/>
            <w:noWrap/>
            <w:hideMark/>
          </w:tcPr>
          <w:p w14:paraId="23F5DC1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2A093CEB"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3F72BFB0"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3B7FD922" w14:textId="77777777" w:rsidTr="006D6338">
        <w:trPr>
          <w:trHeight w:val="20"/>
        </w:trPr>
        <w:tc>
          <w:tcPr>
            <w:tcW w:w="4635" w:type="dxa"/>
            <w:noWrap/>
            <w:hideMark/>
          </w:tcPr>
          <w:p w14:paraId="5540215A" w14:textId="77777777" w:rsidR="00CC4100" w:rsidRPr="006D6338" w:rsidRDefault="00CC4100" w:rsidP="00CC4100">
            <w:pPr>
              <w:spacing w:line="256" w:lineRule="auto"/>
              <w:rPr>
                <w:rFonts w:ascii="Calibri" w:eastAsia="Calibri" w:hAnsi="Calibri" w:cs="Calibri"/>
                <w:sz w:val="20"/>
                <w:szCs w:val="20"/>
                <w:lang w:eastAsia="en-GB"/>
              </w:rPr>
            </w:pPr>
          </w:p>
        </w:tc>
        <w:tc>
          <w:tcPr>
            <w:tcW w:w="858" w:type="dxa"/>
            <w:noWrap/>
            <w:hideMark/>
          </w:tcPr>
          <w:p w14:paraId="184C4DC5"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42502A66"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1729" w:type="dxa"/>
            <w:noWrap/>
            <w:hideMark/>
          </w:tcPr>
          <w:p w14:paraId="18776EDD"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1729" w:type="dxa"/>
            <w:noWrap/>
            <w:hideMark/>
          </w:tcPr>
          <w:p w14:paraId="38E4C5AA"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Audited</w:t>
            </w:r>
          </w:p>
        </w:tc>
      </w:tr>
      <w:tr w:rsidR="00CC4100" w:rsidRPr="006D6338" w14:paraId="241ACBB9" w14:textId="77777777" w:rsidTr="006D6338">
        <w:trPr>
          <w:trHeight w:val="20"/>
        </w:trPr>
        <w:tc>
          <w:tcPr>
            <w:tcW w:w="4635" w:type="dxa"/>
            <w:noWrap/>
            <w:hideMark/>
          </w:tcPr>
          <w:p w14:paraId="32B9C70B" w14:textId="77777777" w:rsidR="00CC4100" w:rsidRPr="006D6338" w:rsidRDefault="00CC4100" w:rsidP="00CC4100">
            <w:pPr>
              <w:spacing w:line="256" w:lineRule="auto"/>
              <w:rPr>
                <w:rFonts w:ascii="Calibri" w:eastAsia="Times New Roman" w:hAnsi="Calibri" w:cs="Calibri"/>
                <w:b/>
                <w:bCs/>
                <w:i/>
                <w:iCs/>
                <w:color w:val="000000"/>
                <w:sz w:val="16"/>
                <w:szCs w:val="16"/>
                <w:lang w:eastAsia="en-GB"/>
              </w:rPr>
            </w:pPr>
          </w:p>
        </w:tc>
        <w:tc>
          <w:tcPr>
            <w:tcW w:w="858" w:type="dxa"/>
            <w:noWrap/>
            <w:hideMark/>
          </w:tcPr>
          <w:p w14:paraId="1C15B4BC" w14:textId="77777777" w:rsidR="00CC4100" w:rsidRPr="006D6338" w:rsidRDefault="00CC4100" w:rsidP="00CC4100">
            <w:pPr>
              <w:jc w:val="both"/>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Notes</w:t>
            </w:r>
          </w:p>
        </w:tc>
        <w:tc>
          <w:tcPr>
            <w:tcW w:w="1729" w:type="dxa"/>
            <w:hideMark/>
          </w:tcPr>
          <w:p w14:paraId="07C34B92"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6 months ended  </w:t>
            </w:r>
          </w:p>
        </w:tc>
        <w:tc>
          <w:tcPr>
            <w:tcW w:w="1729" w:type="dxa"/>
            <w:hideMark/>
          </w:tcPr>
          <w:p w14:paraId="6A36C726"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6 months ended  </w:t>
            </w:r>
          </w:p>
        </w:tc>
        <w:tc>
          <w:tcPr>
            <w:tcW w:w="1729" w:type="dxa"/>
            <w:hideMark/>
          </w:tcPr>
          <w:p w14:paraId="5282F5F7"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Year </w:t>
            </w:r>
          </w:p>
          <w:p w14:paraId="0522D38F"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ended  </w:t>
            </w:r>
          </w:p>
        </w:tc>
      </w:tr>
      <w:tr w:rsidR="00CC4100" w:rsidRPr="006D6338" w14:paraId="197B31B1" w14:textId="77777777" w:rsidTr="006D6338">
        <w:trPr>
          <w:trHeight w:val="20"/>
        </w:trPr>
        <w:tc>
          <w:tcPr>
            <w:tcW w:w="4635" w:type="dxa"/>
            <w:noWrap/>
            <w:hideMark/>
          </w:tcPr>
          <w:p w14:paraId="33064995"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858" w:type="dxa"/>
            <w:noWrap/>
            <w:hideMark/>
          </w:tcPr>
          <w:p w14:paraId="134196A6"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hideMark/>
          </w:tcPr>
          <w:p w14:paraId="563D16A6"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'26 </w:t>
            </w:r>
          </w:p>
        </w:tc>
        <w:tc>
          <w:tcPr>
            <w:tcW w:w="1729" w:type="dxa"/>
            <w:hideMark/>
          </w:tcPr>
          <w:p w14:paraId="009ACEED"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'25</w:t>
            </w:r>
          </w:p>
        </w:tc>
        <w:tc>
          <w:tcPr>
            <w:tcW w:w="1729" w:type="dxa"/>
            <w:hideMark/>
          </w:tcPr>
          <w:p w14:paraId="4E010DCC"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31 Dec '25 </w:t>
            </w:r>
          </w:p>
        </w:tc>
      </w:tr>
      <w:tr w:rsidR="00CC4100" w:rsidRPr="006D6338" w14:paraId="0E03AAEC" w14:textId="77777777" w:rsidTr="006D6338">
        <w:trPr>
          <w:trHeight w:val="20"/>
        </w:trPr>
        <w:tc>
          <w:tcPr>
            <w:tcW w:w="4635" w:type="dxa"/>
            <w:noWrap/>
            <w:hideMark/>
          </w:tcPr>
          <w:p w14:paraId="262E056E"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858" w:type="dxa"/>
            <w:noWrap/>
            <w:hideMark/>
          </w:tcPr>
          <w:p w14:paraId="4E93144B"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hideMark/>
          </w:tcPr>
          <w:p w14:paraId="7B7E5816"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729" w:type="dxa"/>
            <w:hideMark/>
          </w:tcPr>
          <w:p w14:paraId="390631D6"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729" w:type="dxa"/>
            <w:hideMark/>
          </w:tcPr>
          <w:p w14:paraId="3DB2C385"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06FFEB68" w14:textId="77777777" w:rsidTr="006D6338">
        <w:trPr>
          <w:trHeight w:val="20"/>
        </w:trPr>
        <w:tc>
          <w:tcPr>
            <w:tcW w:w="4635" w:type="dxa"/>
            <w:noWrap/>
            <w:hideMark/>
          </w:tcPr>
          <w:p w14:paraId="3DC0DEE6"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Administrative expenses</w:t>
            </w:r>
          </w:p>
        </w:tc>
        <w:tc>
          <w:tcPr>
            <w:tcW w:w="858" w:type="dxa"/>
            <w:noWrap/>
            <w:hideMark/>
          </w:tcPr>
          <w:p w14:paraId="2B33FC1E"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045BC738"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(611,044)</w:t>
            </w:r>
          </w:p>
        </w:tc>
        <w:tc>
          <w:tcPr>
            <w:tcW w:w="1729" w:type="dxa"/>
            <w:noWrap/>
            <w:hideMark/>
          </w:tcPr>
          <w:p w14:paraId="4FF66B49"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(331,565)</w:t>
            </w:r>
          </w:p>
        </w:tc>
        <w:tc>
          <w:tcPr>
            <w:tcW w:w="1729" w:type="dxa"/>
            <w:noWrap/>
            <w:hideMark/>
          </w:tcPr>
          <w:p w14:paraId="3B7EB559"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(888,363)</w:t>
            </w:r>
          </w:p>
        </w:tc>
      </w:tr>
      <w:tr w:rsidR="00CC4100" w:rsidRPr="006D6338" w14:paraId="256389A7" w14:textId="77777777" w:rsidTr="006D6338">
        <w:trPr>
          <w:trHeight w:val="20"/>
        </w:trPr>
        <w:tc>
          <w:tcPr>
            <w:tcW w:w="4635" w:type="dxa"/>
            <w:noWrap/>
          </w:tcPr>
          <w:p w14:paraId="22F6A09E" w14:textId="77777777" w:rsidR="00CC4100" w:rsidRPr="006D6338" w:rsidDel="005340B1"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Other operating expenses</w:t>
            </w:r>
          </w:p>
        </w:tc>
        <w:tc>
          <w:tcPr>
            <w:tcW w:w="858" w:type="dxa"/>
            <w:noWrap/>
          </w:tcPr>
          <w:p w14:paraId="6A7C8AD6"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729" w:type="dxa"/>
            <w:noWrap/>
          </w:tcPr>
          <w:p w14:paraId="46E731D9"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(9,446)</w:t>
            </w:r>
          </w:p>
        </w:tc>
        <w:tc>
          <w:tcPr>
            <w:tcW w:w="1729" w:type="dxa"/>
            <w:noWrap/>
          </w:tcPr>
          <w:p w14:paraId="2E702035"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w:t>
            </w:r>
          </w:p>
        </w:tc>
        <w:tc>
          <w:tcPr>
            <w:tcW w:w="1729" w:type="dxa"/>
            <w:noWrap/>
          </w:tcPr>
          <w:p w14:paraId="1E906AF2" w14:textId="77777777" w:rsidR="00CC4100" w:rsidRPr="006D6338" w:rsidDel="00F3021D"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w:t>
            </w:r>
          </w:p>
        </w:tc>
      </w:tr>
      <w:tr w:rsidR="00CC4100" w:rsidRPr="006D6338" w14:paraId="3AB60487" w14:textId="77777777" w:rsidTr="006D6338">
        <w:trPr>
          <w:trHeight w:val="20"/>
        </w:trPr>
        <w:tc>
          <w:tcPr>
            <w:tcW w:w="4635" w:type="dxa"/>
            <w:noWrap/>
            <w:hideMark/>
          </w:tcPr>
          <w:p w14:paraId="76A486EF"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Other operating income </w:t>
            </w:r>
          </w:p>
        </w:tc>
        <w:tc>
          <w:tcPr>
            <w:tcW w:w="858" w:type="dxa"/>
            <w:noWrap/>
          </w:tcPr>
          <w:p w14:paraId="20D972AA"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729" w:type="dxa"/>
            <w:noWrap/>
            <w:hideMark/>
          </w:tcPr>
          <w:p w14:paraId="5110B68E"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8,094</w:t>
            </w:r>
          </w:p>
        </w:tc>
        <w:tc>
          <w:tcPr>
            <w:tcW w:w="1729" w:type="dxa"/>
            <w:noWrap/>
            <w:hideMark/>
          </w:tcPr>
          <w:p w14:paraId="0938346A"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w:t>
            </w:r>
          </w:p>
        </w:tc>
        <w:tc>
          <w:tcPr>
            <w:tcW w:w="1729" w:type="dxa"/>
            <w:noWrap/>
            <w:hideMark/>
          </w:tcPr>
          <w:p w14:paraId="4C3F7D48"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606,730</w:t>
            </w:r>
          </w:p>
        </w:tc>
      </w:tr>
      <w:tr w:rsidR="00CC4100" w:rsidRPr="006D6338" w14:paraId="727BABB1" w14:textId="77777777" w:rsidTr="006D6338">
        <w:trPr>
          <w:trHeight w:val="20"/>
        </w:trPr>
        <w:tc>
          <w:tcPr>
            <w:tcW w:w="4635" w:type="dxa"/>
            <w:noWrap/>
          </w:tcPr>
          <w:p w14:paraId="73D892EB" w14:textId="77777777" w:rsidR="00CC4100" w:rsidRPr="006D6338" w:rsidRDefault="00CC4100" w:rsidP="00CC4100">
            <w:pPr>
              <w:jc w:val="both"/>
              <w:rPr>
                <w:rFonts w:ascii="Calibri" w:eastAsia="Times New Roman" w:hAnsi="Calibri" w:cs="Calibri"/>
                <w:color w:val="000000"/>
                <w:sz w:val="16"/>
                <w:szCs w:val="16"/>
                <w:lang w:eastAsia="en-GB"/>
              </w:rPr>
            </w:pPr>
          </w:p>
        </w:tc>
        <w:tc>
          <w:tcPr>
            <w:tcW w:w="858" w:type="dxa"/>
            <w:noWrap/>
          </w:tcPr>
          <w:p w14:paraId="56894671"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729" w:type="dxa"/>
            <w:noWrap/>
          </w:tcPr>
          <w:p w14:paraId="6B604DAA" w14:textId="77777777" w:rsidR="00CC4100" w:rsidRPr="006D6338" w:rsidRDefault="00CC4100" w:rsidP="00CC4100">
            <w:pPr>
              <w:jc w:val="right"/>
              <w:rPr>
                <w:rFonts w:ascii="Calibri" w:eastAsia="Calibri" w:hAnsi="Calibri" w:cs="Calibri"/>
                <w:bCs/>
                <w:color w:val="000000"/>
                <w:sz w:val="16"/>
                <w:szCs w:val="16"/>
              </w:rPr>
            </w:pPr>
          </w:p>
        </w:tc>
        <w:tc>
          <w:tcPr>
            <w:tcW w:w="1729" w:type="dxa"/>
            <w:noWrap/>
          </w:tcPr>
          <w:p w14:paraId="6890732F" w14:textId="77777777" w:rsidR="00CC4100" w:rsidRPr="006D6338" w:rsidRDefault="00CC4100" w:rsidP="00CC4100">
            <w:pPr>
              <w:jc w:val="right"/>
              <w:rPr>
                <w:rFonts w:ascii="Calibri" w:eastAsia="Calibri" w:hAnsi="Calibri" w:cs="Calibri"/>
                <w:bCs/>
                <w:color w:val="000000"/>
                <w:sz w:val="16"/>
                <w:szCs w:val="16"/>
              </w:rPr>
            </w:pPr>
          </w:p>
        </w:tc>
        <w:tc>
          <w:tcPr>
            <w:tcW w:w="1729" w:type="dxa"/>
            <w:noWrap/>
          </w:tcPr>
          <w:p w14:paraId="089FB8A8" w14:textId="77777777" w:rsidR="00CC4100" w:rsidRPr="006D6338" w:rsidRDefault="00CC4100" w:rsidP="00CC4100">
            <w:pPr>
              <w:jc w:val="right"/>
              <w:rPr>
                <w:rFonts w:ascii="Calibri" w:eastAsia="Calibri" w:hAnsi="Calibri" w:cs="Calibri"/>
                <w:bCs/>
                <w:color w:val="000000"/>
                <w:sz w:val="16"/>
                <w:szCs w:val="16"/>
              </w:rPr>
            </w:pPr>
          </w:p>
        </w:tc>
      </w:tr>
      <w:tr w:rsidR="00CC4100" w:rsidRPr="006D6338" w14:paraId="232029E6" w14:textId="77777777" w:rsidTr="006D6338">
        <w:trPr>
          <w:trHeight w:val="20"/>
        </w:trPr>
        <w:tc>
          <w:tcPr>
            <w:tcW w:w="4635" w:type="dxa"/>
            <w:noWrap/>
            <w:hideMark/>
          </w:tcPr>
          <w:p w14:paraId="0D769B04"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Operating loss</w:t>
            </w:r>
          </w:p>
        </w:tc>
        <w:tc>
          <w:tcPr>
            <w:tcW w:w="858" w:type="dxa"/>
            <w:noWrap/>
            <w:hideMark/>
          </w:tcPr>
          <w:p w14:paraId="1A25A9B8"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729" w:type="dxa"/>
            <w:noWrap/>
            <w:hideMark/>
          </w:tcPr>
          <w:p w14:paraId="31ECB357"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(612,396)</w:t>
            </w:r>
          </w:p>
        </w:tc>
        <w:tc>
          <w:tcPr>
            <w:tcW w:w="1729" w:type="dxa"/>
            <w:noWrap/>
            <w:hideMark/>
          </w:tcPr>
          <w:p w14:paraId="60A8CC9F"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(331,565)</w:t>
            </w:r>
          </w:p>
        </w:tc>
        <w:tc>
          <w:tcPr>
            <w:tcW w:w="1729" w:type="dxa"/>
            <w:noWrap/>
            <w:hideMark/>
          </w:tcPr>
          <w:p w14:paraId="46BEDC8F"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(281,633)</w:t>
            </w:r>
          </w:p>
        </w:tc>
      </w:tr>
      <w:tr w:rsidR="00CC4100" w:rsidRPr="006D6338" w14:paraId="2D4B2296" w14:textId="77777777" w:rsidTr="006D6338">
        <w:trPr>
          <w:trHeight w:val="20"/>
        </w:trPr>
        <w:tc>
          <w:tcPr>
            <w:tcW w:w="4635" w:type="dxa"/>
            <w:noWrap/>
            <w:hideMark/>
          </w:tcPr>
          <w:p w14:paraId="23F42F21" w14:textId="77777777" w:rsidR="00CC4100" w:rsidRPr="006D6338" w:rsidRDefault="00CC4100" w:rsidP="00CC4100">
            <w:pPr>
              <w:spacing w:line="256" w:lineRule="auto"/>
              <w:rPr>
                <w:rFonts w:ascii="Calibri" w:eastAsia="Times New Roman" w:hAnsi="Calibri" w:cs="Calibri"/>
                <w:bCs/>
                <w:color w:val="000000"/>
                <w:sz w:val="16"/>
                <w:szCs w:val="16"/>
                <w:lang w:eastAsia="en-GB"/>
              </w:rPr>
            </w:pPr>
          </w:p>
        </w:tc>
        <w:tc>
          <w:tcPr>
            <w:tcW w:w="858" w:type="dxa"/>
            <w:noWrap/>
            <w:hideMark/>
          </w:tcPr>
          <w:p w14:paraId="69C0BEE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2268B3C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25C5CFE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30C5BF5D"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6EAFDAA3" w14:textId="77777777" w:rsidTr="006D6338">
        <w:trPr>
          <w:trHeight w:val="20"/>
        </w:trPr>
        <w:tc>
          <w:tcPr>
            <w:tcW w:w="4635" w:type="dxa"/>
            <w:noWrap/>
            <w:hideMark/>
          </w:tcPr>
          <w:p w14:paraId="367A9921"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Finance costs</w:t>
            </w:r>
          </w:p>
        </w:tc>
        <w:tc>
          <w:tcPr>
            <w:tcW w:w="858" w:type="dxa"/>
            <w:noWrap/>
            <w:hideMark/>
          </w:tcPr>
          <w:p w14:paraId="18514927"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01701F8F"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Times New Roman" w:hAnsi="Calibri" w:cs="Calibri"/>
                <w:bCs/>
                <w:color w:val="000000"/>
                <w:sz w:val="16"/>
                <w:szCs w:val="16"/>
                <w:lang w:eastAsia="en-GB"/>
              </w:rPr>
              <w:t>(35,136)</w:t>
            </w:r>
          </w:p>
        </w:tc>
        <w:tc>
          <w:tcPr>
            <w:tcW w:w="1729" w:type="dxa"/>
            <w:noWrap/>
            <w:hideMark/>
          </w:tcPr>
          <w:p w14:paraId="457761E1"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Times New Roman" w:hAnsi="Calibri" w:cs="Calibri"/>
                <w:bCs/>
                <w:color w:val="000000"/>
                <w:sz w:val="16"/>
                <w:szCs w:val="16"/>
                <w:lang w:eastAsia="en-GB"/>
              </w:rPr>
              <w:t>(43,454)</w:t>
            </w:r>
          </w:p>
        </w:tc>
        <w:tc>
          <w:tcPr>
            <w:tcW w:w="1729" w:type="dxa"/>
            <w:noWrap/>
            <w:hideMark/>
          </w:tcPr>
          <w:p w14:paraId="0FF2BFAC"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(271,866)</w:t>
            </w:r>
          </w:p>
        </w:tc>
      </w:tr>
      <w:tr w:rsidR="00CC4100" w:rsidRPr="006D6338" w14:paraId="54BF5F0D" w14:textId="77777777" w:rsidTr="006D6338">
        <w:trPr>
          <w:trHeight w:val="20"/>
        </w:trPr>
        <w:tc>
          <w:tcPr>
            <w:tcW w:w="4635" w:type="dxa"/>
            <w:noWrap/>
          </w:tcPr>
          <w:p w14:paraId="6B637F0C" w14:textId="77777777" w:rsidR="00CC4100" w:rsidRPr="006D6338" w:rsidRDefault="00CC4100" w:rsidP="00CC4100">
            <w:pPr>
              <w:jc w:val="both"/>
              <w:rPr>
                <w:rFonts w:ascii="Calibri" w:eastAsia="Times New Roman" w:hAnsi="Calibri" w:cs="Calibri"/>
                <w:color w:val="000000"/>
                <w:sz w:val="16"/>
                <w:szCs w:val="16"/>
                <w:lang w:eastAsia="en-GB"/>
              </w:rPr>
            </w:pPr>
          </w:p>
        </w:tc>
        <w:tc>
          <w:tcPr>
            <w:tcW w:w="858" w:type="dxa"/>
            <w:noWrap/>
            <w:hideMark/>
          </w:tcPr>
          <w:p w14:paraId="630DD57C"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24C3E611"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0A5DE2DC"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tcPr>
          <w:p w14:paraId="4ED4CCBD" w14:textId="77777777" w:rsidR="00CC4100" w:rsidRPr="006D6338" w:rsidRDefault="00CC4100" w:rsidP="00CC4100">
            <w:pPr>
              <w:jc w:val="right"/>
              <w:rPr>
                <w:rFonts w:ascii="Calibri" w:eastAsia="Times New Roman" w:hAnsi="Calibri" w:cs="Calibri"/>
                <w:bCs/>
                <w:color w:val="000000"/>
                <w:sz w:val="16"/>
                <w:szCs w:val="16"/>
                <w:lang w:eastAsia="en-GB"/>
              </w:rPr>
            </w:pPr>
          </w:p>
        </w:tc>
      </w:tr>
      <w:tr w:rsidR="00CC4100" w:rsidRPr="006D6338" w14:paraId="3F4F0B3D" w14:textId="77777777" w:rsidTr="006D6338">
        <w:trPr>
          <w:trHeight w:val="20"/>
        </w:trPr>
        <w:tc>
          <w:tcPr>
            <w:tcW w:w="4635" w:type="dxa"/>
            <w:noWrap/>
            <w:hideMark/>
          </w:tcPr>
          <w:p w14:paraId="4CAE613F"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 xml:space="preserve">Loss before taxation </w:t>
            </w:r>
          </w:p>
        </w:tc>
        <w:tc>
          <w:tcPr>
            <w:tcW w:w="858" w:type="dxa"/>
            <w:noWrap/>
          </w:tcPr>
          <w:p w14:paraId="58D57A76"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729" w:type="dxa"/>
            <w:noWrap/>
            <w:hideMark/>
          </w:tcPr>
          <w:p w14:paraId="10C7F323"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(647,532)</w:t>
            </w:r>
          </w:p>
        </w:tc>
        <w:tc>
          <w:tcPr>
            <w:tcW w:w="1729" w:type="dxa"/>
            <w:noWrap/>
            <w:hideMark/>
          </w:tcPr>
          <w:p w14:paraId="61C73944"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(375,019)</w:t>
            </w:r>
          </w:p>
        </w:tc>
        <w:tc>
          <w:tcPr>
            <w:tcW w:w="1729" w:type="dxa"/>
            <w:noWrap/>
            <w:hideMark/>
          </w:tcPr>
          <w:p w14:paraId="32ECBE58" w14:textId="77777777" w:rsidR="00CC4100" w:rsidRPr="006D6338" w:rsidRDefault="00CC4100" w:rsidP="00CC4100">
            <w:pPr>
              <w:jc w:val="right"/>
              <w:rPr>
                <w:rFonts w:ascii="Calibri" w:eastAsia="Times New Roman" w:hAnsi="Calibri" w:cs="Calibri"/>
                <w:bCs/>
                <w:color w:val="000000"/>
                <w:sz w:val="16"/>
                <w:szCs w:val="16"/>
                <w:lang w:eastAsia="en-GB"/>
              </w:rPr>
            </w:pPr>
            <w:r w:rsidRPr="006D6338">
              <w:rPr>
                <w:rFonts w:ascii="Calibri" w:eastAsia="Calibri" w:hAnsi="Calibri" w:cs="Calibri"/>
                <w:bCs/>
                <w:color w:val="000000"/>
                <w:sz w:val="16"/>
                <w:szCs w:val="16"/>
              </w:rPr>
              <w:t>(553,499)</w:t>
            </w:r>
          </w:p>
        </w:tc>
      </w:tr>
      <w:tr w:rsidR="00CC4100" w:rsidRPr="006D6338" w14:paraId="5C4363EE" w14:textId="77777777" w:rsidTr="006D6338">
        <w:trPr>
          <w:trHeight w:val="20"/>
        </w:trPr>
        <w:tc>
          <w:tcPr>
            <w:tcW w:w="4635" w:type="dxa"/>
            <w:noWrap/>
            <w:hideMark/>
          </w:tcPr>
          <w:p w14:paraId="566EF1C2" w14:textId="77777777" w:rsidR="00CC4100" w:rsidRPr="006D6338" w:rsidRDefault="00CC4100" w:rsidP="00CC4100">
            <w:pPr>
              <w:spacing w:line="256" w:lineRule="auto"/>
              <w:rPr>
                <w:rFonts w:ascii="Calibri" w:eastAsia="Times New Roman" w:hAnsi="Calibri" w:cs="Calibri"/>
                <w:bCs/>
                <w:color w:val="000000"/>
                <w:sz w:val="16"/>
                <w:szCs w:val="16"/>
                <w:lang w:eastAsia="en-GB"/>
              </w:rPr>
            </w:pPr>
          </w:p>
        </w:tc>
        <w:tc>
          <w:tcPr>
            <w:tcW w:w="858" w:type="dxa"/>
            <w:noWrap/>
            <w:hideMark/>
          </w:tcPr>
          <w:p w14:paraId="793D8E11"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49802646"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54492E42"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16808A39"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6306248E" w14:textId="77777777" w:rsidTr="006D6338">
        <w:trPr>
          <w:trHeight w:val="20"/>
        </w:trPr>
        <w:tc>
          <w:tcPr>
            <w:tcW w:w="4635" w:type="dxa"/>
            <w:noWrap/>
            <w:hideMark/>
          </w:tcPr>
          <w:p w14:paraId="205D7648" w14:textId="77777777" w:rsidR="00CC4100" w:rsidRPr="006D6338" w:rsidRDefault="00CC4100" w:rsidP="00CC4100">
            <w:pPr>
              <w:jc w:val="both"/>
              <w:rPr>
                <w:rFonts w:ascii="Calibri" w:eastAsia="Calibri" w:hAnsi="Calibri" w:cs="Calibri"/>
                <w:color w:val="000000"/>
                <w:sz w:val="16"/>
                <w:szCs w:val="16"/>
              </w:rPr>
            </w:pPr>
            <w:r w:rsidRPr="006D6338">
              <w:rPr>
                <w:rFonts w:ascii="Calibri" w:eastAsia="Times New Roman" w:hAnsi="Calibri" w:cs="Calibri"/>
                <w:color w:val="000000"/>
                <w:sz w:val="16"/>
                <w:szCs w:val="16"/>
                <w:lang w:eastAsia="en-GB"/>
              </w:rPr>
              <w:t xml:space="preserve">Taxation </w:t>
            </w:r>
          </w:p>
        </w:tc>
        <w:tc>
          <w:tcPr>
            <w:tcW w:w="858" w:type="dxa"/>
            <w:noWrap/>
          </w:tcPr>
          <w:p w14:paraId="3C8F734F" w14:textId="77777777" w:rsidR="00CC4100" w:rsidRPr="006D6338" w:rsidRDefault="00CC4100" w:rsidP="00CC4100">
            <w:pPr>
              <w:jc w:val="both"/>
              <w:rPr>
                <w:rFonts w:ascii="Calibri" w:eastAsia="Times New Roman" w:hAnsi="Calibri" w:cs="Calibri"/>
                <w:sz w:val="16"/>
                <w:szCs w:val="16"/>
                <w:lang w:eastAsia="en-GB"/>
              </w:rPr>
            </w:pPr>
          </w:p>
        </w:tc>
        <w:tc>
          <w:tcPr>
            <w:tcW w:w="1729" w:type="dxa"/>
            <w:noWrap/>
            <w:hideMark/>
          </w:tcPr>
          <w:p w14:paraId="66477EA8"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Times New Roman" w:hAnsi="Calibri" w:cs="Calibri"/>
                <w:bCs/>
                <w:color w:val="000000"/>
                <w:sz w:val="16"/>
                <w:szCs w:val="16"/>
                <w:lang w:eastAsia="en-GB"/>
              </w:rPr>
              <w:t xml:space="preserve">                      -   </w:t>
            </w:r>
          </w:p>
        </w:tc>
        <w:tc>
          <w:tcPr>
            <w:tcW w:w="1729" w:type="dxa"/>
            <w:noWrap/>
            <w:hideMark/>
          </w:tcPr>
          <w:p w14:paraId="5FD2CE84"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Times New Roman" w:hAnsi="Calibri" w:cs="Calibri"/>
                <w:bCs/>
                <w:color w:val="000000"/>
                <w:sz w:val="16"/>
                <w:szCs w:val="16"/>
                <w:lang w:eastAsia="en-GB"/>
              </w:rPr>
              <w:t xml:space="preserve">                      -   </w:t>
            </w:r>
          </w:p>
        </w:tc>
        <w:tc>
          <w:tcPr>
            <w:tcW w:w="1729" w:type="dxa"/>
            <w:noWrap/>
            <w:hideMark/>
          </w:tcPr>
          <w:p w14:paraId="354995D7"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Times New Roman" w:hAnsi="Calibri" w:cs="Calibri"/>
                <w:bCs/>
                <w:color w:val="000000"/>
                <w:sz w:val="16"/>
                <w:szCs w:val="16"/>
                <w:lang w:eastAsia="en-GB"/>
              </w:rPr>
              <w:t>-</w:t>
            </w:r>
          </w:p>
        </w:tc>
      </w:tr>
      <w:tr w:rsidR="00CC4100" w:rsidRPr="006D6338" w14:paraId="6448D46C" w14:textId="77777777" w:rsidTr="006D6338">
        <w:trPr>
          <w:trHeight w:val="20"/>
        </w:trPr>
        <w:tc>
          <w:tcPr>
            <w:tcW w:w="4635" w:type="dxa"/>
            <w:noWrap/>
            <w:hideMark/>
          </w:tcPr>
          <w:p w14:paraId="7DB5586A" w14:textId="77777777" w:rsidR="00CC4100" w:rsidRPr="006D6338" w:rsidRDefault="00CC4100" w:rsidP="00CC4100">
            <w:pPr>
              <w:spacing w:line="256" w:lineRule="auto"/>
              <w:rPr>
                <w:rFonts w:ascii="Calibri" w:eastAsia="Calibri" w:hAnsi="Calibri" w:cs="Calibri"/>
                <w:bCs/>
                <w:color w:val="000000"/>
                <w:sz w:val="16"/>
                <w:szCs w:val="16"/>
              </w:rPr>
            </w:pPr>
          </w:p>
        </w:tc>
        <w:tc>
          <w:tcPr>
            <w:tcW w:w="858" w:type="dxa"/>
            <w:noWrap/>
            <w:hideMark/>
          </w:tcPr>
          <w:p w14:paraId="310DCBE0"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7953237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05849D4C"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4B9312E6"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586820A2" w14:textId="77777777" w:rsidTr="006D6338">
        <w:trPr>
          <w:trHeight w:val="20"/>
        </w:trPr>
        <w:tc>
          <w:tcPr>
            <w:tcW w:w="4635" w:type="dxa"/>
            <w:noWrap/>
            <w:hideMark/>
          </w:tcPr>
          <w:p w14:paraId="590A2F64"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Loss for the financial period</w:t>
            </w:r>
          </w:p>
        </w:tc>
        <w:tc>
          <w:tcPr>
            <w:tcW w:w="858" w:type="dxa"/>
            <w:noWrap/>
            <w:hideMark/>
          </w:tcPr>
          <w:p w14:paraId="76C8E857"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148649B8"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(647,532)</w:t>
            </w:r>
          </w:p>
        </w:tc>
        <w:tc>
          <w:tcPr>
            <w:tcW w:w="1729" w:type="dxa"/>
            <w:noWrap/>
            <w:hideMark/>
          </w:tcPr>
          <w:p w14:paraId="7EC6D1E9"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(375,019)</w:t>
            </w:r>
          </w:p>
        </w:tc>
        <w:tc>
          <w:tcPr>
            <w:tcW w:w="1729" w:type="dxa"/>
            <w:noWrap/>
            <w:hideMark/>
          </w:tcPr>
          <w:p w14:paraId="2C6FCF15"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(553,499)</w:t>
            </w:r>
          </w:p>
        </w:tc>
      </w:tr>
      <w:tr w:rsidR="00CC4100" w:rsidRPr="006D6338" w14:paraId="620ED134" w14:textId="77777777" w:rsidTr="006D6338">
        <w:trPr>
          <w:trHeight w:val="20"/>
        </w:trPr>
        <w:tc>
          <w:tcPr>
            <w:tcW w:w="4635" w:type="dxa"/>
            <w:noWrap/>
            <w:hideMark/>
          </w:tcPr>
          <w:p w14:paraId="2DB8D60C"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Other comprehensive income/(loss):</w:t>
            </w:r>
          </w:p>
        </w:tc>
        <w:tc>
          <w:tcPr>
            <w:tcW w:w="858" w:type="dxa"/>
            <w:noWrap/>
            <w:hideMark/>
          </w:tcPr>
          <w:p w14:paraId="26F8531E"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729" w:type="dxa"/>
            <w:noWrap/>
            <w:hideMark/>
          </w:tcPr>
          <w:p w14:paraId="1F9967B0"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5B2B90D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31609A5E"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2C79D78F" w14:textId="77777777" w:rsidTr="006D6338">
        <w:trPr>
          <w:trHeight w:val="20"/>
        </w:trPr>
        <w:tc>
          <w:tcPr>
            <w:tcW w:w="4635" w:type="dxa"/>
            <w:noWrap/>
            <w:hideMark/>
          </w:tcPr>
          <w:p w14:paraId="6D7C958C"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val="en-IE" w:eastAsia="en-GB"/>
              </w:rPr>
              <w:t xml:space="preserve">Foreign currency translation of foreign subsidiaries </w:t>
            </w:r>
          </w:p>
        </w:tc>
        <w:tc>
          <w:tcPr>
            <w:tcW w:w="858" w:type="dxa"/>
            <w:noWrap/>
            <w:hideMark/>
          </w:tcPr>
          <w:p w14:paraId="5F821E02"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1DC62033"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(120,487)</w:t>
            </w:r>
          </w:p>
        </w:tc>
        <w:tc>
          <w:tcPr>
            <w:tcW w:w="1729" w:type="dxa"/>
            <w:noWrap/>
            <w:hideMark/>
          </w:tcPr>
          <w:p w14:paraId="54CE0677"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(101,673)</w:t>
            </w:r>
          </w:p>
        </w:tc>
        <w:tc>
          <w:tcPr>
            <w:tcW w:w="1729" w:type="dxa"/>
            <w:noWrap/>
            <w:hideMark/>
          </w:tcPr>
          <w:p w14:paraId="7EDAD712" w14:textId="77777777" w:rsidR="00CC4100" w:rsidRPr="006D6338" w:rsidRDefault="00CC4100" w:rsidP="00CC4100">
            <w:pPr>
              <w:jc w:val="right"/>
              <w:rPr>
                <w:rFonts w:ascii="Calibri" w:eastAsia="Times New Roman" w:hAnsi="Calibri" w:cs="Calibri"/>
                <w:bCs/>
                <w:sz w:val="16"/>
                <w:szCs w:val="16"/>
                <w:lang w:eastAsia="en-GB"/>
              </w:rPr>
            </w:pPr>
            <w:r w:rsidRPr="006D6338">
              <w:rPr>
                <w:rFonts w:ascii="Calibri" w:eastAsia="Calibri" w:hAnsi="Calibri" w:cs="Calibri"/>
                <w:bCs/>
                <w:color w:val="000000"/>
                <w:sz w:val="16"/>
                <w:szCs w:val="16"/>
              </w:rPr>
              <w:t>(70,997)</w:t>
            </w:r>
          </w:p>
        </w:tc>
      </w:tr>
      <w:tr w:rsidR="00CC4100" w:rsidRPr="006D6338" w14:paraId="4236D409" w14:textId="77777777" w:rsidTr="006D6338">
        <w:trPr>
          <w:trHeight w:val="20"/>
        </w:trPr>
        <w:tc>
          <w:tcPr>
            <w:tcW w:w="4635" w:type="dxa"/>
            <w:noWrap/>
            <w:hideMark/>
          </w:tcPr>
          <w:p w14:paraId="594F52C1"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Fair value gain on financial investments</w:t>
            </w:r>
          </w:p>
        </w:tc>
        <w:tc>
          <w:tcPr>
            <w:tcW w:w="858" w:type="dxa"/>
            <w:noWrap/>
          </w:tcPr>
          <w:p w14:paraId="53268CBB" w14:textId="77777777" w:rsidR="00CC4100" w:rsidRPr="006D6338" w:rsidRDefault="00CC4100" w:rsidP="00CC4100">
            <w:pPr>
              <w:jc w:val="center"/>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3</w:t>
            </w:r>
          </w:p>
        </w:tc>
        <w:tc>
          <w:tcPr>
            <w:tcW w:w="1729" w:type="dxa"/>
            <w:noWrap/>
            <w:hideMark/>
          </w:tcPr>
          <w:p w14:paraId="08F1BAE1"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7,990</w:t>
            </w:r>
          </w:p>
        </w:tc>
        <w:tc>
          <w:tcPr>
            <w:tcW w:w="1729" w:type="dxa"/>
            <w:noWrap/>
            <w:hideMark/>
          </w:tcPr>
          <w:p w14:paraId="3C9AEE27"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29,056</w:t>
            </w:r>
          </w:p>
        </w:tc>
        <w:tc>
          <w:tcPr>
            <w:tcW w:w="1729" w:type="dxa"/>
            <w:noWrap/>
            <w:hideMark/>
          </w:tcPr>
          <w:p w14:paraId="1EAF32A6" w14:textId="77777777" w:rsidR="00CC4100" w:rsidRPr="006D6338" w:rsidRDefault="00CC4100" w:rsidP="00CC4100">
            <w:pPr>
              <w:jc w:val="right"/>
              <w:rPr>
                <w:rFonts w:ascii="Calibri" w:eastAsia="Calibri" w:hAnsi="Calibri" w:cs="Calibri"/>
                <w:bCs/>
                <w:color w:val="000000"/>
                <w:sz w:val="16"/>
                <w:szCs w:val="16"/>
              </w:rPr>
            </w:pPr>
            <w:r w:rsidRPr="006D6338">
              <w:rPr>
                <w:rFonts w:ascii="Calibri" w:eastAsia="Calibri" w:hAnsi="Calibri" w:cs="Calibri"/>
                <w:bCs/>
                <w:color w:val="000000"/>
                <w:sz w:val="16"/>
                <w:szCs w:val="16"/>
              </w:rPr>
              <w:t>736,499</w:t>
            </w:r>
          </w:p>
        </w:tc>
      </w:tr>
      <w:tr w:rsidR="00CC4100" w:rsidRPr="006D6338" w14:paraId="6158FEA6" w14:textId="77777777" w:rsidTr="006D6338">
        <w:trPr>
          <w:trHeight w:val="20"/>
        </w:trPr>
        <w:tc>
          <w:tcPr>
            <w:tcW w:w="4635" w:type="dxa"/>
            <w:noWrap/>
          </w:tcPr>
          <w:p w14:paraId="4C712CEB" w14:textId="77777777" w:rsidR="00CC4100" w:rsidRPr="006D6338" w:rsidRDefault="00CC4100" w:rsidP="00CC4100">
            <w:pPr>
              <w:jc w:val="both"/>
              <w:rPr>
                <w:rFonts w:ascii="Calibri" w:eastAsia="Times New Roman" w:hAnsi="Calibri" w:cs="Calibri"/>
                <w:color w:val="000000"/>
                <w:sz w:val="16"/>
                <w:szCs w:val="16"/>
                <w:lang w:eastAsia="en-GB"/>
              </w:rPr>
            </w:pPr>
          </w:p>
        </w:tc>
        <w:tc>
          <w:tcPr>
            <w:tcW w:w="858" w:type="dxa"/>
            <w:noWrap/>
          </w:tcPr>
          <w:p w14:paraId="2CD5106F" w14:textId="77777777" w:rsidR="00CC4100" w:rsidRPr="006D6338" w:rsidRDefault="00CC4100" w:rsidP="00CC4100">
            <w:pPr>
              <w:jc w:val="both"/>
              <w:rPr>
                <w:rFonts w:ascii="Calibri" w:eastAsia="Times New Roman" w:hAnsi="Calibri" w:cs="Calibri"/>
                <w:sz w:val="16"/>
                <w:szCs w:val="16"/>
                <w:lang w:eastAsia="en-GB"/>
              </w:rPr>
            </w:pPr>
          </w:p>
        </w:tc>
        <w:tc>
          <w:tcPr>
            <w:tcW w:w="1729" w:type="dxa"/>
            <w:noWrap/>
            <w:hideMark/>
          </w:tcPr>
          <w:p w14:paraId="04E43CBB" w14:textId="77777777" w:rsidR="00CC4100" w:rsidRPr="006D6338" w:rsidRDefault="00CC4100" w:rsidP="00CC4100">
            <w:pPr>
              <w:jc w:val="right"/>
              <w:rPr>
                <w:rFonts w:ascii="Calibri" w:eastAsia="Calibri" w:hAnsi="Calibri" w:cs="Calibri"/>
                <w:b/>
                <w:color w:val="000000"/>
                <w:sz w:val="16"/>
                <w:szCs w:val="16"/>
              </w:rPr>
            </w:pPr>
            <w:r w:rsidRPr="006D6338">
              <w:rPr>
                <w:rFonts w:ascii="Calibri" w:eastAsia="Calibri" w:hAnsi="Calibri" w:cs="Calibri"/>
                <w:b/>
                <w:color w:val="000000"/>
                <w:sz w:val="16"/>
                <w:szCs w:val="16"/>
              </w:rPr>
              <w:t>(112,497)</w:t>
            </w:r>
          </w:p>
        </w:tc>
        <w:tc>
          <w:tcPr>
            <w:tcW w:w="1729" w:type="dxa"/>
            <w:noWrap/>
            <w:hideMark/>
          </w:tcPr>
          <w:p w14:paraId="42FA9392" w14:textId="77777777" w:rsidR="00CC4100" w:rsidRPr="006D6338" w:rsidRDefault="00CC4100" w:rsidP="00CC4100">
            <w:pPr>
              <w:jc w:val="right"/>
              <w:rPr>
                <w:rFonts w:ascii="Calibri" w:eastAsia="Calibri" w:hAnsi="Calibri" w:cs="Calibri"/>
                <w:b/>
                <w:color w:val="000000"/>
                <w:sz w:val="16"/>
                <w:szCs w:val="16"/>
              </w:rPr>
            </w:pPr>
            <w:r w:rsidRPr="006D6338">
              <w:rPr>
                <w:rFonts w:ascii="Calibri" w:eastAsia="Calibri" w:hAnsi="Calibri" w:cs="Calibri"/>
                <w:b/>
                <w:color w:val="000000"/>
                <w:sz w:val="16"/>
                <w:szCs w:val="16"/>
              </w:rPr>
              <w:t>(72,617)</w:t>
            </w:r>
          </w:p>
        </w:tc>
        <w:tc>
          <w:tcPr>
            <w:tcW w:w="1729" w:type="dxa"/>
            <w:noWrap/>
            <w:hideMark/>
          </w:tcPr>
          <w:p w14:paraId="21FC2660" w14:textId="77777777" w:rsidR="00CC4100" w:rsidRPr="006D6338" w:rsidRDefault="00CC4100" w:rsidP="00CC4100">
            <w:pPr>
              <w:jc w:val="right"/>
              <w:rPr>
                <w:rFonts w:ascii="Calibri" w:eastAsia="Calibri" w:hAnsi="Calibri" w:cs="Calibri"/>
                <w:b/>
                <w:color w:val="000000"/>
                <w:sz w:val="16"/>
                <w:szCs w:val="16"/>
              </w:rPr>
            </w:pPr>
            <w:r w:rsidRPr="006D6338">
              <w:rPr>
                <w:rFonts w:ascii="Calibri" w:eastAsia="Calibri" w:hAnsi="Calibri" w:cs="Calibri"/>
                <w:b/>
                <w:color w:val="000000"/>
                <w:sz w:val="16"/>
                <w:szCs w:val="16"/>
              </w:rPr>
              <w:t>665,502</w:t>
            </w:r>
          </w:p>
        </w:tc>
      </w:tr>
      <w:tr w:rsidR="00CC4100" w:rsidRPr="006D6338" w14:paraId="033FEB41" w14:textId="77777777" w:rsidTr="006D6338">
        <w:trPr>
          <w:trHeight w:val="20"/>
        </w:trPr>
        <w:tc>
          <w:tcPr>
            <w:tcW w:w="4635" w:type="dxa"/>
            <w:noWrap/>
            <w:hideMark/>
          </w:tcPr>
          <w:p w14:paraId="2E2E14FA" w14:textId="77777777" w:rsidR="00CC4100" w:rsidRPr="006D6338" w:rsidRDefault="00CC4100" w:rsidP="00CC4100">
            <w:pPr>
              <w:spacing w:line="256" w:lineRule="auto"/>
              <w:rPr>
                <w:rFonts w:ascii="Calibri" w:eastAsia="Calibri" w:hAnsi="Calibri" w:cs="Calibri"/>
                <w:b/>
                <w:color w:val="000000"/>
                <w:sz w:val="16"/>
                <w:szCs w:val="16"/>
              </w:rPr>
            </w:pPr>
          </w:p>
        </w:tc>
        <w:tc>
          <w:tcPr>
            <w:tcW w:w="858" w:type="dxa"/>
            <w:noWrap/>
            <w:hideMark/>
          </w:tcPr>
          <w:p w14:paraId="38E77929"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231FF888"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1C8E3CB2" w14:textId="77777777" w:rsidR="00CC4100" w:rsidRPr="006D6338" w:rsidRDefault="00CC4100" w:rsidP="00CC4100">
            <w:pPr>
              <w:spacing w:line="256" w:lineRule="auto"/>
              <w:rPr>
                <w:rFonts w:ascii="Calibri" w:eastAsia="Calibri" w:hAnsi="Calibri" w:cs="Calibri"/>
                <w:sz w:val="20"/>
                <w:szCs w:val="20"/>
                <w:lang w:eastAsia="en-GB"/>
              </w:rPr>
            </w:pPr>
          </w:p>
        </w:tc>
        <w:tc>
          <w:tcPr>
            <w:tcW w:w="1729" w:type="dxa"/>
            <w:noWrap/>
            <w:hideMark/>
          </w:tcPr>
          <w:p w14:paraId="17BB307D"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5AFB4426" w14:textId="77777777" w:rsidTr="006D6338">
        <w:trPr>
          <w:trHeight w:val="20"/>
        </w:trPr>
        <w:tc>
          <w:tcPr>
            <w:tcW w:w="4635" w:type="dxa"/>
            <w:noWrap/>
            <w:hideMark/>
          </w:tcPr>
          <w:p w14:paraId="4630C6CC" w14:textId="5E6A8E55" w:rsidR="00CC4100" w:rsidRPr="006D6338" w:rsidRDefault="00CC4100" w:rsidP="00CC4100">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Total comprehensive (loss) for the financial period</w:t>
            </w:r>
          </w:p>
        </w:tc>
        <w:tc>
          <w:tcPr>
            <w:tcW w:w="858" w:type="dxa"/>
            <w:noWrap/>
            <w:hideMark/>
          </w:tcPr>
          <w:p w14:paraId="58476411"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729" w:type="dxa"/>
            <w:noWrap/>
            <w:hideMark/>
          </w:tcPr>
          <w:p w14:paraId="45D6B67E"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(760,029)</w:t>
            </w:r>
          </w:p>
        </w:tc>
        <w:tc>
          <w:tcPr>
            <w:tcW w:w="1729" w:type="dxa"/>
            <w:noWrap/>
            <w:hideMark/>
          </w:tcPr>
          <w:p w14:paraId="5923E334"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(447,636)</w:t>
            </w:r>
          </w:p>
        </w:tc>
        <w:tc>
          <w:tcPr>
            <w:tcW w:w="1729" w:type="dxa"/>
            <w:noWrap/>
            <w:hideMark/>
          </w:tcPr>
          <w:p w14:paraId="50D01D27" w14:textId="77777777" w:rsidR="00CC4100" w:rsidRPr="006D6338" w:rsidRDefault="00CC4100" w:rsidP="00CC4100">
            <w:pPr>
              <w:jc w:val="right"/>
              <w:rPr>
                <w:rFonts w:ascii="Calibri" w:eastAsia="Times New Roman" w:hAnsi="Calibri" w:cs="Calibri"/>
                <w:b/>
                <w:bCs/>
                <w:sz w:val="16"/>
                <w:szCs w:val="16"/>
                <w:lang w:eastAsia="en-GB"/>
              </w:rPr>
            </w:pPr>
            <w:r w:rsidRPr="006D6338">
              <w:rPr>
                <w:rFonts w:ascii="Calibri" w:eastAsia="Calibri" w:hAnsi="Calibri" w:cs="Calibri"/>
                <w:b/>
                <w:bCs/>
                <w:color w:val="000000"/>
                <w:sz w:val="16"/>
                <w:szCs w:val="16"/>
              </w:rPr>
              <w:t>112,003</w:t>
            </w:r>
          </w:p>
        </w:tc>
      </w:tr>
    </w:tbl>
    <w:p w14:paraId="74723D9E" w14:textId="77777777" w:rsidR="00CC4100" w:rsidRPr="006D6338" w:rsidRDefault="00CC4100" w:rsidP="00CC4100">
      <w:pPr>
        <w:spacing w:line="256" w:lineRule="auto"/>
        <w:rPr>
          <w:rFonts w:ascii="Calibri" w:eastAsia="Calibri" w:hAnsi="Calibri" w:cs="Calibri"/>
          <w:sz w:val="16"/>
          <w:szCs w:val="16"/>
        </w:rPr>
      </w:pPr>
    </w:p>
    <w:tbl>
      <w:tblPr>
        <w:tblpPr w:leftFromText="180" w:rightFromText="180" w:bottomFromText="160" w:vertAnchor="text" w:tblpY="1"/>
        <w:tblOverlap w:val="never"/>
        <w:tblW w:w="10680" w:type="dxa"/>
        <w:tblLayout w:type="fixed"/>
        <w:tblLook w:val="04A0" w:firstRow="1" w:lastRow="0" w:firstColumn="1" w:lastColumn="0" w:noHBand="0" w:noVBand="1"/>
      </w:tblPr>
      <w:tblGrid>
        <w:gridCol w:w="4635"/>
        <w:gridCol w:w="858"/>
        <w:gridCol w:w="1729"/>
        <w:gridCol w:w="1729"/>
        <w:gridCol w:w="1729"/>
      </w:tblGrid>
      <w:tr w:rsidR="00CC4100" w:rsidRPr="006D6338" w14:paraId="463256EC" w14:textId="77777777" w:rsidTr="006D6338">
        <w:trPr>
          <w:trHeight w:val="283"/>
        </w:trPr>
        <w:tc>
          <w:tcPr>
            <w:tcW w:w="4635" w:type="dxa"/>
            <w:noWrap/>
            <w:vAlign w:val="bottom"/>
          </w:tcPr>
          <w:p w14:paraId="5DB2D21B" w14:textId="77777777" w:rsidR="00CC4100" w:rsidRPr="006D6338" w:rsidRDefault="00CC4100" w:rsidP="00CC4100">
            <w:pPr>
              <w:spacing w:line="256" w:lineRule="auto"/>
              <w:rPr>
                <w:rFonts w:ascii="Calibri" w:eastAsia="Calibri" w:hAnsi="Calibri" w:cs="Calibri"/>
                <w:sz w:val="16"/>
                <w:szCs w:val="16"/>
              </w:rPr>
            </w:pPr>
          </w:p>
          <w:p w14:paraId="30332B74"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b/>
                <w:bCs/>
                <w:sz w:val="16"/>
                <w:szCs w:val="16"/>
              </w:rPr>
              <w:t xml:space="preserve">Earnings per share </w:t>
            </w:r>
          </w:p>
        </w:tc>
        <w:tc>
          <w:tcPr>
            <w:tcW w:w="858" w:type="dxa"/>
            <w:noWrap/>
            <w:vAlign w:val="bottom"/>
          </w:tcPr>
          <w:p w14:paraId="3616CC38" w14:textId="77777777" w:rsidR="00CC4100" w:rsidRPr="006D6338" w:rsidRDefault="00CC4100" w:rsidP="00CC4100">
            <w:pPr>
              <w:spacing w:line="256" w:lineRule="auto"/>
              <w:jc w:val="center"/>
              <w:rPr>
                <w:rFonts w:ascii="Calibri" w:eastAsia="Calibri" w:hAnsi="Calibri" w:cs="Calibri"/>
                <w:b/>
                <w:bCs/>
                <w:sz w:val="16"/>
                <w:szCs w:val="16"/>
              </w:rPr>
            </w:pPr>
          </w:p>
        </w:tc>
        <w:tc>
          <w:tcPr>
            <w:tcW w:w="1729" w:type="dxa"/>
            <w:noWrap/>
            <w:vAlign w:val="bottom"/>
          </w:tcPr>
          <w:p w14:paraId="23A55A56" w14:textId="77777777" w:rsidR="00CC4100" w:rsidRPr="006D6338" w:rsidRDefault="00CC4100" w:rsidP="00CC4100">
            <w:pPr>
              <w:spacing w:line="256" w:lineRule="auto"/>
              <w:jc w:val="right"/>
              <w:rPr>
                <w:rFonts w:ascii="Calibri" w:eastAsia="Calibri" w:hAnsi="Calibri" w:cs="Calibri"/>
                <w:bCs/>
                <w:sz w:val="16"/>
                <w:szCs w:val="16"/>
              </w:rPr>
            </w:pPr>
          </w:p>
        </w:tc>
        <w:tc>
          <w:tcPr>
            <w:tcW w:w="1729" w:type="dxa"/>
            <w:noWrap/>
            <w:vAlign w:val="bottom"/>
          </w:tcPr>
          <w:p w14:paraId="19874E7D" w14:textId="77777777" w:rsidR="00CC4100" w:rsidRPr="006D6338" w:rsidRDefault="00CC4100" w:rsidP="00CC4100">
            <w:pPr>
              <w:spacing w:line="256" w:lineRule="auto"/>
              <w:jc w:val="right"/>
              <w:rPr>
                <w:rFonts w:ascii="Calibri" w:eastAsia="Calibri" w:hAnsi="Calibri" w:cs="Calibri"/>
                <w:bCs/>
                <w:sz w:val="16"/>
                <w:szCs w:val="16"/>
              </w:rPr>
            </w:pPr>
          </w:p>
        </w:tc>
        <w:tc>
          <w:tcPr>
            <w:tcW w:w="1729" w:type="dxa"/>
            <w:noWrap/>
            <w:vAlign w:val="bottom"/>
          </w:tcPr>
          <w:p w14:paraId="76DAE28E" w14:textId="77777777" w:rsidR="00CC4100" w:rsidRPr="006D6338" w:rsidRDefault="00CC4100" w:rsidP="00CC4100">
            <w:pPr>
              <w:spacing w:line="256" w:lineRule="auto"/>
              <w:jc w:val="right"/>
              <w:rPr>
                <w:rFonts w:ascii="Calibri" w:eastAsia="Calibri" w:hAnsi="Calibri" w:cs="Calibri"/>
                <w:bCs/>
                <w:sz w:val="16"/>
                <w:szCs w:val="16"/>
              </w:rPr>
            </w:pPr>
          </w:p>
        </w:tc>
      </w:tr>
      <w:tr w:rsidR="00CC4100" w:rsidRPr="006D6338" w14:paraId="0563DE95" w14:textId="77777777" w:rsidTr="006D6338">
        <w:trPr>
          <w:trHeight w:val="283"/>
        </w:trPr>
        <w:tc>
          <w:tcPr>
            <w:tcW w:w="4635" w:type="dxa"/>
            <w:noWrap/>
            <w:vAlign w:val="bottom"/>
          </w:tcPr>
          <w:p w14:paraId="143D86CF"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Basic and diluted loss per share (pence per share)</w:t>
            </w:r>
          </w:p>
        </w:tc>
        <w:tc>
          <w:tcPr>
            <w:tcW w:w="858" w:type="dxa"/>
            <w:noWrap/>
            <w:vAlign w:val="bottom"/>
          </w:tcPr>
          <w:p w14:paraId="17697C55" w14:textId="77777777" w:rsidR="00CC4100" w:rsidRPr="006D6338" w:rsidRDefault="00CC4100" w:rsidP="00CC4100">
            <w:pPr>
              <w:spacing w:line="256" w:lineRule="auto"/>
              <w:jc w:val="center"/>
              <w:rPr>
                <w:rFonts w:ascii="Calibri" w:eastAsia="Calibri" w:hAnsi="Calibri" w:cs="Calibri"/>
                <w:b/>
                <w:bCs/>
                <w:sz w:val="16"/>
                <w:szCs w:val="16"/>
              </w:rPr>
            </w:pPr>
            <w:r w:rsidRPr="006D6338">
              <w:rPr>
                <w:rFonts w:ascii="Calibri" w:eastAsia="Calibri" w:hAnsi="Calibri" w:cs="Calibri"/>
                <w:b/>
                <w:bCs/>
                <w:sz w:val="16"/>
                <w:szCs w:val="16"/>
              </w:rPr>
              <w:t>11</w:t>
            </w:r>
          </w:p>
        </w:tc>
        <w:tc>
          <w:tcPr>
            <w:tcW w:w="1729" w:type="dxa"/>
            <w:noWrap/>
            <w:vAlign w:val="bottom"/>
          </w:tcPr>
          <w:p w14:paraId="44D38725" w14:textId="77777777" w:rsidR="00CC4100" w:rsidRPr="006D6338" w:rsidRDefault="00CC4100" w:rsidP="00CC4100">
            <w:pPr>
              <w:spacing w:line="256" w:lineRule="auto"/>
              <w:jc w:val="right"/>
              <w:rPr>
                <w:rFonts w:ascii="Calibri" w:eastAsia="Calibri" w:hAnsi="Calibri" w:cs="Calibri"/>
                <w:bCs/>
                <w:sz w:val="16"/>
                <w:szCs w:val="16"/>
              </w:rPr>
            </w:pPr>
            <w:r w:rsidRPr="006D6338">
              <w:rPr>
                <w:rFonts w:ascii="Calibri" w:eastAsia="Calibri" w:hAnsi="Calibri" w:cs="Calibri"/>
                <w:bCs/>
                <w:sz w:val="16"/>
                <w:szCs w:val="16"/>
              </w:rPr>
              <w:t>(0.449)</w:t>
            </w:r>
          </w:p>
        </w:tc>
        <w:tc>
          <w:tcPr>
            <w:tcW w:w="1729" w:type="dxa"/>
            <w:noWrap/>
            <w:vAlign w:val="bottom"/>
          </w:tcPr>
          <w:p w14:paraId="01F46E1D" w14:textId="77777777" w:rsidR="00CC4100" w:rsidRPr="006D6338" w:rsidRDefault="00CC4100" w:rsidP="00CC4100">
            <w:pPr>
              <w:spacing w:line="256" w:lineRule="auto"/>
              <w:jc w:val="right"/>
              <w:rPr>
                <w:rFonts w:ascii="Calibri" w:eastAsia="Calibri" w:hAnsi="Calibri" w:cs="Calibri"/>
                <w:bCs/>
                <w:sz w:val="16"/>
                <w:szCs w:val="16"/>
              </w:rPr>
            </w:pPr>
            <w:r w:rsidRPr="006D6338">
              <w:rPr>
                <w:rFonts w:ascii="Calibri" w:eastAsia="Calibri" w:hAnsi="Calibri" w:cs="Calibri"/>
                <w:bCs/>
                <w:sz w:val="16"/>
                <w:szCs w:val="16"/>
              </w:rPr>
              <w:t>(0.602)</w:t>
            </w:r>
          </w:p>
        </w:tc>
        <w:tc>
          <w:tcPr>
            <w:tcW w:w="1729" w:type="dxa"/>
            <w:noWrap/>
            <w:vAlign w:val="bottom"/>
          </w:tcPr>
          <w:p w14:paraId="1930EF95" w14:textId="77777777" w:rsidR="00CC4100" w:rsidRPr="006D6338" w:rsidRDefault="00CC4100" w:rsidP="00CC4100">
            <w:pPr>
              <w:spacing w:line="256" w:lineRule="auto"/>
              <w:jc w:val="right"/>
              <w:rPr>
                <w:rFonts w:ascii="Calibri" w:eastAsia="Calibri" w:hAnsi="Calibri" w:cs="Calibri"/>
                <w:bCs/>
                <w:sz w:val="16"/>
                <w:szCs w:val="16"/>
              </w:rPr>
            </w:pPr>
            <w:r w:rsidRPr="006D6338">
              <w:rPr>
                <w:rFonts w:ascii="Calibri" w:eastAsia="Calibri" w:hAnsi="Calibri" w:cs="Calibri"/>
                <w:bCs/>
                <w:sz w:val="16"/>
                <w:szCs w:val="16"/>
              </w:rPr>
              <w:t>(0.658)</w:t>
            </w:r>
          </w:p>
        </w:tc>
      </w:tr>
    </w:tbl>
    <w:p w14:paraId="635EAE21"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br w:type="page"/>
      </w:r>
    </w:p>
    <w:tbl>
      <w:tblPr>
        <w:tblpPr w:leftFromText="181" w:rightFromText="181" w:vertAnchor="text" w:horzAnchor="margin" w:tblpY="-9"/>
        <w:tblOverlap w:val="never"/>
        <w:tblW w:w="10644" w:type="dxa"/>
        <w:tblLayout w:type="fixed"/>
        <w:tblLook w:val="04A0" w:firstRow="1" w:lastRow="0" w:firstColumn="1" w:lastColumn="0" w:noHBand="0" w:noVBand="1"/>
      </w:tblPr>
      <w:tblGrid>
        <w:gridCol w:w="4609"/>
        <w:gridCol w:w="799"/>
        <w:gridCol w:w="1825"/>
        <w:gridCol w:w="1694"/>
        <w:gridCol w:w="1700"/>
        <w:gridCol w:w="17"/>
      </w:tblGrid>
      <w:tr w:rsidR="00CC4100" w:rsidRPr="006D6338" w14:paraId="0D9FC7C2" w14:textId="77777777" w:rsidTr="006D6338">
        <w:trPr>
          <w:gridAfter w:val="1"/>
          <w:wAfter w:w="17" w:type="dxa"/>
          <w:trHeight w:val="20"/>
        </w:trPr>
        <w:tc>
          <w:tcPr>
            <w:tcW w:w="8927" w:type="dxa"/>
            <w:gridSpan w:val="4"/>
            <w:noWrap/>
            <w:vAlign w:val="center"/>
            <w:hideMark/>
          </w:tcPr>
          <w:p w14:paraId="01A277FF"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Consolidated Statement of Financial Position</w:t>
            </w:r>
          </w:p>
        </w:tc>
        <w:tc>
          <w:tcPr>
            <w:tcW w:w="1700" w:type="dxa"/>
            <w:noWrap/>
            <w:vAlign w:val="center"/>
            <w:hideMark/>
          </w:tcPr>
          <w:p w14:paraId="50E21DD8"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r>
      <w:tr w:rsidR="00CC4100" w:rsidRPr="006D6338" w14:paraId="4D9EA301" w14:textId="77777777" w:rsidTr="006D6338">
        <w:trPr>
          <w:trHeight w:val="20"/>
        </w:trPr>
        <w:tc>
          <w:tcPr>
            <w:tcW w:w="4609" w:type="dxa"/>
            <w:noWrap/>
            <w:vAlign w:val="center"/>
            <w:hideMark/>
          </w:tcPr>
          <w:p w14:paraId="45BF05B7"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as at 30 June 2026</w:t>
            </w:r>
          </w:p>
        </w:tc>
        <w:tc>
          <w:tcPr>
            <w:tcW w:w="799" w:type="dxa"/>
            <w:noWrap/>
            <w:vAlign w:val="center"/>
            <w:hideMark/>
          </w:tcPr>
          <w:p w14:paraId="4C4B05B6"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7526F4D9"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728C31F3"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0765208E"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6434BD2E" w14:textId="77777777" w:rsidTr="006D6338">
        <w:trPr>
          <w:trHeight w:val="20"/>
        </w:trPr>
        <w:tc>
          <w:tcPr>
            <w:tcW w:w="4609" w:type="dxa"/>
            <w:noWrap/>
            <w:vAlign w:val="center"/>
            <w:hideMark/>
          </w:tcPr>
          <w:p w14:paraId="59E038C6" w14:textId="77777777" w:rsidR="00CC4100" w:rsidRPr="006D6338" w:rsidRDefault="00CC4100" w:rsidP="00CC4100">
            <w:pPr>
              <w:spacing w:line="256" w:lineRule="auto"/>
              <w:rPr>
                <w:rFonts w:ascii="Calibri" w:eastAsia="Calibri" w:hAnsi="Calibri" w:cs="Calibri"/>
                <w:sz w:val="20"/>
                <w:szCs w:val="20"/>
                <w:lang w:eastAsia="en-GB"/>
              </w:rPr>
            </w:pPr>
          </w:p>
        </w:tc>
        <w:tc>
          <w:tcPr>
            <w:tcW w:w="799" w:type="dxa"/>
            <w:noWrap/>
            <w:vAlign w:val="center"/>
            <w:hideMark/>
          </w:tcPr>
          <w:p w14:paraId="09EEF4DA"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2F33F868"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1694" w:type="dxa"/>
            <w:noWrap/>
            <w:vAlign w:val="center"/>
            <w:hideMark/>
          </w:tcPr>
          <w:p w14:paraId="77CD83DF"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1717" w:type="dxa"/>
            <w:gridSpan w:val="2"/>
            <w:noWrap/>
            <w:vAlign w:val="center"/>
            <w:hideMark/>
          </w:tcPr>
          <w:p w14:paraId="2248F6E7"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Audited </w:t>
            </w:r>
          </w:p>
        </w:tc>
      </w:tr>
      <w:tr w:rsidR="00CC4100" w:rsidRPr="006D6338" w14:paraId="579691B7" w14:textId="77777777" w:rsidTr="006D6338">
        <w:trPr>
          <w:trHeight w:val="20"/>
        </w:trPr>
        <w:tc>
          <w:tcPr>
            <w:tcW w:w="4609" w:type="dxa"/>
            <w:noWrap/>
            <w:vAlign w:val="center"/>
            <w:hideMark/>
          </w:tcPr>
          <w:p w14:paraId="564A6F91" w14:textId="77777777" w:rsidR="00CC4100" w:rsidRPr="006D6338" w:rsidRDefault="00CC4100" w:rsidP="00CC4100">
            <w:pPr>
              <w:spacing w:line="256" w:lineRule="auto"/>
              <w:rPr>
                <w:rFonts w:ascii="Calibri" w:eastAsia="Times New Roman" w:hAnsi="Calibri" w:cs="Calibri"/>
                <w:b/>
                <w:bCs/>
                <w:i/>
                <w:iCs/>
                <w:color w:val="000000"/>
                <w:sz w:val="16"/>
                <w:szCs w:val="16"/>
                <w:lang w:eastAsia="en-GB"/>
              </w:rPr>
            </w:pPr>
          </w:p>
        </w:tc>
        <w:tc>
          <w:tcPr>
            <w:tcW w:w="799" w:type="dxa"/>
            <w:noWrap/>
            <w:vAlign w:val="center"/>
            <w:hideMark/>
          </w:tcPr>
          <w:p w14:paraId="00A6F010" w14:textId="77777777" w:rsidR="00CC4100" w:rsidRPr="006D6338" w:rsidRDefault="00CC4100" w:rsidP="00CC4100">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Notes</w:t>
            </w:r>
          </w:p>
        </w:tc>
        <w:tc>
          <w:tcPr>
            <w:tcW w:w="1825" w:type="dxa"/>
            <w:noWrap/>
            <w:vAlign w:val="center"/>
            <w:hideMark/>
          </w:tcPr>
          <w:p w14:paraId="1F5435E2"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'26 </w:t>
            </w:r>
          </w:p>
        </w:tc>
        <w:tc>
          <w:tcPr>
            <w:tcW w:w="1694" w:type="dxa"/>
            <w:noWrap/>
            <w:vAlign w:val="center"/>
            <w:hideMark/>
          </w:tcPr>
          <w:p w14:paraId="7CA3EF0C"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'25</w:t>
            </w:r>
          </w:p>
        </w:tc>
        <w:tc>
          <w:tcPr>
            <w:tcW w:w="1717" w:type="dxa"/>
            <w:gridSpan w:val="2"/>
            <w:noWrap/>
            <w:vAlign w:val="center"/>
            <w:hideMark/>
          </w:tcPr>
          <w:p w14:paraId="3816A3CC"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31 Dec '25</w:t>
            </w:r>
          </w:p>
        </w:tc>
      </w:tr>
      <w:tr w:rsidR="00CC4100" w:rsidRPr="006D6338" w14:paraId="558B9E52" w14:textId="77777777" w:rsidTr="006D6338">
        <w:trPr>
          <w:trHeight w:val="20"/>
        </w:trPr>
        <w:tc>
          <w:tcPr>
            <w:tcW w:w="4609" w:type="dxa"/>
            <w:noWrap/>
            <w:vAlign w:val="center"/>
            <w:hideMark/>
          </w:tcPr>
          <w:p w14:paraId="4660F3B2"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Assets</w:t>
            </w:r>
          </w:p>
        </w:tc>
        <w:tc>
          <w:tcPr>
            <w:tcW w:w="799" w:type="dxa"/>
            <w:noWrap/>
            <w:vAlign w:val="center"/>
            <w:hideMark/>
          </w:tcPr>
          <w:p w14:paraId="1071C1D1"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772533B5"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94" w:type="dxa"/>
            <w:noWrap/>
            <w:vAlign w:val="center"/>
            <w:hideMark/>
          </w:tcPr>
          <w:p w14:paraId="693D9D37"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717" w:type="dxa"/>
            <w:gridSpan w:val="2"/>
            <w:noWrap/>
            <w:vAlign w:val="center"/>
            <w:hideMark/>
          </w:tcPr>
          <w:p w14:paraId="7BC5278F"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44BF77B6" w14:textId="77777777" w:rsidTr="006D6338">
        <w:trPr>
          <w:trHeight w:val="20"/>
        </w:trPr>
        <w:tc>
          <w:tcPr>
            <w:tcW w:w="4609" w:type="dxa"/>
            <w:noWrap/>
            <w:vAlign w:val="center"/>
            <w:hideMark/>
          </w:tcPr>
          <w:p w14:paraId="684595EA"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Non-current assets</w:t>
            </w:r>
          </w:p>
        </w:tc>
        <w:tc>
          <w:tcPr>
            <w:tcW w:w="799" w:type="dxa"/>
            <w:noWrap/>
            <w:vAlign w:val="center"/>
            <w:hideMark/>
          </w:tcPr>
          <w:p w14:paraId="509521F3"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04444F5B"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4BA514FF"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17236AA8"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5F0EAC71" w14:textId="77777777" w:rsidTr="006D6338">
        <w:trPr>
          <w:trHeight w:val="20"/>
        </w:trPr>
        <w:tc>
          <w:tcPr>
            <w:tcW w:w="4609" w:type="dxa"/>
            <w:noWrap/>
            <w:vAlign w:val="center"/>
            <w:hideMark/>
          </w:tcPr>
          <w:p w14:paraId="0060624E"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Exploration &amp; evaluation assets</w:t>
            </w:r>
          </w:p>
        </w:tc>
        <w:tc>
          <w:tcPr>
            <w:tcW w:w="799" w:type="dxa"/>
            <w:noWrap/>
            <w:vAlign w:val="center"/>
            <w:hideMark/>
          </w:tcPr>
          <w:p w14:paraId="0CA7EE01"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w:t>
            </w:r>
          </w:p>
        </w:tc>
        <w:tc>
          <w:tcPr>
            <w:tcW w:w="1825" w:type="dxa"/>
            <w:noWrap/>
            <w:vAlign w:val="center"/>
            <w:hideMark/>
          </w:tcPr>
          <w:p w14:paraId="21626187"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4,350,059</w:t>
            </w:r>
          </w:p>
        </w:tc>
        <w:tc>
          <w:tcPr>
            <w:tcW w:w="1694" w:type="dxa"/>
            <w:noWrap/>
            <w:vAlign w:val="center"/>
            <w:hideMark/>
          </w:tcPr>
          <w:p w14:paraId="56442CA2" w14:textId="38E32DD8"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3,546,303 </w:t>
            </w:r>
          </w:p>
        </w:tc>
        <w:tc>
          <w:tcPr>
            <w:tcW w:w="1717" w:type="dxa"/>
            <w:gridSpan w:val="2"/>
            <w:noWrap/>
            <w:vAlign w:val="center"/>
            <w:hideMark/>
          </w:tcPr>
          <w:p w14:paraId="10712114"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3,691,280 </w:t>
            </w:r>
          </w:p>
        </w:tc>
      </w:tr>
      <w:tr w:rsidR="00CC4100" w:rsidRPr="006D6338" w14:paraId="71318B00" w14:textId="77777777" w:rsidTr="006D6338">
        <w:trPr>
          <w:trHeight w:val="20"/>
        </w:trPr>
        <w:tc>
          <w:tcPr>
            <w:tcW w:w="4609" w:type="dxa"/>
            <w:noWrap/>
            <w:vAlign w:val="center"/>
            <w:hideMark/>
          </w:tcPr>
          <w:p w14:paraId="50FA6363"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Property, plant and equipment</w:t>
            </w:r>
          </w:p>
        </w:tc>
        <w:tc>
          <w:tcPr>
            <w:tcW w:w="799" w:type="dxa"/>
            <w:noWrap/>
            <w:vAlign w:val="center"/>
            <w:hideMark/>
          </w:tcPr>
          <w:p w14:paraId="30C39BDE"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825" w:type="dxa"/>
            <w:noWrap/>
            <w:vAlign w:val="center"/>
            <w:hideMark/>
          </w:tcPr>
          <w:p w14:paraId="5B3F5163"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p>
        </w:tc>
        <w:tc>
          <w:tcPr>
            <w:tcW w:w="1694" w:type="dxa"/>
            <w:noWrap/>
            <w:vAlign w:val="center"/>
            <w:hideMark/>
          </w:tcPr>
          <w:p w14:paraId="27223695"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292 </w:t>
            </w:r>
          </w:p>
        </w:tc>
        <w:tc>
          <w:tcPr>
            <w:tcW w:w="1717" w:type="dxa"/>
            <w:gridSpan w:val="2"/>
            <w:noWrap/>
            <w:vAlign w:val="center"/>
            <w:hideMark/>
          </w:tcPr>
          <w:p w14:paraId="6694B005"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 </w:t>
            </w:r>
          </w:p>
        </w:tc>
      </w:tr>
      <w:tr w:rsidR="00CC4100" w:rsidRPr="006D6338" w14:paraId="053F7C70" w14:textId="77777777" w:rsidTr="006D6338">
        <w:trPr>
          <w:trHeight w:val="20"/>
        </w:trPr>
        <w:tc>
          <w:tcPr>
            <w:tcW w:w="4609" w:type="dxa"/>
            <w:noWrap/>
            <w:vAlign w:val="center"/>
            <w:hideMark/>
          </w:tcPr>
          <w:p w14:paraId="14AE8161"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Financial investments</w:t>
            </w:r>
          </w:p>
        </w:tc>
        <w:tc>
          <w:tcPr>
            <w:tcW w:w="799" w:type="dxa"/>
            <w:noWrap/>
            <w:vAlign w:val="center"/>
            <w:hideMark/>
          </w:tcPr>
          <w:p w14:paraId="05A61BD1"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w:t>
            </w:r>
          </w:p>
        </w:tc>
        <w:tc>
          <w:tcPr>
            <w:tcW w:w="1825" w:type="dxa"/>
            <w:noWrap/>
            <w:vAlign w:val="center"/>
            <w:hideMark/>
          </w:tcPr>
          <w:p w14:paraId="5085CF88"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1,834,971</w:t>
            </w:r>
          </w:p>
        </w:tc>
        <w:tc>
          <w:tcPr>
            <w:tcW w:w="1694" w:type="dxa"/>
            <w:noWrap/>
            <w:vAlign w:val="center"/>
            <w:hideMark/>
          </w:tcPr>
          <w:p w14:paraId="38776D7F"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106,606</w:t>
            </w:r>
          </w:p>
        </w:tc>
        <w:tc>
          <w:tcPr>
            <w:tcW w:w="1717" w:type="dxa"/>
            <w:gridSpan w:val="2"/>
            <w:noWrap/>
            <w:vAlign w:val="center"/>
            <w:hideMark/>
          </w:tcPr>
          <w:p w14:paraId="58B079DA"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1,858,388</w:t>
            </w:r>
          </w:p>
        </w:tc>
      </w:tr>
      <w:tr w:rsidR="00CC4100" w:rsidRPr="006D6338" w14:paraId="3ABE9845" w14:textId="77777777" w:rsidTr="006D6338">
        <w:trPr>
          <w:trHeight w:val="20"/>
        </w:trPr>
        <w:tc>
          <w:tcPr>
            <w:tcW w:w="4609" w:type="dxa"/>
            <w:noWrap/>
            <w:vAlign w:val="center"/>
            <w:hideMark/>
          </w:tcPr>
          <w:p w14:paraId="6F9578CD"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Assets held for sale</w:t>
            </w:r>
          </w:p>
        </w:tc>
        <w:tc>
          <w:tcPr>
            <w:tcW w:w="799" w:type="dxa"/>
            <w:noWrap/>
            <w:vAlign w:val="center"/>
            <w:hideMark/>
          </w:tcPr>
          <w:p w14:paraId="54483F71" w14:textId="77777777" w:rsidR="00CC4100" w:rsidRPr="006D6338" w:rsidRDefault="00CC4100" w:rsidP="00CC4100">
            <w:pPr>
              <w:jc w:val="center"/>
              <w:rPr>
                <w:rFonts w:ascii="Calibri" w:eastAsia="Times New Roman" w:hAnsi="Calibri" w:cs="Calibri"/>
                <w:b/>
                <w:bCs/>
                <w:color w:val="000000"/>
                <w:sz w:val="16"/>
                <w:szCs w:val="16"/>
                <w:lang w:eastAsia="en-GB"/>
              </w:rPr>
            </w:pPr>
          </w:p>
        </w:tc>
        <w:tc>
          <w:tcPr>
            <w:tcW w:w="1825" w:type="dxa"/>
            <w:noWrap/>
            <w:vAlign w:val="center"/>
            <w:hideMark/>
          </w:tcPr>
          <w:p w14:paraId="72B6AC56"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1694" w:type="dxa"/>
            <w:noWrap/>
            <w:vAlign w:val="center"/>
            <w:hideMark/>
          </w:tcPr>
          <w:p w14:paraId="64FE5AB9"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232,087</w:t>
            </w:r>
          </w:p>
        </w:tc>
        <w:tc>
          <w:tcPr>
            <w:tcW w:w="1717" w:type="dxa"/>
            <w:gridSpan w:val="2"/>
            <w:noWrap/>
            <w:vAlign w:val="center"/>
            <w:hideMark/>
          </w:tcPr>
          <w:p w14:paraId="0CEB523D"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r>
      <w:tr w:rsidR="00CC4100" w:rsidRPr="006D6338" w14:paraId="10526DDC" w14:textId="77777777" w:rsidTr="006D6338">
        <w:trPr>
          <w:trHeight w:val="20"/>
        </w:trPr>
        <w:tc>
          <w:tcPr>
            <w:tcW w:w="4609" w:type="dxa"/>
            <w:noWrap/>
            <w:vAlign w:val="center"/>
            <w:hideMark/>
          </w:tcPr>
          <w:p w14:paraId="3CE46C0E" w14:textId="77777777" w:rsidR="00CC4100" w:rsidRPr="006D6338" w:rsidRDefault="00CC4100" w:rsidP="00CC4100">
            <w:pPr>
              <w:spacing w:line="256" w:lineRule="auto"/>
              <w:rPr>
                <w:rFonts w:ascii="Calibri" w:eastAsia="Calibri" w:hAnsi="Calibri" w:cs="Calibri"/>
                <w:color w:val="000000"/>
                <w:sz w:val="16"/>
                <w:szCs w:val="16"/>
              </w:rPr>
            </w:pPr>
          </w:p>
        </w:tc>
        <w:tc>
          <w:tcPr>
            <w:tcW w:w="799" w:type="dxa"/>
            <w:noWrap/>
            <w:vAlign w:val="center"/>
            <w:hideMark/>
          </w:tcPr>
          <w:p w14:paraId="22121886"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2B439271"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6,185,030</w:t>
            </w:r>
          </w:p>
        </w:tc>
        <w:tc>
          <w:tcPr>
            <w:tcW w:w="1694" w:type="dxa"/>
            <w:noWrap/>
            <w:vAlign w:val="center"/>
            <w:hideMark/>
          </w:tcPr>
          <w:p w14:paraId="5A55B0A5"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3,885,288 </w:t>
            </w:r>
          </w:p>
        </w:tc>
        <w:tc>
          <w:tcPr>
            <w:tcW w:w="1717" w:type="dxa"/>
            <w:gridSpan w:val="2"/>
            <w:noWrap/>
            <w:vAlign w:val="center"/>
            <w:hideMark/>
          </w:tcPr>
          <w:p w14:paraId="2466A19B"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5,549,668</w:t>
            </w:r>
          </w:p>
        </w:tc>
      </w:tr>
      <w:tr w:rsidR="00CC4100" w:rsidRPr="006D6338" w14:paraId="1762A337" w14:textId="77777777" w:rsidTr="006D6338">
        <w:trPr>
          <w:trHeight w:val="20"/>
        </w:trPr>
        <w:tc>
          <w:tcPr>
            <w:tcW w:w="4609" w:type="dxa"/>
            <w:noWrap/>
            <w:vAlign w:val="center"/>
            <w:hideMark/>
          </w:tcPr>
          <w:p w14:paraId="454D4D64"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799" w:type="dxa"/>
            <w:noWrap/>
            <w:vAlign w:val="center"/>
            <w:hideMark/>
          </w:tcPr>
          <w:p w14:paraId="419EBF35"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021A31D8"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41F6D9ED"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36132441"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401D7595" w14:textId="77777777" w:rsidTr="006D6338">
        <w:trPr>
          <w:trHeight w:val="20"/>
        </w:trPr>
        <w:tc>
          <w:tcPr>
            <w:tcW w:w="4609" w:type="dxa"/>
            <w:noWrap/>
            <w:vAlign w:val="center"/>
            <w:hideMark/>
          </w:tcPr>
          <w:p w14:paraId="3E1C210A"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Current assets</w:t>
            </w:r>
          </w:p>
        </w:tc>
        <w:tc>
          <w:tcPr>
            <w:tcW w:w="799" w:type="dxa"/>
            <w:noWrap/>
            <w:vAlign w:val="center"/>
            <w:hideMark/>
          </w:tcPr>
          <w:p w14:paraId="582C4EFA"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36DEBE90"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1A4169D0"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5A851FAF"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23B0D8DA" w14:textId="77777777" w:rsidTr="006D6338">
        <w:trPr>
          <w:trHeight w:val="20"/>
        </w:trPr>
        <w:tc>
          <w:tcPr>
            <w:tcW w:w="4609" w:type="dxa"/>
            <w:noWrap/>
            <w:vAlign w:val="center"/>
            <w:hideMark/>
          </w:tcPr>
          <w:p w14:paraId="4534BC61"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Trade and other receivables</w:t>
            </w:r>
          </w:p>
        </w:tc>
        <w:tc>
          <w:tcPr>
            <w:tcW w:w="799" w:type="dxa"/>
            <w:noWrap/>
            <w:vAlign w:val="center"/>
            <w:hideMark/>
          </w:tcPr>
          <w:p w14:paraId="132BBA9F"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4</w:t>
            </w:r>
          </w:p>
        </w:tc>
        <w:tc>
          <w:tcPr>
            <w:tcW w:w="1825" w:type="dxa"/>
            <w:noWrap/>
            <w:vAlign w:val="center"/>
            <w:hideMark/>
          </w:tcPr>
          <w:p w14:paraId="0FA31006"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271,259</w:t>
            </w:r>
          </w:p>
        </w:tc>
        <w:tc>
          <w:tcPr>
            <w:tcW w:w="1694" w:type="dxa"/>
            <w:noWrap/>
            <w:vAlign w:val="center"/>
            <w:hideMark/>
          </w:tcPr>
          <w:p w14:paraId="7DAA7ABC"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54,351 </w:t>
            </w:r>
          </w:p>
        </w:tc>
        <w:tc>
          <w:tcPr>
            <w:tcW w:w="1717" w:type="dxa"/>
            <w:gridSpan w:val="2"/>
            <w:noWrap/>
            <w:vAlign w:val="center"/>
            <w:hideMark/>
          </w:tcPr>
          <w:p w14:paraId="10338638"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73,679 </w:t>
            </w:r>
          </w:p>
        </w:tc>
      </w:tr>
      <w:tr w:rsidR="00CC4100" w:rsidRPr="006D6338" w14:paraId="0581A0FD" w14:textId="77777777" w:rsidTr="006D6338">
        <w:trPr>
          <w:trHeight w:val="20"/>
        </w:trPr>
        <w:tc>
          <w:tcPr>
            <w:tcW w:w="4609" w:type="dxa"/>
            <w:noWrap/>
            <w:vAlign w:val="center"/>
            <w:hideMark/>
          </w:tcPr>
          <w:p w14:paraId="527BFA1D"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Cash and cash equivalents</w:t>
            </w:r>
          </w:p>
        </w:tc>
        <w:tc>
          <w:tcPr>
            <w:tcW w:w="799" w:type="dxa"/>
            <w:noWrap/>
            <w:vAlign w:val="center"/>
            <w:hideMark/>
          </w:tcPr>
          <w:p w14:paraId="7936F8FB"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5</w:t>
            </w:r>
          </w:p>
        </w:tc>
        <w:tc>
          <w:tcPr>
            <w:tcW w:w="1825" w:type="dxa"/>
            <w:noWrap/>
            <w:vAlign w:val="center"/>
            <w:hideMark/>
          </w:tcPr>
          <w:p w14:paraId="4CFABC34"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                     2,731,870</w:t>
            </w:r>
          </w:p>
        </w:tc>
        <w:tc>
          <w:tcPr>
            <w:tcW w:w="1694" w:type="dxa"/>
            <w:noWrap/>
            <w:vAlign w:val="center"/>
            <w:hideMark/>
          </w:tcPr>
          <w:p w14:paraId="4A12FCDE"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                         38,778 </w:t>
            </w:r>
          </w:p>
        </w:tc>
        <w:tc>
          <w:tcPr>
            <w:tcW w:w="1717" w:type="dxa"/>
            <w:gridSpan w:val="2"/>
            <w:noWrap/>
            <w:vAlign w:val="center"/>
            <w:hideMark/>
          </w:tcPr>
          <w:p w14:paraId="557BB2A7"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                         281,889 </w:t>
            </w:r>
          </w:p>
        </w:tc>
      </w:tr>
      <w:tr w:rsidR="00CC4100" w:rsidRPr="006D6338" w14:paraId="3FDE5D47" w14:textId="77777777" w:rsidTr="006D6338">
        <w:trPr>
          <w:trHeight w:val="20"/>
        </w:trPr>
        <w:tc>
          <w:tcPr>
            <w:tcW w:w="4609" w:type="dxa"/>
            <w:noWrap/>
            <w:vAlign w:val="center"/>
            <w:hideMark/>
          </w:tcPr>
          <w:p w14:paraId="5909C819" w14:textId="77777777" w:rsidR="00CC4100" w:rsidRPr="006D6338" w:rsidRDefault="00CC4100" w:rsidP="00CC4100">
            <w:pPr>
              <w:spacing w:line="256" w:lineRule="auto"/>
              <w:rPr>
                <w:rFonts w:ascii="Calibri" w:eastAsia="Calibri" w:hAnsi="Calibri" w:cs="Calibri"/>
                <w:color w:val="000000"/>
                <w:sz w:val="16"/>
                <w:szCs w:val="16"/>
              </w:rPr>
            </w:pPr>
          </w:p>
        </w:tc>
        <w:tc>
          <w:tcPr>
            <w:tcW w:w="799" w:type="dxa"/>
            <w:noWrap/>
            <w:vAlign w:val="center"/>
            <w:hideMark/>
          </w:tcPr>
          <w:p w14:paraId="674E5E24"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447E7CF8"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3,003,129</w:t>
            </w:r>
          </w:p>
        </w:tc>
        <w:tc>
          <w:tcPr>
            <w:tcW w:w="1694" w:type="dxa"/>
            <w:noWrap/>
            <w:vAlign w:val="center"/>
            <w:hideMark/>
          </w:tcPr>
          <w:p w14:paraId="438D1388"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93,129 </w:t>
            </w:r>
          </w:p>
        </w:tc>
        <w:tc>
          <w:tcPr>
            <w:tcW w:w="1717" w:type="dxa"/>
            <w:gridSpan w:val="2"/>
            <w:noWrap/>
            <w:vAlign w:val="center"/>
            <w:hideMark/>
          </w:tcPr>
          <w:p w14:paraId="16330F4B"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xml:space="preserve">                       355,568</w:t>
            </w:r>
          </w:p>
        </w:tc>
      </w:tr>
      <w:tr w:rsidR="00CC4100" w:rsidRPr="006D6338" w14:paraId="7BB58806" w14:textId="77777777" w:rsidTr="006D6338">
        <w:trPr>
          <w:trHeight w:val="20"/>
        </w:trPr>
        <w:tc>
          <w:tcPr>
            <w:tcW w:w="4609" w:type="dxa"/>
            <w:noWrap/>
            <w:vAlign w:val="center"/>
            <w:hideMark/>
          </w:tcPr>
          <w:p w14:paraId="50AD4D00"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Current liabilities</w:t>
            </w:r>
          </w:p>
        </w:tc>
        <w:tc>
          <w:tcPr>
            <w:tcW w:w="799" w:type="dxa"/>
            <w:noWrap/>
            <w:vAlign w:val="center"/>
            <w:hideMark/>
          </w:tcPr>
          <w:p w14:paraId="236FDB88"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825" w:type="dxa"/>
            <w:noWrap/>
            <w:vAlign w:val="center"/>
            <w:hideMark/>
          </w:tcPr>
          <w:p w14:paraId="1545C4C7"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309ACE00"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3DDDA952"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31DB7F03" w14:textId="77777777" w:rsidTr="006D6338">
        <w:trPr>
          <w:trHeight w:val="20"/>
        </w:trPr>
        <w:tc>
          <w:tcPr>
            <w:tcW w:w="4609" w:type="dxa"/>
            <w:noWrap/>
            <w:vAlign w:val="center"/>
            <w:hideMark/>
          </w:tcPr>
          <w:p w14:paraId="7E305B31" w14:textId="77777777" w:rsidR="00CC4100" w:rsidRPr="006D6338" w:rsidRDefault="00CC4100" w:rsidP="00CC4100">
            <w:pPr>
              <w:spacing w:line="256" w:lineRule="auto"/>
              <w:rPr>
                <w:rFonts w:ascii="Calibri" w:eastAsia="Calibri" w:hAnsi="Calibri" w:cs="Calibri"/>
                <w:sz w:val="20"/>
                <w:szCs w:val="20"/>
                <w:lang w:eastAsia="en-GB"/>
              </w:rPr>
            </w:pPr>
          </w:p>
        </w:tc>
        <w:tc>
          <w:tcPr>
            <w:tcW w:w="799" w:type="dxa"/>
            <w:noWrap/>
            <w:vAlign w:val="center"/>
            <w:hideMark/>
          </w:tcPr>
          <w:p w14:paraId="20276129"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21C72D33"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711DC60E"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1E4400B2"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0078CB46" w14:textId="77777777" w:rsidTr="006D6338">
        <w:trPr>
          <w:trHeight w:val="20"/>
        </w:trPr>
        <w:tc>
          <w:tcPr>
            <w:tcW w:w="4609" w:type="dxa"/>
            <w:noWrap/>
            <w:vAlign w:val="center"/>
            <w:hideMark/>
          </w:tcPr>
          <w:p w14:paraId="4CA46178"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Trade and other payables</w:t>
            </w:r>
          </w:p>
        </w:tc>
        <w:tc>
          <w:tcPr>
            <w:tcW w:w="799" w:type="dxa"/>
            <w:noWrap/>
            <w:vAlign w:val="center"/>
            <w:hideMark/>
          </w:tcPr>
          <w:p w14:paraId="593C0817" w14:textId="77777777" w:rsidR="00CC4100" w:rsidRPr="006D6338" w:rsidRDefault="00CC4100" w:rsidP="00CC4100">
            <w:pPr>
              <w:jc w:val="center"/>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6</w:t>
            </w:r>
          </w:p>
        </w:tc>
        <w:tc>
          <w:tcPr>
            <w:tcW w:w="1825" w:type="dxa"/>
            <w:noWrap/>
            <w:vAlign w:val="center"/>
            <w:hideMark/>
          </w:tcPr>
          <w:p w14:paraId="6F0F4FD7"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 xml:space="preserve">(343,752) </w:t>
            </w:r>
          </w:p>
        </w:tc>
        <w:tc>
          <w:tcPr>
            <w:tcW w:w="1694" w:type="dxa"/>
            <w:noWrap/>
            <w:vAlign w:val="center"/>
            <w:hideMark/>
          </w:tcPr>
          <w:p w14:paraId="3976E41E"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(365,220)</w:t>
            </w:r>
          </w:p>
        </w:tc>
        <w:tc>
          <w:tcPr>
            <w:tcW w:w="1717" w:type="dxa"/>
            <w:gridSpan w:val="2"/>
            <w:noWrap/>
            <w:vAlign w:val="center"/>
            <w:hideMark/>
          </w:tcPr>
          <w:p w14:paraId="211A13DD"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(344,945)</w:t>
            </w:r>
          </w:p>
        </w:tc>
      </w:tr>
      <w:tr w:rsidR="00CC4100" w:rsidRPr="006D6338" w14:paraId="61753582" w14:textId="77777777" w:rsidTr="006D6338">
        <w:trPr>
          <w:trHeight w:val="20"/>
        </w:trPr>
        <w:tc>
          <w:tcPr>
            <w:tcW w:w="4609" w:type="dxa"/>
            <w:noWrap/>
            <w:vAlign w:val="center"/>
            <w:hideMark/>
          </w:tcPr>
          <w:p w14:paraId="351AE292"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Convertible loan notes</w:t>
            </w:r>
          </w:p>
        </w:tc>
        <w:tc>
          <w:tcPr>
            <w:tcW w:w="799" w:type="dxa"/>
            <w:noWrap/>
            <w:vAlign w:val="center"/>
            <w:hideMark/>
          </w:tcPr>
          <w:p w14:paraId="6372BFF9" w14:textId="77777777" w:rsidR="00CC4100" w:rsidRPr="006D6338" w:rsidRDefault="00CC4100" w:rsidP="00CC4100">
            <w:pPr>
              <w:jc w:val="cente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7</w:t>
            </w:r>
          </w:p>
        </w:tc>
        <w:tc>
          <w:tcPr>
            <w:tcW w:w="1825" w:type="dxa"/>
            <w:noWrap/>
            <w:vAlign w:val="center"/>
            <w:hideMark/>
          </w:tcPr>
          <w:p w14:paraId="443B9CFE"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(2,061,348)</w:t>
            </w:r>
          </w:p>
        </w:tc>
        <w:tc>
          <w:tcPr>
            <w:tcW w:w="1694" w:type="dxa"/>
            <w:noWrap/>
            <w:vAlign w:val="center"/>
            <w:hideMark/>
          </w:tcPr>
          <w:p w14:paraId="3E02A33A"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(648,949)</w:t>
            </w:r>
          </w:p>
        </w:tc>
        <w:tc>
          <w:tcPr>
            <w:tcW w:w="1717" w:type="dxa"/>
            <w:gridSpan w:val="2"/>
            <w:noWrap/>
            <w:vAlign w:val="center"/>
            <w:hideMark/>
          </w:tcPr>
          <w:p w14:paraId="063CB194"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r>
      <w:tr w:rsidR="00CC4100" w:rsidRPr="006D6338" w14:paraId="76E9BB48" w14:textId="77777777" w:rsidTr="006D6338">
        <w:trPr>
          <w:trHeight w:val="20"/>
        </w:trPr>
        <w:tc>
          <w:tcPr>
            <w:tcW w:w="4609" w:type="dxa"/>
            <w:noWrap/>
            <w:vAlign w:val="center"/>
          </w:tcPr>
          <w:p w14:paraId="6892A5A6" w14:textId="77777777" w:rsidR="00CC4100" w:rsidRPr="006D6338" w:rsidRDefault="00CC4100" w:rsidP="00CC4100">
            <w:pPr>
              <w:jc w:val="both"/>
              <w:rPr>
                <w:rFonts w:ascii="Calibri" w:eastAsia="Times New Roman" w:hAnsi="Calibri" w:cs="Calibri"/>
                <w:color w:val="000000"/>
                <w:sz w:val="16"/>
                <w:szCs w:val="16"/>
                <w:lang w:eastAsia="en-GB"/>
              </w:rPr>
            </w:pPr>
          </w:p>
        </w:tc>
        <w:tc>
          <w:tcPr>
            <w:tcW w:w="799" w:type="dxa"/>
            <w:noWrap/>
            <w:vAlign w:val="center"/>
          </w:tcPr>
          <w:p w14:paraId="5CE9C0F2" w14:textId="77777777" w:rsidR="00CC4100" w:rsidRPr="006D6338" w:rsidRDefault="00CC4100" w:rsidP="00CC4100">
            <w:pPr>
              <w:jc w:val="center"/>
              <w:rPr>
                <w:rFonts w:ascii="Calibri" w:eastAsia="Times New Roman" w:hAnsi="Calibri" w:cs="Calibri"/>
                <w:sz w:val="16"/>
                <w:szCs w:val="16"/>
                <w:lang w:eastAsia="en-GB"/>
              </w:rPr>
            </w:pPr>
          </w:p>
        </w:tc>
        <w:tc>
          <w:tcPr>
            <w:tcW w:w="1825" w:type="dxa"/>
            <w:noWrap/>
            <w:vAlign w:val="center"/>
            <w:hideMark/>
          </w:tcPr>
          <w:p w14:paraId="0E9BF67C"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(2,405,100)</w:t>
            </w:r>
          </w:p>
        </w:tc>
        <w:tc>
          <w:tcPr>
            <w:tcW w:w="1694" w:type="dxa"/>
            <w:noWrap/>
            <w:vAlign w:val="center"/>
            <w:hideMark/>
          </w:tcPr>
          <w:p w14:paraId="104B9C1C"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(1,014,169)</w:t>
            </w:r>
          </w:p>
        </w:tc>
        <w:tc>
          <w:tcPr>
            <w:tcW w:w="1717" w:type="dxa"/>
            <w:gridSpan w:val="2"/>
            <w:noWrap/>
            <w:vAlign w:val="center"/>
            <w:hideMark/>
          </w:tcPr>
          <w:p w14:paraId="3FB0A654"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(344,945)</w:t>
            </w:r>
          </w:p>
        </w:tc>
      </w:tr>
      <w:tr w:rsidR="00CC4100" w:rsidRPr="006D6338" w14:paraId="7031F05E" w14:textId="77777777" w:rsidTr="006D6338">
        <w:trPr>
          <w:trHeight w:val="20"/>
        </w:trPr>
        <w:tc>
          <w:tcPr>
            <w:tcW w:w="4609" w:type="dxa"/>
            <w:noWrap/>
            <w:vAlign w:val="center"/>
            <w:hideMark/>
          </w:tcPr>
          <w:p w14:paraId="7FC2A007" w14:textId="77777777" w:rsidR="00CC4100" w:rsidRPr="006D6338" w:rsidRDefault="00CC4100" w:rsidP="00CC4100">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 xml:space="preserve">Net current assets </w:t>
            </w:r>
          </w:p>
        </w:tc>
        <w:tc>
          <w:tcPr>
            <w:tcW w:w="799" w:type="dxa"/>
            <w:noWrap/>
            <w:vAlign w:val="center"/>
          </w:tcPr>
          <w:p w14:paraId="68823BE1" w14:textId="77777777" w:rsidR="00CC4100" w:rsidRPr="006D6338" w:rsidRDefault="00CC4100" w:rsidP="00CC4100">
            <w:pPr>
              <w:jc w:val="center"/>
              <w:rPr>
                <w:rFonts w:ascii="Calibri" w:eastAsia="Times New Roman" w:hAnsi="Calibri" w:cs="Calibri"/>
                <w:sz w:val="16"/>
                <w:szCs w:val="16"/>
                <w:lang w:eastAsia="en-GB"/>
              </w:rPr>
            </w:pPr>
          </w:p>
        </w:tc>
        <w:tc>
          <w:tcPr>
            <w:tcW w:w="1825" w:type="dxa"/>
            <w:noWrap/>
            <w:vAlign w:val="center"/>
            <w:hideMark/>
          </w:tcPr>
          <w:p w14:paraId="67401302"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598,029</w:t>
            </w:r>
          </w:p>
        </w:tc>
        <w:tc>
          <w:tcPr>
            <w:tcW w:w="1694" w:type="dxa"/>
            <w:noWrap/>
            <w:vAlign w:val="center"/>
            <w:hideMark/>
          </w:tcPr>
          <w:p w14:paraId="20261FA0"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(921,040)</w:t>
            </w:r>
          </w:p>
        </w:tc>
        <w:tc>
          <w:tcPr>
            <w:tcW w:w="1717" w:type="dxa"/>
            <w:gridSpan w:val="2"/>
            <w:noWrap/>
            <w:vAlign w:val="center"/>
            <w:hideMark/>
          </w:tcPr>
          <w:p w14:paraId="7198062D"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10,623</w:t>
            </w:r>
          </w:p>
        </w:tc>
      </w:tr>
      <w:tr w:rsidR="00CC4100" w:rsidRPr="006D6338" w14:paraId="7DE9D142" w14:textId="77777777" w:rsidTr="006D6338">
        <w:trPr>
          <w:trHeight w:val="20"/>
        </w:trPr>
        <w:tc>
          <w:tcPr>
            <w:tcW w:w="4609" w:type="dxa"/>
            <w:noWrap/>
            <w:vAlign w:val="center"/>
            <w:hideMark/>
          </w:tcPr>
          <w:p w14:paraId="46DF484C"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Total assets less current liabilities </w:t>
            </w:r>
          </w:p>
        </w:tc>
        <w:tc>
          <w:tcPr>
            <w:tcW w:w="799" w:type="dxa"/>
            <w:noWrap/>
            <w:vAlign w:val="center"/>
          </w:tcPr>
          <w:p w14:paraId="7EE57913" w14:textId="77777777" w:rsidR="00CC4100" w:rsidRPr="006D6338" w:rsidRDefault="00CC4100" w:rsidP="00CC4100">
            <w:pPr>
              <w:jc w:val="center"/>
              <w:rPr>
                <w:rFonts w:ascii="Calibri" w:eastAsia="Times New Roman" w:hAnsi="Calibri" w:cs="Calibri"/>
                <w:b/>
                <w:bCs/>
                <w:sz w:val="16"/>
                <w:szCs w:val="16"/>
                <w:lang w:eastAsia="en-GB"/>
              </w:rPr>
            </w:pPr>
          </w:p>
        </w:tc>
        <w:tc>
          <w:tcPr>
            <w:tcW w:w="1825" w:type="dxa"/>
            <w:noWrap/>
            <w:vAlign w:val="center"/>
            <w:hideMark/>
          </w:tcPr>
          <w:p w14:paraId="4462DC91"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6,783,059</w:t>
            </w:r>
          </w:p>
        </w:tc>
        <w:tc>
          <w:tcPr>
            <w:tcW w:w="1694" w:type="dxa"/>
            <w:noWrap/>
            <w:vAlign w:val="center"/>
            <w:hideMark/>
          </w:tcPr>
          <w:p w14:paraId="1FB47A86"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2,964,248</w:t>
            </w:r>
          </w:p>
        </w:tc>
        <w:tc>
          <w:tcPr>
            <w:tcW w:w="1717" w:type="dxa"/>
            <w:gridSpan w:val="2"/>
            <w:noWrap/>
            <w:vAlign w:val="center"/>
            <w:hideMark/>
          </w:tcPr>
          <w:p w14:paraId="69CD23F8"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5,560,291</w:t>
            </w:r>
          </w:p>
        </w:tc>
      </w:tr>
      <w:tr w:rsidR="00CC4100" w:rsidRPr="006D6338" w14:paraId="6D8B8F18" w14:textId="77777777" w:rsidTr="006D6338">
        <w:trPr>
          <w:trHeight w:val="20"/>
        </w:trPr>
        <w:tc>
          <w:tcPr>
            <w:tcW w:w="4609" w:type="dxa"/>
            <w:noWrap/>
            <w:vAlign w:val="center"/>
          </w:tcPr>
          <w:p w14:paraId="0E0DCDF6" w14:textId="77777777" w:rsidR="00CC4100" w:rsidRPr="006D6338" w:rsidRDefault="00CC4100" w:rsidP="00CC4100">
            <w:pPr>
              <w:jc w:val="both"/>
              <w:rPr>
                <w:rFonts w:ascii="Calibri" w:eastAsia="Times New Roman" w:hAnsi="Calibri" w:cs="Calibri"/>
                <w:color w:val="000000"/>
                <w:sz w:val="16"/>
                <w:szCs w:val="16"/>
                <w:lang w:eastAsia="en-GB"/>
              </w:rPr>
            </w:pPr>
          </w:p>
          <w:p w14:paraId="42A308F2"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Non-current liabilities</w:t>
            </w:r>
          </w:p>
        </w:tc>
        <w:tc>
          <w:tcPr>
            <w:tcW w:w="799" w:type="dxa"/>
            <w:noWrap/>
            <w:vAlign w:val="center"/>
          </w:tcPr>
          <w:p w14:paraId="039AF6B2" w14:textId="77777777" w:rsidR="00CC4100" w:rsidRPr="006D6338" w:rsidRDefault="00CC4100" w:rsidP="00CC4100">
            <w:pPr>
              <w:jc w:val="center"/>
              <w:rPr>
                <w:rFonts w:ascii="Calibri" w:eastAsia="Times New Roman" w:hAnsi="Calibri" w:cs="Calibri"/>
                <w:b/>
                <w:bCs/>
                <w:sz w:val="16"/>
                <w:szCs w:val="16"/>
                <w:lang w:eastAsia="en-GB"/>
              </w:rPr>
            </w:pPr>
          </w:p>
        </w:tc>
        <w:tc>
          <w:tcPr>
            <w:tcW w:w="1825" w:type="dxa"/>
            <w:noWrap/>
            <w:vAlign w:val="center"/>
          </w:tcPr>
          <w:p w14:paraId="6AF6C8C7" w14:textId="77777777" w:rsidR="00CC4100" w:rsidRPr="006D6338" w:rsidRDefault="00CC4100" w:rsidP="00CC4100">
            <w:pPr>
              <w:jc w:val="right"/>
              <w:rPr>
                <w:rFonts w:ascii="Calibri" w:eastAsia="Calibri" w:hAnsi="Calibri" w:cs="Calibri"/>
                <w:color w:val="000000"/>
                <w:sz w:val="16"/>
                <w:szCs w:val="16"/>
              </w:rPr>
            </w:pPr>
          </w:p>
        </w:tc>
        <w:tc>
          <w:tcPr>
            <w:tcW w:w="1694" w:type="dxa"/>
            <w:noWrap/>
            <w:vAlign w:val="center"/>
          </w:tcPr>
          <w:p w14:paraId="18816A63" w14:textId="77777777" w:rsidR="00CC4100" w:rsidRPr="006D6338" w:rsidRDefault="00CC4100" w:rsidP="00CC4100">
            <w:pPr>
              <w:jc w:val="right"/>
              <w:rPr>
                <w:rFonts w:ascii="Calibri" w:eastAsia="Calibri" w:hAnsi="Calibri" w:cs="Calibri"/>
                <w:color w:val="000000"/>
                <w:sz w:val="16"/>
                <w:szCs w:val="16"/>
              </w:rPr>
            </w:pPr>
          </w:p>
        </w:tc>
        <w:tc>
          <w:tcPr>
            <w:tcW w:w="1717" w:type="dxa"/>
            <w:gridSpan w:val="2"/>
            <w:noWrap/>
            <w:vAlign w:val="center"/>
          </w:tcPr>
          <w:p w14:paraId="37DB279D" w14:textId="77777777" w:rsidR="00CC4100" w:rsidRPr="006D6338" w:rsidRDefault="00CC4100" w:rsidP="00CC4100">
            <w:pPr>
              <w:jc w:val="right"/>
              <w:rPr>
                <w:rFonts w:ascii="Calibri" w:eastAsia="Calibri" w:hAnsi="Calibri" w:cs="Calibri"/>
                <w:color w:val="000000"/>
                <w:sz w:val="16"/>
                <w:szCs w:val="16"/>
              </w:rPr>
            </w:pPr>
          </w:p>
        </w:tc>
      </w:tr>
      <w:tr w:rsidR="00CC4100" w:rsidRPr="006D6338" w14:paraId="1E96CF22" w14:textId="77777777" w:rsidTr="006D6338">
        <w:trPr>
          <w:trHeight w:val="20"/>
        </w:trPr>
        <w:tc>
          <w:tcPr>
            <w:tcW w:w="4609" w:type="dxa"/>
            <w:noWrap/>
            <w:vAlign w:val="center"/>
            <w:hideMark/>
          </w:tcPr>
          <w:p w14:paraId="1DFD7C7D"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Deferred consideration </w:t>
            </w:r>
          </w:p>
        </w:tc>
        <w:tc>
          <w:tcPr>
            <w:tcW w:w="799" w:type="dxa"/>
            <w:noWrap/>
            <w:vAlign w:val="center"/>
            <w:hideMark/>
          </w:tcPr>
          <w:p w14:paraId="209D8920"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8</w:t>
            </w:r>
          </w:p>
        </w:tc>
        <w:tc>
          <w:tcPr>
            <w:tcW w:w="1825" w:type="dxa"/>
            <w:noWrap/>
            <w:vAlign w:val="center"/>
            <w:hideMark/>
          </w:tcPr>
          <w:p w14:paraId="56A24F90"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(162,444)</w:t>
            </w:r>
          </w:p>
        </w:tc>
        <w:tc>
          <w:tcPr>
            <w:tcW w:w="1694" w:type="dxa"/>
            <w:noWrap/>
            <w:vAlign w:val="center"/>
            <w:hideMark/>
          </w:tcPr>
          <w:p w14:paraId="2BD33755"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(165,734)</w:t>
            </w:r>
          </w:p>
        </w:tc>
        <w:tc>
          <w:tcPr>
            <w:tcW w:w="1717" w:type="dxa"/>
            <w:gridSpan w:val="2"/>
            <w:noWrap/>
            <w:vAlign w:val="center"/>
            <w:hideMark/>
          </w:tcPr>
          <w:p w14:paraId="60FE808F"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(406,862)</w:t>
            </w:r>
          </w:p>
        </w:tc>
      </w:tr>
      <w:tr w:rsidR="00CC4100" w:rsidRPr="006D6338" w14:paraId="0CC43A1D" w14:textId="77777777" w:rsidTr="006D6338">
        <w:trPr>
          <w:trHeight w:val="20"/>
        </w:trPr>
        <w:tc>
          <w:tcPr>
            <w:tcW w:w="4609" w:type="dxa"/>
            <w:noWrap/>
            <w:vAlign w:val="center"/>
          </w:tcPr>
          <w:p w14:paraId="1A951562" w14:textId="77777777" w:rsidR="00CC4100" w:rsidRPr="006D6338" w:rsidRDefault="00CC4100" w:rsidP="00CC4100">
            <w:pPr>
              <w:jc w:val="both"/>
              <w:rPr>
                <w:rFonts w:ascii="Calibri" w:eastAsia="Times New Roman" w:hAnsi="Calibri" w:cs="Calibri"/>
                <w:color w:val="000000"/>
                <w:sz w:val="16"/>
                <w:szCs w:val="16"/>
                <w:lang w:eastAsia="en-GB"/>
              </w:rPr>
            </w:pPr>
          </w:p>
        </w:tc>
        <w:tc>
          <w:tcPr>
            <w:tcW w:w="799" w:type="dxa"/>
            <w:noWrap/>
            <w:vAlign w:val="center"/>
          </w:tcPr>
          <w:p w14:paraId="646215C2"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825" w:type="dxa"/>
            <w:noWrap/>
            <w:vAlign w:val="center"/>
            <w:hideMark/>
          </w:tcPr>
          <w:p w14:paraId="21E9A66B"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(162,444)</w:t>
            </w:r>
          </w:p>
        </w:tc>
        <w:tc>
          <w:tcPr>
            <w:tcW w:w="1694" w:type="dxa"/>
            <w:noWrap/>
            <w:vAlign w:val="center"/>
            <w:hideMark/>
          </w:tcPr>
          <w:p w14:paraId="1BA222C7"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(165,734)</w:t>
            </w:r>
          </w:p>
        </w:tc>
        <w:tc>
          <w:tcPr>
            <w:tcW w:w="1717" w:type="dxa"/>
            <w:gridSpan w:val="2"/>
            <w:noWrap/>
            <w:vAlign w:val="center"/>
            <w:hideMark/>
          </w:tcPr>
          <w:p w14:paraId="361CDFD8"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(406,862) </w:t>
            </w:r>
          </w:p>
        </w:tc>
      </w:tr>
      <w:tr w:rsidR="00CC4100" w:rsidRPr="006D6338" w14:paraId="6DEC007D" w14:textId="77777777" w:rsidTr="006D6338">
        <w:trPr>
          <w:trHeight w:val="20"/>
        </w:trPr>
        <w:tc>
          <w:tcPr>
            <w:tcW w:w="4609" w:type="dxa"/>
            <w:noWrap/>
            <w:vAlign w:val="center"/>
          </w:tcPr>
          <w:p w14:paraId="5EF61970" w14:textId="77777777" w:rsidR="00CC4100" w:rsidRPr="006D6338" w:rsidRDefault="00CC4100" w:rsidP="00CC4100">
            <w:pPr>
              <w:jc w:val="both"/>
              <w:rPr>
                <w:rFonts w:ascii="Calibri" w:eastAsia="Times New Roman" w:hAnsi="Calibri" w:cs="Calibri"/>
                <w:color w:val="000000"/>
                <w:sz w:val="16"/>
                <w:szCs w:val="16"/>
                <w:lang w:eastAsia="en-GB"/>
              </w:rPr>
            </w:pPr>
          </w:p>
        </w:tc>
        <w:tc>
          <w:tcPr>
            <w:tcW w:w="799" w:type="dxa"/>
            <w:noWrap/>
            <w:vAlign w:val="center"/>
          </w:tcPr>
          <w:p w14:paraId="223AD2A7" w14:textId="77777777" w:rsidR="00CC4100" w:rsidRPr="006D6338" w:rsidRDefault="00CC4100" w:rsidP="00CC4100">
            <w:pPr>
              <w:jc w:val="center"/>
              <w:rPr>
                <w:rFonts w:ascii="Calibri" w:eastAsia="Times New Roman" w:hAnsi="Calibri" w:cs="Calibri"/>
                <w:b/>
                <w:bCs/>
                <w:sz w:val="16"/>
                <w:szCs w:val="16"/>
                <w:lang w:eastAsia="en-GB"/>
              </w:rPr>
            </w:pPr>
          </w:p>
        </w:tc>
        <w:tc>
          <w:tcPr>
            <w:tcW w:w="1825" w:type="dxa"/>
            <w:noWrap/>
            <w:vAlign w:val="center"/>
          </w:tcPr>
          <w:p w14:paraId="45B018E6" w14:textId="77777777" w:rsidR="00CC4100" w:rsidRPr="006D6338" w:rsidRDefault="00CC4100" w:rsidP="00CC4100">
            <w:pPr>
              <w:jc w:val="right"/>
              <w:rPr>
                <w:rFonts w:ascii="Calibri" w:eastAsia="Calibri" w:hAnsi="Calibri" w:cs="Calibri"/>
                <w:color w:val="000000"/>
                <w:sz w:val="16"/>
                <w:szCs w:val="16"/>
              </w:rPr>
            </w:pPr>
          </w:p>
        </w:tc>
        <w:tc>
          <w:tcPr>
            <w:tcW w:w="1694" w:type="dxa"/>
            <w:noWrap/>
            <w:vAlign w:val="center"/>
          </w:tcPr>
          <w:p w14:paraId="0FB80D4B" w14:textId="77777777" w:rsidR="00CC4100" w:rsidRPr="006D6338" w:rsidRDefault="00CC4100" w:rsidP="00CC4100">
            <w:pPr>
              <w:jc w:val="right"/>
              <w:rPr>
                <w:rFonts w:ascii="Calibri" w:eastAsia="Calibri" w:hAnsi="Calibri" w:cs="Calibri"/>
                <w:color w:val="000000"/>
                <w:sz w:val="16"/>
                <w:szCs w:val="16"/>
              </w:rPr>
            </w:pPr>
          </w:p>
        </w:tc>
        <w:tc>
          <w:tcPr>
            <w:tcW w:w="1717" w:type="dxa"/>
            <w:gridSpan w:val="2"/>
            <w:noWrap/>
            <w:vAlign w:val="center"/>
          </w:tcPr>
          <w:p w14:paraId="22E2B2A4" w14:textId="77777777" w:rsidR="00CC4100" w:rsidRPr="006D6338" w:rsidRDefault="00CC4100" w:rsidP="00CC4100">
            <w:pPr>
              <w:jc w:val="right"/>
              <w:rPr>
                <w:rFonts w:ascii="Calibri" w:eastAsia="Calibri" w:hAnsi="Calibri" w:cs="Calibri"/>
                <w:color w:val="000000"/>
                <w:sz w:val="16"/>
                <w:szCs w:val="16"/>
              </w:rPr>
            </w:pPr>
          </w:p>
        </w:tc>
      </w:tr>
      <w:tr w:rsidR="00CC4100" w:rsidRPr="006D6338" w14:paraId="0AB1926F" w14:textId="77777777" w:rsidTr="006D6338">
        <w:trPr>
          <w:trHeight w:val="20"/>
        </w:trPr>
        <w:tc>
          <w:tcPr>
            <w:tcW w:w="4609" w:type="dxa"/>
            <w:noWrap/>
            <w:vAlign w:val="center"/>
            <w:hideMark/>
          </w:tcPr>
          <w:p w14:paraId="11DB9D1F"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 xml:space="preserve">Net assets </w:t>
            </w:r>
          </w:p>
        </w:tc>
        <w:tc>
          <w:tcPr>
            <w:tcW w:w="799" w:type="dxa"/>
            <w:noWrap/>
            <w:vAlign w:val="center"/>
          </w:tcPr>
          <w:p w14:paraId="31275C58" w14:textId="77777777" w:rsidR="00CC4100" w:rsidRPr="006D6338" w:rsidRDefault="00CC4100" w:rsidP="00CC4100">
            <w:pPr>
              <w:jc w:val="center"/>
              <w:rPr>
                <w:rFonts w:ascii="Calibri" w:eastAsia="Times New Roman" w:hAnsi="Calibri" w:cs="Calibri"/>
                <w:sz w:val="16"/>
                <w:szCs w:val="16"/>
                <w:lang w:eastAsia="en-GB"/>
              </w:rPr>
            </w:pPr>
          </w:p>
        </w:tc>
        <w:tc>
          <w:tcPr>
            <w:tcW w:w="1825" w:type="dxa"/>
            <w:noWrap/>
            <w:vAlign w:val="center"/>
            <w:hideMark/>
          </w:tcPr>
          <w:p w14:paraId="4E0E6AA5"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b/>
                <w:bCs/>
                <w:color w:val="000000"/>
                <w:sz w:val="16"/>
                <w:szCs w:val="16"/>
              </w:rPr>
              <w:t xml:space="preserve">6,620,615                         </w:t>
            </w:r>
          </w:p>
        </w:tc>
        <w:tc>
          <w:tcPr>
            <w:tcW w:w="1694" w:type="dxa"/>
            <w:noWrap/>
            <w:vAlign w:val="center"/>
            <w:hideMark/>
          </w:tcPr>
          <w:p w14:paraId="1A1E0B25"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b/>
                <w:bCs/>
                <w:color w:val="000000"/>
                <w:sz w:val="16"/>
                <w:szCs w:val="16"/>
              </w:rPr>
              <w:t xml:space="preserve">2,798,514                         </w:t>
            </w:r>
          </w:p>
        </w:tc>
        <w:tc>
          <w:tcPr>
            <w:tcW w:w="1717" w:type="dxa"/>
            <w:gridSpan w:val="2"/>
            <w:noWrap/>
            <w:vAlign w:val="center"/>
            <w:hideMark/>
          </w:tcPr>
          <w:p w14:paraId="0D9E3DB2"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b/>
                <w:bCs/>
                <w:color w:val="000000"/>
                <w:sz w:val="16"/>
                <w:szCs w:val="16"/>
              </w:rPr>
              <w:t>5,153,429</w:t>
            </w:r>
          </w:p>
        </w:tc>
      </w:tr>
      <w:tr w:rsidR="00CC4100" w:rsidRPr="006D6338" w14:paraId="0457BFEB" w14:textId="77777777" w:rsidTr="006D6338">
        <w:trPr>
          <w:trHeight w:val="20"/>
        </w:trPr>
        <w:tc>
          <w:tcPr>
            <w:tcW w:w="4609" w:type="dxa"/>
            <w:noWrap/>
            <w:vAlign w:val="center"/>
          </w:tcPr>
          <w:p w14:paraId="594B6BB6" w14:textId="77777777" w:rsidR="00CC4100" w:rsidRPr="006D6338" w:rsidRDefault="00CC4100" w:rsidP="00CC4100">
            <w:pPr>
              <w:jc w:val="both"/>
              <w:rPr>
                <w:rFonts w:ascii="Calibri" w:eastAsia="Times New Roman" w:hAnsi="Calibri" w:cs="Calibri"/>
                <w:b/>
                <w:bCs/>
                <w:color w:val="000000"/>
                <w:sz w:val="16"/>
                <w:szCs w:val="16"/>
                <w:lang w:eastAsia="en-GB"/>
              </w:rPr>
            </w:pPr>
          </w:p>
        </w:tc>
        <w:tc>
          <w:tcPr>
            <w:tcW w:w="799" w:type="dxa"/>
            <w:noWrap/>
            <w:vAlign w:val="center"/>
          </w:tcPr>
          <w:p w14:paraId="3D701895" w14:textId="77777777" w:rsidR="00CC4100" w:rsidRPr="006D6338" w:rsidRDefault="00CC4100" w:rsidP="00CC4100">
            <w:pPr>
              <w:jc w:val="center"/>
              <w:rPr>
                <w:rFonts w:ascii="Calibri" w:eastAsia="Times New Roman" w:hAnsi="Calibri" w:cs="Calibri"/>
                <w:sz w:val="16"/>
                <w:szCs w:val="16"/>
                <w:lang w:eastAsia="en-GB"/>
              </w:rPr>
            </w:pPr>
          </w:p>
        </w:tc>
        <w:tc>
          <w:tcPr>
            <w:tcW w:w="1825" w:type="dxa"/>
            <w:noWrap/>
            <w:vAlign w:val="center"/>
          </w:tcPr>
          <w:p w14:paraId="106BE273" w14:textId="77777777" w:rsidR="00CC4100" w:rsidRPr="006D6338" w:rsidRDefault="00CC4100" w:rsidP="00CC4100">
            <w:pPr>
              <w:jc w:val="right"/>
              <w:rPr>
                <w:rFonts w:ascii="Calibri" w:eastAsia="Calibri" w:hAnsi="Calibri" w:cs="Calibri"/>
                <w:b/>
                <w:bCs/>
                <w:color w:val="000000"/>
                <w:sz w:val="16"/>
                <w:szCs w:val="16"/>
              </w:rPr>
            </w:pPr>
          </w:p>
        </w:tc>
        <w:tc>
          <w:tcPr>
            <w:tcW w:w="1694" w:type="dxa"/>
            <w:noWrap/>
            <w:vAlign w:val="center"/>
          </w:tcPr>
          <w:p w14:paraId="15DB12D9" w14:textId="77777777" w:rsidR="00CC4100" w:rsidRPr="006D6338" w:rsidRDefault="00CC4100" w:rsidP="00CC4100">
            <w:pPr>
              <w:jc w:val="right"/>
              <w:rPr>
                <w:rFonts w:ascii="Calibri" w:eastAsia="Times New Roman" w:hAnsi="Calibri" w:cs="Calibri"/>
                <w:b/>
                <w:bCs/>
                <w:color w:val="000000"/>
                <w:sz w:val="16"/>
                <w:szCs w:val="16"/>
                <w:lang w:eastAsia="en-GB"/>
              </w:rPr>
            </w:pPr>
          </w:p>
        </w:tc>
        <w:tc>
          <w:tcPr>
            <w:tcW w:w="1717" w:type="dxa"/>
            <w:gridSpan w:val="2"/>
            <w:noWrap/>
            <w:vAlign w:val="center"/>
          </w:tcPr>
          <w:p w14:paraId="106EC3BC" w14:textId="77777777" w:rsidR="00CC4100" w:rsidRPr="006D6338" w:rsidRDefault="00CC4100" w:rsidP="00CC4100">
            <w:pPr>
              <w:jc w:val="right"/>
              <w:rPr>
                <w:rFonts w:ascii="Calibri" w:eastAsia="Calibri" w:hAnsi="Calibri" w:cs="Calibri"/>
                <w:b/>
                <w:bCs/>
                <w:color w:val="000000"/>
                <w:sz w:val="16"/>
                <w:szCs w:val="16"/>
              </w:rPr>
            </w:pPr>
          </w:p>
        </w:tc>
      </w:tr>
      <w:tr w:rsidR="00CC4100" w:rsidRPr="006D6338" w14:paraId="41A9345F" w14:textId="77777777" w:rsidTr="006D6338">
        <w:trPr>
          <w:trHeight w:val="20"/>
        </w:trPr>
        <w:tc>
          <w:tcPr>
            <w:tcW w:w="4609" w:type="dxa"/>
            <w:noWrap/>
            <w:vAlign w:val="center"/>
            <w:hideMark/>
          </w:tcPr>
          <w:p w14:paraId="356A4BD3"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 xml:space="preserve">Equity </w:t>
            </w:r>
          </w:p>
        </w:tc>
        <w:tc>
          <w:tcPr>
            <w:tcW w:w="799" w:type="dxa"/>
            <w:noWrap/>
            <w:vAlign w:val="center"/>
          </w:tcPr>
          <w:p w14:paraId="49EBB2FF" w14:textId="77777777" w:rsidR="00CC4100" w:rsidRPr="006D6338" w:rsidRDefault="00CC4100" w:rsidP="00CC4100">
            <w:pPr>
              <w:jc w:val="center"/>
              <w:rPr>
                <w:rFonts w:ascii="Calibri" w:eastAsia="Times New Roman" w:hAnsi="Calibri" w:cs="Calibri"/>
                <w:sz w:val="16"/>
                <w:szCs w:val="16"/>
                <w:lang w:eastAsia="en-GB"/>
              </w:rPr>
            </w:pPr>
          </w:p>
        </w:tc>
        <w:tc>
          <w:tcPr>
            <w:tcW w:w="1825" w:type="dxa"/>
            <w:noWrap/>
            <w:vAlign w:val="center"/>
          </w:tcPr>
          <w:p w14:paraId="723EB634" w14:textId="77777777" w:rsidR="00CC4100" w:rsidRPr="006D6338" w:rsidRDefault="00CC4100" w:rsidP="00CC4100">
            <w:pPr>
              <w:jc w:val="right"/>
              <w:rPr>
                <w:rFonts w:ascii="Calibri" w:eastAsia="Calibri" w:hAnsi="Calibri" w:cs="Calibri"/>
                <w:color w:val="000000"/>
                <w:sz w:val="16"/>
                <w:szCs w:val="16"/>
              </w:rPr>
            </w:pPr>
          </w:p>
        </w:tc>
        <w:tc>
          <w:tcPr>
            <w:tcW w:w="1694" w:type="dxa"/>
            <w:noWrap/>
            <w:vAlign w:val="center"/>
          </w:tcPr>
          <w:p w14:paraId="6AE0D35D" w14:textId="77777777" w:rsidR="00CC4100" w:rsidRPr="006D6338" w:rsidRDefault="00CC4100" w:rsidP="00CC4100">
            <w:pPr>
              <w:jc w:val="right"/>
              <w:rPr>
                <w:rFonts w:ascii="Calibri" w:eastAsia="Calibri" w:hAnsi="Calibri" w:cs="Calibri"/>
                <w:color w:val="000000"/>
                <w:sz w:val="16"/>
                <w:szCs w:val="16"/>
              </w:rPr>
            </w:pPr>
          </w:p>
        </w:tc>
        <w:tc>
          <w:tcPr>
            <w:tcW w:w="1717" w:type="dxa"/>
            <w:gridSpan w:val="2"/>
            <w:noWrap/>
            <w:vAlign w:val="center"/>
          </w:tcPr>
          <w:p w14:paraId="4E1974F8" w14:textId="77777777" w:rsidR="00CC4100" w:rsidRPr="006D6338" w:rsidRDefault="00CC4100" w:rsidP="00CC4100">
            <w:pPr>
              <w:jc w:val="right"/>
              <w:rPr>
                <w:rFonts w:ascii="Calibri" w:eastAsia="Calibri" w:hAnsi="Calibri" w:cs="Calibri"/>
                <w:color w:val="000000"/>
                <w:sz w:val="16"/>
                <w:szCs w:val="16"/>
              </w:rPr>
            </w:pPr>
          </w:p>
        </w:tc>
      </w:tr>
      <w:tr w:rsidR="00CC4100" w:rsidRPr="006D6338" w14:paraId="0869B83B" w14:textId="77777777" w:rsidTr="006D6338">
        <w:trPr>
          <w:trHeight w:val="20"/>
        </w:trPr>
        <w:tc>
          <w:tcPr>
            <w:tcW w:w="4609" w:type="dxa"/>
            <w:noWrap/>
            <w:vAlign w:val="center"/>
            <w:hideMark/>
          </w:tcPr>
          <w:p w14:paraId="134AF808"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Shareholders' Equity</w:t>
            </w:r>
          </w:p>
        </w:tc>
        <w:tc>
          <w:tcPr>
            <w:tcW w:w="799" w:type="dxa"/>
            <w:noWrap/>
            <w:vAlign w:val="center"/>
            <w:hideMark/>
          </w:tcPr>
          <w:p w14:paraId="3E1A0460"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0726BCEE"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742AB912"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260AD3BD"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59FF7786" w14:textId="77777777" w:rsidTr="006D6338">
        <w:trPr>
          <w:trHeight w:val="20"/>
        </w:trPr>
        <w:tc>
          <w:tcPr>
            <w:tcW w:w="4609" w:type="dxa"/>
            <w:noWrap/>
            <w:vAlign w:val="center"/>
            <w:hideMark/>
          </w:tcPr>
          <w:p w14:paraId="5ACD563F"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Called up share capital</w:t>
            </w:r>
          </w:p>
        </w:tc>
        <w:tc>
          <w:tcPr>
            <w:tcW w:w="799" w:type="dxa"/>
            <w:noWrap/>
            <w:vAlign w:val="center"/>
            <w:hideMark/>
          </w:tcPr>
          <w:p w14:paraId="12728C2D"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9</w:t>
            </w:r>
          </w:p>
        </w:tc>
        <w:tc>
          <w:tcPr>
            <w:tcW w:w="1825" w:type="dxa"/>
            <w:noWrap/>
            <w:vAlign w:val="center"/>
            <w:hideMark/>
          </w:tcPr>
          <w:p w14:paraId="4F78534B"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1,534,400</w:t>
            </w:r>
          </w:p>
        </w:tc>
        <w:tc>
          <w:tcPr>
            <w:tcW w:w="1694" w:type="dxa"/>
            <w:noWrap/>
            <w:vAlign w:val="center"/>
            <w:hideMark/>
          </w:tcPr>
          <w:p w14:paraId="56203FE2"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646,259</w:t>
            </w:r>
          </w:p>
        </w:tc>
        <w:tc>
          <w:tcPr>
            <w:tcW w:w="1717" w:type="dxa"/>
            <w:gridSpan w:val="2"/>
            <w:noWrap/>
            <w:vAlign w:val="center"/>
            <w:hideMark/>
          </w:tcPr>
          <w:p w14:paraId="2E3FA090"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1,243,275</w:t>
            </w:r>
          </w:p>
        </w:tc>
      </w:tr>
      <w:tr w:rsidR="00CC4100" w:rsidRPr="006D6338" w14:paraId="550FEB68" w14:textId="77777777" w:rsidTr="006D6338">
        <w:trPr>
          <w:trHeight w:val="20"/>
        </w:trPr>
        <w:tc>
          <w:tcPr>
            <w:tcW w:w="4609" w:type="dxa"/>
            <w:noWrap/>
            <w:vAlign w:val="center"/>
            <w:hideMark/>
          </w:tcPr>
          <w:p w14:paraId="389926E6"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Share premium account</w:t>
            </w:r>
          </w:p>
        </w:tc>
        <w:tc>
          <w:tcPr>
            <w:tcW w:w="799" w:type="dxa"/>
            <w:noWrap/>
            <w:vAlign w:val="center"/>
            <w:hideMark/>
          </w:tcPr>
          <w:p w14:paraId="66760983"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9</w:t>
            </w:r>
          </w:p>
        </w:tc>
        <w:tc>
          <w:tcPr>
            <w:tcW w:w="1825" w:type="dxa"/>
            <w:noWrap/>
            <w:vAlign w:val="center"/>
            <w:hideMark/>
          </w:tcPr>
          <w:p w14:paraId="5957DD20"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9,028,547</w:t>
            </w:r>
          </w:p>
        </w:tc>
        <w:tc>
          <w:tcPr>
            <w:tcW w:w="1694" w:type="dxa"/>
            <w:noWrap/>
            <w:vAlign w:val="center"/>
            <w:hideMark/>
          </w:tcPr>
          <w:p w14:paraId="1ACAFC1B"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6,257,651</w:t>
            </w:r>
          </w:p>
        </w:tc>
        <w:tc>
          <w:tcPr>
            <w:tcW w:w="1717" w:type="dxa"/>
            <w:gridSpan w:val="2"/>
            <w:noWrap/>
            <w:vAlign w:val="center"/>
            <w:hideMark/>
          </w:tcPr>
          <w:p w14:paraId="7836455D"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7,356,109</w:t>
            </w:r>
          </w:p>
        </w:tc>
      </w:tr>
      <w:tr w:rsidR="00CC4100" w:rsidRPr="006D6338" w14:paraId="6BAFC760" w14:textId="77777777" w:rsidTr="006D6338">
        <w:trPr>
          <w:trHeight w:val="20"/>
        </w:trPr>
        <w:tc>
          <w:tcPr>
            <w:tcW w:w="4609" w:type="dxa"/>
            <w:noWrap/>
            <w:vAlign w:val="center"/>
            <w:hideMark/>
          </w:tcPr>
          <w:p w14:paraId="5EC6E0E7"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Share option reserve</w:t>
            </w:r>
          </w:p>
        </w:tc>
        <w:tc>
          <w:tcPr>
            <w:tcW w:w="799" w:type="dxa"/>
            <w:noWrap/>
            <w:vAlign w:val="center"/>
            <w:hideMark/>
          </w:tcPr>
          <w:p w14:paraId="0EAEDBE2" w14:textId="77777777" w:rsidR="00CC4100" w:rsidRPr="006D6338" w:rsidRDefault="00CC4100" w:rsidP="00CC4100">
            <w:pPr>
              <w:jc w:val="cente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10</w:t>
            </w:r>
          </w:p>
        </w:tc>
        <w:tc>
          <w:tcPr>
            <w:tcW w:w="1825" w:type="dxa"/>
            <w:noWrap/>
            <w:vAlign w:val="center"/>
            <w:hideMark/>
          </w:tcPr>
          <w:p w14:paraId="65361809"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202,673</w:t>
            </w:r>
          </w:p>
        </w:tc>
        <w:tc>
          <w:tcPr>
            <w:tcW w:w="1694" w:type="dxa"/>
            <w:noWrap/>
            <w:vAlign w:val="center"/>
            <w:hideMark/>
          </w:tcPr>
          <w:p w14:paraId="6744EE2E"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159,361</w:t>
            </w:r>
          </w:p>
        </w:tc>
        <w:tc>
          <w:tcPr>
            <w:tcW w:w="1717" w:type="dxa"/>
            <w:gridSpan w:val="2"/>
            <w:noWrap/>
            <w:vAlign w:val="center"/>
            <w:hideMark/>
          </w:tcPr>
          <w:p w14:paraId="5A723D8A"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Times New Roman" w:hAnsi="Calibri" w:cs="Calibri"/>
                <w:sz w:val="16"/>
                <w:szCs w:val="16"/>
                <w:lang w:eastAsia="en-GB"/>
              </w:rPr>
              <w:t>259,163</w:t>
            </w:r>
          </w:p>
        </w:tc>
      </w:tr>
      <w:tr w:rsidR="00CC4100" w:rsidRPr="006D6338" w14:paraId="14FFE61E" w14:textId="77777777" w:rsidTr="006D6338">
        <w:trPr>
          <w:trHeight w:val="20"/>
        </w:trPr>
        <w:tc>
          <w:tcPr>
            <w:tcW w:w="4609" w:type="dxa"/>
            <w:noWrap/>
            <w:vAlign w:val="center"/>
            <w:hideMark/>
          </w:tcPr>
          <w:p w14:paraId="51808B76" w14:textId="77777777" w:rsidR="00CC4100" w:rsidRPr="006D6338" w:rsidRDefault="00CC4100" w:rsidP="00CC4100">
            <w:pPr>
              <w:jc w:val="both"/>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 xml:space="preserve">Other reserves </w:t>
            </w:r>
          </w:p>
        </w:tc>
        <w:tc>
          <w:tcPr>
            <w:tcW w:w="799" w:type="dxa"/>
            <w:noWrap/>
            <w:vAlign w:val="center"/>
            <w:hideMark/>
          </w:tcPr>
          <w:p w14:paraId="4B7302C3" w14:textId="77777777" w:rsidR="00CC4100" w:rsidRPr="006D6338" w:rsidRDefault="00CC4100" w:rsidP="00CC4100">
            <w:pPr>
              <w:spacing w:line="256" w:lineRule="auto"/>
              <w:rPr>
                <w:rFonts w:ascii="Calibri" w:eastAsia="Times New Roman" w:hAnsi="Calibri" w:cs="Calibri"/>
                <w:b/>
                <w:bCs/>
                <w:color w:val="000000"/>
                <w:sz w:val="16"/>
                <w:szCs w:val="16"/>
                <w:lang w:eastAsia="en-GB"/>
              </w:rPr>
            </w:pPr>
          </w:p>
        </w:tc>
        <w:tc>
          <w:tcPr>
            <w:tcW w:w="1825" w:type="dxa"/>
            <w:noWrap/>
            <w:vAlign w:val="center"/>
            <w:hideMark/>
          </w:tcPr>
          <w:p w14:paraId="163DC4F7"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(61,877)</w:t>
            </w:r>
          </w:p>
        </w:tc>
        <w:tc>
          <w:tcPr>
            <w:tcW w:w="1694" w:type="dxa"/>
            <w:noWrap/>
            <w:vAlign w:val="center"/>
            <w:hideMark/>
          </w:tcPr>
          <w:p w14:paraId="5AB9EE34"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(134,678)</w:t>
            </w:r>
          </w:p>
        </w:tc>
        <w:tc>
          <w:tcPr>
            <w:tcW w:w="1717" w:type="dxa"/>
            <w:gridSpan w:val="2"/>
            <w:noWrap/>
            <w:vAlign w:val="center"/>
            <w:hideMark/>
          </w:tcPr>
          <w:p w14:paraId="29F41CC1" w14:textId="77777777" w:rsidR="00CC4100" w:rsidRPr="006D6338" w:rsidRDefault="00CC4100" w:rsidP="00CC4100">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 xml:space="preserve">(161,445) </w:t>
            </w:r>
          </w:p>
        </w:tc>
      </w:tr>
      <w:tr w:rsidR="00CC4100" w:rsidRPr="006D6338" w14:paraId="5DCF6CF4" w14:textId="77777777" w:rsidTr="006D6338">
        <w:trPr>
          <w:trHeight w:val="20"/>
        </w:trPr>
        <w:tc>
          <w:tcPr>
            <w:tcW w:w="4609" w:type="dxa"/>
            <w:noWrap/>
            <w:vAlign w:val="center"/>
            <w:hideMark/>
          </w:tcPr>
          <w:p w14:paraId="382BC3BF" w14:textId="77777777" w:rsidR="00CC4100" w:rsidRPr="006D6338" w:rsidRDefault="00CC4100" w:rsidP="00CC4100">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Foreign exchange translation reserve </w:t>
            </w:r>
          </w:p>
        </w:tc>
        <w:tc>
          <w:tcPr>
            <w:tcW w:w="799" w:type="dxa"/>
            <w:noWrap/>
            <w:vAlign w:val="center"/>
          </w:tcPr>
          <w:p w14:paraId="02014EBB" w14:textId="77777777" w:rsidR="00CC4100" w:rsidRPr="006D6338" w:rsidRDefault="00CC4100" w:rsidP="00CC4100">
            <w:pPr>
              <w:jc w:val="center"/>
              <w:rPr>
                <w:rFonts w:ascii="Calibri" w:eastAsia="Times New Roman" w:hAnsi="Calibri" w:cs="Calibri"/>
                <w:b/>
                <w:bCs/>
                <w:color w:val="000000"/>
                <w:sz w:val="16"/>
                <w:szCs w:val="16"/>
                <w:lang w:eastAsia="en-GB"/>
              </w:rPr>
            </w:pPr>
          </w:p>
        </w:tc>
        <w:tc>
          <w:tcPr>
            <w:tcW w:w="1825" w:type="dxa"/>
            <w:noWrap/>
            <w:vAlign w:val="center"/>
            <w:hideMark/>
          </w:tcPr>
          <w:p w14:paraId="07361555"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(463,963)</w:t>
            </w:r>
          </w:p>
        </w:tc>
        <w:tc>
          <w:tcPr>
            <w:tcW w:w="1694" w:type="dxa"/>
            <w:noWrap/>
            <w:vAlign w:val="center"/>
            <w:hideMark/>
          </w:tcPr>
          <w:p w14:paraId="40DD169A"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(374,152)</w:t>
            </w:r>
          </w:p>
        </w:tc>
        <w:tc>
          <w:tcPr>
            <w:tcW w:w="1717" w:type="dxa"/>
            <w:gridSpan w:val="2"/>
            <w:noWrap/>
            <w:vAlign w:val="center"/>
            <w:hideMark/>
          </w:tcPr>
          <w:p w14:paraId="7CB8EFAB"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(343,476)</w:t>
            </w:r>
          </w:p>
        </w:tc>
      </w:tr>
      <w:tr w:rsidR="00CC4100" w:rsidRPr="006D6338" w14:paraId="1303EE3A" w14:textId="77777777" w:rsidTr="006D6338">
        <w:trPr>
          <w:trHeight w:val="20"/>
        </w:trPr>
        <w:tc>
          <w:tcPr>
            <w:tcW w:w="4609" w:type="dxa"/>
            <w:noWrap/>
            <w:vAlign w:val="center"/>
            <w:hideMark/>
          </w:tcPr>
          <w:p w14:paraId="7993B3D0"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Financial assets at FVOCI reserve</w:t>
            </w:r>
          </w:p>
        </w:tc>
        <w:tc>
          <w:tcPr>
            <w:tcW w:w="799" w:type="dxa"/>
            <w:noWrap/>
            <w:vAlign w:val="center"/>
            <w:hideMark/>
          </w:tcPr>
          <w:p w14:paraId="32663756"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825" w:type="dxa"/>
            <w:noWrap/>
            <w:vAlign w:val="center"/>
            <w:hideMark/>
          </w:tcPr>
          <w:p w14:paraId="1665B2FD"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682,140</w:t>
            </w:r>
          </w:p>
        </w:tc>
        <w:tc>
          <w:tcPr>
            <w:tcW w:w="1694" w:type="dxa"/>
            <w:noWrap/>
            <w:vAlign w:val="center"/>
            <w:hideMark/>
          </w:tcPr>
          <w:p w14:paraId="56905818"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(33,293)</w:t>
            </w:r>
          </w:p>
        </w:tc>
        <w:tc>
          <w:tcPr>
            <w:tcW w:w="1717" w:type="dxa"/>
            <w:gridSpan w:val="2"/>
            <w:noWrap/>
            <w:vAlign w:val="center"/>
            <w:hideMark/>
          </w:tcPr>
          <w:p w14:paraId="7A9075CB"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674,150</w:t>
            </w:r>
          </w:p>
        </w:tc>
      </w:tr>
      <w:tr w:rsidR="00CC4100" w:rsidRPr="006D6338" w14:paraId="225A5E9B" w14:textId="77777777" w:rsidTr="006D6338">
        <w:trPr>
          <w:trHeight w:val="20"/>
        </w:trPr>
        <w:tc>
          <w:tcPr>
            <w:tcW w:w="4609" w:type="dxa"/>
            <w:noWrap/>
            <w:vAlign w:val="center"/>
            <w:hideMark/>
          </w:tcPr>
          <w:p w14:paraId="18D6D5C1"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Retained earnings</w:t>
            </w:r>
          </w:p>
        </w:tc>
        <w:tc>
          <w:tcPr>
            <w:tcW w:w="799" w:type="dxa"/>
            <w:noWrap/>
            <w:vAlign w:val="center"/>
          </w:tcPr>
          <w:p w14:paraId="04D306D0" w14:textId="77777777" w:rsidR="00CC4100" w:rsidRPr="006D6338" w:rsidRDefault="00CC4100" w:rsidP="00CC4100">
            <w:pPr>
              <w:rPr>
                <w:rFonts w:ascii="Calibri" w:eastAsia="Times New Roman" w:hAnsi="Calibri" w:cs="Calibri"/>
                <w:b/>
                <w:bCs/>
                <w:color w:val="000000"/>
                <w:sz w:val="16"/>
                <w:szCs w:val="16"/>
                <w:lang w:eastAsia="en-GB"/>
              </w:rPr>
            </w:pPr>
          </w:p>
        </w:tc>
        <w:tc>
          <w:tcPr>
            <w:tcW w:w="1825" w:type="dxa"/>
            <w:noWrap/>
            <w:vAlign w:val="center"/>
            <w:hideMark/>
          </w:tcPr>
          <w:p w14:paraId="2EB907CB"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(4,301,305) </w:t>
            </w:r>
          </w:p>
        </w:tc>
        <w:tc>
          <w:tcPr>
            <w:tcW w:w="1694" w:type="dxa"/>
            <w:noWrap/>
            <w:vAlign w:val="center"/>
            <w:hideMark/>
          </w:tcPr>
          <w:p w14:paraId="0B6CD35C"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(3,722,634) </w:t>
            </w:r>
          </w:p>
        </w:tc>
        <w:tc>
          <w:tcPr>
            <w:tcW w:w="1717" w:type="dxa"/>
            <w:gridSpan w:val="2"/>
            <w:noWrap/>
            <w:vAlign w:val="center"/>
            <w:hideMark/>
          </w:tcPr>
          <w:p w14:paraId="68F53760" w14:textId="77777777" w:rsidR="00CC4100" w:rsidRPr="006D6338" w:rsidRDefault="00CC4100" w:rsidP="00CC4100">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(3,874,347) </w:t>
            </w:r>
          </w:p>
        </w:tc>
      </w:tr>
      <w:tr w:rsidR="00CC4100" w:rsidRPr="006D6338" w14:paraId="210BB948" w14:textId="77777777" w:rsidTr="006D6338">
        <w:trPr>
          <w:trHeight w:val="20"/>
        </w:trPr>
        <w:tc>
          <w:tcPr>
            <w:tcW w:w="4609" w:type="dxa"/>
            <w:noWrap/>
            <w:vAlign w:val="center"/>
            <w:hideMark/>
          </w:tcPr>
          <w:p w14:paraId="7FEC1607" w14:textId="77777777" w:rsidR="00CC4100" w:rsidRPr="006D6338" w:rsidRDefault="00CC4100" w:rsidP="00CC4100">
            <w:pPr>
              <w:spacing w:line="256" w:lineRule="auto"/>
              <w:rPr>
                <w:rFonts w:ascii="Calibri" w:eastAsia="Calibri" w:hAnsi="Calibri" w:cs="Calibri"/>
                <w:color w:val="000000"/>
                <w:sz w:val="16"/>
                <w:szCs w:val="16"/>
              </w:rPr>
            </w:pPr>
          </w:p>
        </w:tc>
        <w:tc>
          <w:tcPr>
            <w:tcW w:w="799" w:type="dxa"/>
            <w:noWrap/>
            <w:vAlign w:val="center"/>
            <w:hideMark/>
          </w:tcPr>
          <w:p w14:paraId="1F1613D0" w14:textId="77777777" w:rsidR="00CC4100" w:rsidRPr="006D6338" w:rsidRDefault="00CC4100" w:rsidP="00CC4100">
            <w:pPr>
              <w:spacing w:line="256" w:lineRule="auto"/>
              <w:rPr>
                <w:rFonts w:ascii="Calibri" w:eastAsia="Calibri" w:hAnsi="Calibri" w:cs="Calibri"/>
                <w:sz w:val="20"/>
                <w:szCs w:val="20"/>
                <w:lang w:eastAsia="en-GB"/>
              </w:rPr>
            </w:pPr>
          </w:p>
        </w:tc>
        <w:tc>
          <w:tcPr>
            <w:tcW w:w="1825" w:type="dxa"/>
            <w:noWrap/>
            <w:vAlign w:val="center"/>
            <w:hideMark/>
          </w:tcPr>
          <w:p w14:paraId="2D02E369" w14:textId="77777777" w:rsidR="00CC4100" w:rsidRPr="006D6338" w:rsidRDefault="00CC4100" w:rsidP="00CC4100">
            <w:pPr>
              <w:spacing w:line="256" w:lineRule="auto"/>
              <w:rPr>
                <w:rFonts w:ascii="Calibri" w:eastAsia="Calibri" w:hAnsi="Calibri" w:cs="Calibri"/>
                <w:sz w:val="20"/>
                <w:szCs w:val="20"/>
                <w:lang w:eastAsia="en-GB"/>
              </w:rPr>
            </w:pPr>
          </w:p>
        </w:tc>
        <w:tc>
          <w:tcPr>
            <w:tcW w:w="1694" w:type="dxa"/>
            <w:noWrap/>
            <w:vAlign w:val="center"/>
            <w:hideMark/>
          </w:tcPr>
          <w:p w14:paraId="62DB0C9B" w14:textId="77777777" w:rsidR="00CC4100" w:rsidRPr="006D6338" w:rsidRDefault="00CC4100" w:rsidP="00CC4100">
            <w:pPr>
              <w:spacing w:line="256" w:lineRule="auto"/>
              <w:rPr>
                <w:rFonts w:ascii="Calibri" w:eastAsia="Calibri" w:hAnsi="Calibri" w:cs="Calibri"/>
                <w:sz w:val="20"/>
                <w:szCs w:val="20"/>
                <w:lang w:eastAsia="en-GB"/>
              </w:rPr>
            </w:pPr>
          </w:p>
        </w:tc>
        <w:tc>
          <w:tcPr>
            <w:tcW w:w="1717" w:type="dxa"/>
            <w:gridSpan w:val="2"/>
            <w:noWrap/>
            <w:vAlign w:val="center"/>
            <w:hideMark/>
          </w:tcPr>
          <w:p w14:paraId="087F91DE" w14:textId="77777777" w:rsidR="00CC4100" w:rsidRPr="006D6338" w:rsidRDefault="00CC4100" w:rsidP="00CC4100">
            <w:pPr>
              <w:spacing w:line="256" w:lineRule="auto"/>
              <w:rPr>
                <w:rFonts w:ascii="Calibri" w:eastAsia="Calibri" w:hAnsi="Calibri" w:cs="Calibri"/>
                <w:sz w:val="20"/>
                <w:szCs w:val="20"/>
                <w:lang w:eastAsia="en-GB"/>
              </w:rPr>
            </w:pPr>
          </w:p>
        </w:tc>
      </w:tr>
      <w:tr w:rsidR="00CC4100" w:rsidRPr="006D6338" w14:paraId="7A8E11FE" w14:textId="77777777" w:rsidTr="006D6338">
        <w:trPr>
          <w:trHeight w:val="20"/>
        </w:trPr>
        <w:tc>
          <w:tcPr>
            <w:tcW w:w="4609" w:type="dxa"/>
            <w:noWrap/>
            <w:vAlign w:val="center"/>
          </w:tcPr>
          <w:p w14:paraId="59CFCB82" w14:textId="77777777" w:rsidR="00CC4100" w:rsidRPr="006D6338" w:rsidRDefault="00CC4100" w:rsidP="00CC4100">
            <w:pPr>
              <w:jc w:val="both"/>
              <w:rPr>
                <w:rFonts w:ascii="Calibri" w:eastAsia="Times New Roman" w:hAnsi="Calibri" w:cs="Calibri"/>
                <w:color w:val="000000"/>
                <w:sz w:val="16"/>
                <w:szCs w:val="16"/>
                <w:lang w:eastAsia="en-GB"/>
              </w:rPr>
            </w:pPr>
          </w:p>
        </w:tc>
        <w:tc>
          <w:tcPr>
            <w:tcW w:w="799" w:type="dxa"/>
            <w:noWrap/>
            <w:vAlign w:val="center"/>
          </w:tcPr>
          <w:p w14:paraId="13BF1797" w14:textId="77777777" w:rsidR="00CC4100" w:rsidRPr="006D6338" w:rsidRDefault="00CC4100" w:rsidP="00CC4100">
            <w:pPr>
              <w:rPr>
                <w:rFonts w:ascii="Calibri" w:eastAsia="Times New Roman" w:hAnsi="Calibri" w:cs="Calibri"/>
                <w:color w:val="000000"/>
                <w:sz w:val="16"/>
                <w:szCs w:val="16"/>
                <w:lang w:eastAsia="en-GB"/>
              </w:rPr>
            </w:pPr>
          </w:p>
        </w:tc>
        <w:tc>
          <w:tcPr>
            <w:tcW w:w="1825" w:type="dxa"/>
            <w:noWrap/>
            <w:vAlign w:val="center"/>
          </w:tcPr>
          <w:p w14:paraId="24F8BBC5" w14:textId="77777777" w:rsidR="00CC4100" w:rsidRPr="006D6338" w:rsidRDefault="00CC4100" w:rsidP="00CC4100">
            <w:pPr>
              <w:jc w:val="right"/>
              <w:rPr>
                <w:rFonts w:ascii="Calibri" w:eastAsia="Calibri" w:hAnsi="Calibri" w:cs="Calibri"/>
                <w:color w:val="000000"/>
                <w:sz w:val="16"/>
                <w:szCs w:val="16"/>
              </w:rPr>
            </w:pPr>
          </w:p>
        </w:tc>
        <w:tc>
          <w:tcPr>
            <w:tcW w:w="1694" w:type="dxa"/>
            <w:noWrap/>
            <w:vAlign w:val="center"/>
          </w:tcPr>
          <w:p w14:paraId="75484C14" w14:textId="77777777" w:rsidR="00CC4100" w:rsidRPr="006D6338" w:rsidRDefault="00CC4100" w:rsidP="00CC4100">
            <w:pPr>
              <w:jc w:val="right"/>
              <w:rPr>
                <w:rFonts w:ascii="Calibri" w:eastAsia="Calibri" w:hAnsi="Calibri" w:cs="Calibri"/>
                <w:color w:val="000000"/>
                <w:sz w:val="16"/>
                <w:szCs w:val="16"/>
              </w:rPr>
            </w:pPr>
          </w:p>
        </w:tc>
        <w:tc>
          <w:tcPr>
            <w:tcW w:w="1717" w:type="dxa"/>
            <w:gridSpan w:val="2"/>
            <w:noWrap/>
            <w:vAlign w:val="center"/>
          </w:tcPr>
          <w:p w14:paraId="719BA176" w14:textId="77777777" w:rsidR="00CC4100" w:rsidRPr="006D6338" w:rsidRDefault="00CC4100" w:rsidP="00CC4100">
            <w:pPr>
              <w:jc w:val="right"/>
              <w:rPr>
                <w:rFonts w:ascii="Calibri" w:eastAsia="Calibri" w:hAnsi="Calibri" w:cs="Calibri"/>
                <w:color w:val="000000"/>
                <w:sz w:val="16"/>
                <w:szCs w:val="16"/>
              </w:rPr>
            </w:pPr>
          </w:p>
        </w:tc>
      </w:tr>
      <w:tr w:rsidR="00CC4100" w:rsidRPr="006D6338" w14:paraId="63B2BA66" w14:textId="77777777" w:rsidTr="006D6338">
        <w:trPr>
          <w:trHeight w:val="20"/>
        </w:trPr>
        <w:tc>
          <w:tcPr>
            <w:tcW w:w="4609" w:type="dxa"/>
            <w:noWrap/>
            <w:vAlign w:val="center"/>
            <w:hideMark/>
          </w:tcPr>
          <w:p w14:paraId="37552D4B" w14:textId="77777777" w:rsidR="00CC4100" w:rsidRPr="006D6338" w:rsidRDefault="00CC4100" w:rsidP="00CC4100">
            <w:pPr>
              <w:jc w:val="both"/>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Total Equity</w:t>
            </w:r>
          </w:p>
        </w:tc>
        <w:tc>
          <w:tcPr>
            <w:tcW w:w="799" w:type="dxa"/>
            <w:noWrap/>
            <w:vAlign w:val="center"/>
            <w:hideMark/>
          </w:tcPr>
          <w:p w14:paraId="59B75F00" w14:textId="77777777" w:rsidR="00CC4100" w:rsidRPr="006D6338" w:rsidRDefault="00CC4100" w:rsidP="00CC4100">
            <w:pPr>
              <w:spacing w:line="256" w:lineRule="auto"/>
              <w:rPr>
                <w:rFonts w:ascii="Calibri" w:eastAsia="Times New Roman" w:hAnsi="Calibri" w:cs="Calibri"/>
                <w:color w:val="000000"/>
                <w:sz w:val="16"/>
                <w:szCs w:val="16"/>
                <w:lang w:eastAsia="en-GB"/>
              </w:rPr>
            </w:pPr>
          </w:p>
        </w:tc>
        <w:tc>
          <w:tcPr>
            <w:tcW w:w="1825" w:type="dxa"/>
            <w:noWrap/>
            <w:vAlign w:val="center"/>
            <w:hideMark/>
          </w:tcPr>
          <w:p w14:paraId="6AC46B26" w14:textId="77777777" w:rsidR="00CC4100" w:rsidRPr="006D6338" w:rsidRDefault="00CC4100" w:rsidP="00CC4100">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6,620,615</w:t>
            </w:r>
          </w:p>
        </w:tc>
        <w:tc>
          <w:tcPr>
            <w:tcW w:w="1694" w:type="dxa"/>
            <w:noWrap/>
            <w:vAlign w:val="center"/>
            <w:hideMark/>
          </w:tcPr>
          <w:p w14:paraId="0C4F7D14"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2,798,514</w:t>
            </w:r>
          </w:p>
        </w:tc>
        <w:tc>
          <w:tcPr>
            <w:tcW w:w="1717" w:type="dxa"/>
            <w:gridSpan w:val="2"/>
            <w:noWrap/>
            <w:vAlign w:val="center"/>
            <w:hideMark/>
          </w:tcPr>
          <w:p w14:paraId="607E2DDF" w14:textId="77777777" w:rsidR="00CC4100" w:rsidRPr="006D6338" w:rsidRDefault="00CC4100" w:rsidP="00CC4100">
            <w:pPr>
              <w:jc w:val="right"/>
              <w:rPr>
                <w:rFonts w:ascii="Calibri" w:eastAsia="Times New Roman" w:hAnsi="Calibri" w:cs="Calibri"/>
                <w:color w:val="000000"/>
                <w:sz w:val="16"/>
                <w:szCs w:val="16"/>
                <w:lang w:eastAsia="en-GB"/>
              </w:rPr>
            </w:pPr>
            <w:r w:rsidRPr="006D6338">
              <w:rPr>
                <w:rFonts w:ascii="Calibri" w:eastAsia="Calibri" w:hAnsi="Calibri" w:cs="Calibri"/>
                <w:b/>
                <w:bCs/>
                <w:color w:val="000000"/>
                <w:sz w:val="16"/>
                <w:szCs w:val="16"/>
              </w:rPr>
              <w:t>5,153,429</w:t>
            </w:r>
          </w:p>
        </w:tc>
      </w:tr>
      <w:tr w:rsidR="00CC4100" w:rsidRPr="006D6338" w14:paraId="70A98D61" w14:textId="77777777" w:rsidTr="006D6338">
        <w:trPr>
          <w:trHeight w:val="20"/>
        </w:trPr>
        <w:tc>
          <w:tcPr>
            <w:tcW w:w="4609" w:type="dxa"/>
            <w:noWrap/>
            <w:vAlign w:val="center"/>
          </w:tcPr>
          <w:p w14:paraId="5AA5B498" w14:textId="77777777" w:rsidR="00CC4100" w:rsidRPr="006D6338" w:rsidRDefault="00CC4100" w:rsidP="00CC4100">
            <w:pPr>
              <w:jc w:val="both"/>
              <w:rPr>
                <w:rFonts w:ascii="Calibri" w:eastAsia="Times New Roman" w:hAnsi="Calibri" w:cs="Calibri"/>
                <w:color w:val="000000"/>
                <w:sz w:val="16"/>
                <w:szCs w:val="16"/>
                <w:lang w:eastAsia="en-GB"/>
              </w:rPr>
            </w:pPr>
          </w:p>
        </w:tc>
        <w:tc>
          <w:tcPr>
            <w:tcW w:w="799" w:type="dxa"/>
            <w:noWrap/>
            <w:vAlign w:val="center"/>
          </w:tcPr>
          <w:p w14:paraId="220E0762" w14:textId="77777777" w:rsidR="00CC4100" w:rsidRPr="006D6338" w:rsidRDefault="00CC4100" w:rsidP="00CC4100">
            <w:pPr>
              <w:jc w:val="both"/>
              <w:rPr>
                <w:rFonts w:ascii="Calibri" w:eastAsia="Times New Roman" w:hAnsi="Calibri" w:cs="Calibri"/>
                <w:color w:val="000000"/>
                <w:sz w:val="16"/>
                <w:szCs w:val="16"/>
                <w:lang w:eastAsia="en-GB"/>
              </w:rPr>
            </w:pPr>
          </w:p>
        </w:tc>
        <w:tc>
          <w:tcPr>
            <w:tcW w:w="1825" w:type="dxa"/>
            <w:noWrap/>
            <w:vAlign w:val="center"/>
          </w:tcPr>
          <w:p w14:paraId="0F3DFE1E" w14:textId="77777777" w:rsidR="00CC4100" w:rsidRPr="006D6338" w:rsidRDefault="00CC4100" w:rsidP="00CC4100">
            <w:pPr>
              <w:jc w:val="right"/>
              <w:rPr>
                <w:rFonts w:ascii="Calibri" w:eastAsia="Calibri" w:hAnsi="Calibri" w:cs="Calibri"/>
                <w:color w:val="000000"/>
                <w:sz w:val="16"/>
                <w:szCs w:val="16"/>
              </w:rPr>
            </w:pPr>
          </w:p>
        </w:tc>
        <w:tc>
          <w:tcPr>
            <w:tcW w:w="1694" w:type="dxa"/>
            <w:noWrap/>
            <w:vAlign w:val="center"/>
          </w:tcPr>
          <w:p w14:paraId="584A6B43" w14:textId="77777777" w:rsidR="00CC4100" w:rsidRPr="006D6338" w:rsidRDefault="00CC4100" w:rsidP="00CC4100">
            <w:pPr>
              <w:jc w:val="right"/>
              <w:rPr>
                <w:rFonts w:ascii="Calibri" w:eastAsia="Times New Roman" w:hAnsi="Calibri" w:cs="Calibri"/>
                <w:color w:val="000000"/>
                <w:sz w:val="16"/>
                <w:szCs w:val="16"/>
                <w:lang w:eastAsia="en-GB"/>
              </w:rPr>
            </w:pPr>
          </w:p>
        </w:tc>
        <w:tc>
          <w:tcPr>
            <w:tcW w:w="1717" w:type="dxa"/>
            <w:gridSpan w:val="2"/>
            <w:noWrap/>
            <w:vAlign w:val="center"/>
          </w:tcPr>
          <w:p w14:paraId="3A01C32E" w14:textId="77777777" w:rsidR="00CC4100" w:rsidRPr="006D6338" w:rsidRDefault="00CC4100" w:rsidP="00CC4100">
            <w:pPr>
              <w:jc w:val="right"/>
              <w:rPr>
                <w:rFonts w:ascii="Calibri" w:eastAsia="Calibri" w:hAnsi="Calibri" w:cs="Calibri"/>
                <w:color w:val="000000"/>
                <w:sz w:val="16"/>
                <w:szCs w:val="16"/>
              </w:rPr>
            </w:pPr>
          </w:p>
        </w:tc>
      </w:tr>
    </w:tbl>
    <w:p w14:paraId="424B0413" w14:textId="77777777" w:rsidR="00CC4100" w:rsidRPr="006D6338" w:rsidRDefault="00CC4100" w:rsidP="00CC4100">
      <w:pPr>
        <w:spacing w:line="256" w:lineRule="auto"/>
        <w:jc w:val="both"/>
        <w:rPr>
          <w:rFonts w:ascii="Calibri" w:eastAsia="Calibri" w:hAnsi="Calibri" w:cs="Calibri"/>
          <w:sz w:val="16"/>
          <w:szCs w:val="16"/>
        </w:rPr>
      </w:pPr>
    </w:p>
    <w:p w14:paraId="716D1B56" w14:textId="77777777" w:rsidR="00CC4100" w:rsidRPr="006D6338" w:rsidRDefault="00CC4100" w:rsidP="00CC4100">
      <w:pPr>
        <w:spacing w:line="256" w:lineRule="auto"/>
        <w:jc w:val="both"/>
        <w:rPr>
          <w:rFonts w:ascii="Calibri" w:eastAsia="Calibri" w:hAnsi="Calibri" w:cs="Calibri"/>
          <w:sz w:val="16"/>
          <w:szCs w:val="16"/>
        </w:rPr>
      </w:pPr>
    </w:p>
    <w:p w14:paraId="01BEA6D6" w14:textId="77777777" w:rsidR="00CC4100" w:rsidRPr="006D6338"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br w:type="page"/>
      </w:r>
    </w:p>
    <w:tbl>
      <w:tblPr>
        <w:tblW w:w="10470" w:type="dxa"/>
        <w:tblLayout w:type="fixed"/>
        <w:tblLook w:val="04A0" w:firstRow="1" w:lastRow="0" w:firstColumn="1" w:lastColumn="0" w:noHBand="0" w:noVBand="1"/>
      </w:tblPr>
      <w:tblGrid>
        <w:gridCol w:w="3687"/>
        <w:gridCol w:w="850"/>
        <w:gridCol w:w="1775"/>
        <w:gridCol w:w="2079"/>
        <w:gridCol w:w="2079"/>
      </w:tblGrid>
      <w:tr w:rsidR="00CC4100" w:rsidRPr="006D6338" w14:paraId="1A284DC3" w14:textId="77777777" w:rsidTr="00A44FCD">
        <w:trPr>
          <w:trHeight w:val="300"/>
        </w:trPr>
        <w:tc>
          <w:tcPr>
            <w:tcW w:w="10470" w:type="dxa"/>
            <w:gridSpan w:val="5"/>
            <w:noWrap/>
            <w:vAlign w:val="center"/>
            <w:hideMark/>
          </w:tcPr>
          <w:p w14:paraId="0A131C10" w14:textId="77777777" w:rsidR="00CC4100" w:rsidRPr="006D6338" w:rsidRDefault="00CC4100" w:rsidP="00A44FCD">
            <w:pPr>
              <w:jc w:val="both"/>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Consolidated Statement of Cash flows</w:t>
            </w:r>
          </w:p>
        </w:tc>
      </w:tr>
      <w:tr w:rsidR="00CC4100" w:rsidRPr="006D6338" w14:paraId="616C4064" w14:textId="77777777" w:rsidTr="00A44FCD">
        <w:trPr>
          <w:trHeight w:val="300"/>
        </w:trPr>
        <w:tc>
          <w:tcPr>
            <w:tcW w:w="4537" w:type="dxa"/>
            <w:gridSpan w:val="2"/>
            <w:noWrap/>
            <w:vAlign w:val="center"/>
            <w:hideMark/>
          </w:tcPr>
          <w:p w14:paraId="173BE1F0" w14:textId="77777777" w:rsidR="00CC4100" w:rsidRPr="006D6338" w:rsidRDefault="00CC4100" w:rsidP="00A44FCD">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for the six months ended 30 June 2026</w:t>
            </w:r>
          </w:p>
        </w:tc>
        <w:tc>
          <w:tcPr>
            <w:tcW w:w="1775" w:type="dxa"/>
            <w:noWrap/>
            <w:vAlign w:val="bottom"/>
            <w:hideMark/>
          </w:tcPr>
          <w:p w14:paraId="6F576FF1"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2079" w:type="dxa"/>
            <w:noWrap/>
            <w:vAlign w:val="bottom"/>
            <w:hideMark/>
          </w:tcPr>
          <w:p w14:paraId="086E5825"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0C38283C"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53FEDC69" w14:textId="77777777" w:rsidTr="00A44FCD">
        <w:trPr>
          <w:trHeight w:val="300"/>
        </w:trPr>
        <w:tc>
          <w:tcPr>
            <w:tcW w:w="3687" w:type="dxa"/>
            <w:noWrap/>
            <w:vAlign w:val="bottom"/>
            <w:hideMark/>
          </w:tcPr>
          <w:p w14:paraId="10EF17D2" w14:textId="77777777" w:rsidR="00CC4100" w:rsidRPr="006D6338" w:rsidRDefault="00CC4100" w:rsidP="00A44FCD">
            <w:pPr>
              <w:spacing w:line="256" w:lineRule="auto"/>
              <w:rPr>
                <w:rFonts w:ascii="Calibri" w:eastAsia="Calibri" w:hAnsi="Calibri" w:cs="Calibri"/>
                <w:sz w:val="20"/>
                <w:szCs w:val="20"/>
                <w:lang w:eastAsia="en-GB"/>
              </w:rPr>
            </w:pPr>
          </w:p>
        </w:tc>
        <w:tc>
          <w:tcPr>
            <w:tcW w:w="850" w:type="dxa"/>
            <w:noWrap/>
            <w:vAlign w:val="bottom"/>
            <w:hideMark/>
          </w:tcPr>
          <w:p w14:paraId="3F717E73"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noWrap/>
            <w:vAlign w:val="center"/>
            <w:hideMark/>
          </w:tcPr>
          <w:p w14:paraId="000CCD3C" w14:textId="77777777" w:rsidR="00CC4100" w:rsidRPr="006D6338" w:rsidRDefault="00CC4100" w:rsidP="00A44FCD">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2079" w:type="dxa"/>
            <w:noWrap/>
            <w:vAlign w:val="center"/>
            <w:hideMark/>
          </w:tcPr>
          <w:p w14:paraId="062A26E8" w14:textId="77777777" w:rsidR="00CC4100" w:rsidRPr="006D6338" w:rsidRDefault="00CC4100" w:rsidP="00A44FCD">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Unaudited </w:t>
            </w:r>
          </w:p>
        </w:tc>
        <w:tc>
          <w:tcPr>
            <w:tcW w:w="2079" w:type="dxa"/>
            <w:noWrap/>
            <w:vAlign w:val="center"/>
            <w:hideMark/>
          </w:tcPr>
          <w:p w14:paraId="1A2336ED" w14:textId="77777777" w:rsidR="00CC4100" w:rsidRPr="006D6338" w:rsidRDefault="00CC4100" w:rsidP="00A44FCD">
            <w:pPr>
              <w:jc w:val="right"/>
              <w:rPr>
                <w:rFonts w:ascii="Calibri" w:eastAsia="Times New Roman" w:hAnsi="Calibri" w:cs="Calibri"/>
                <w:b/>
                <w:bCs/>
                <w:i/>
                <w:iCs/>
                <w:color w:val="000000"/>
                <w:sz w:val="16"/>
                <w:szCs w:val="16"/>
                <w:lang w:eastAsia="en-GB"/>
              </w:rPr>
            </w:pPr>
            <w:r w:rsidRPr="006D6338">
              <w:rPr>
                <w:rFonts w:ascii="Calibri" w:eastAsia="Times New Roman" w:hAnsi="Calibri" w:cs="Calibri"/>
                <w:b/>
                <w:bCs/>
                <w:i/>
                <w:iCs/>
                <w:color w:val="000000"/>
                <w:sz w:val="16"/>
                <w:szCs w:val="16"/>
                <w:lang w:eastAsia="en-GB"/>
              </w:rPr>
              <w:t xml:space="preserve"> Audited </w:t>
            </w:r>
          </w:p>
        </w:tc>
      </w:tr>
      <w:tr w:rsidR="00CC4100" w:rsidRPr="006D6338" w14:paraId="126005BF" w14:textId="77777777" w:rsidTr="00A44FCD">
        <w:trPr>
          <w:trHeight w:val="600"/>
        </w:trPr>
        <w:tc>
          <w:tcPr>
            <w:tcW w:w="3687" w:type="dxa"/>
            <w:noWrap/>
            <w:vAlign w:val="bottom"/>
            <w:hideMark/>
          </w:tcPr>
          <w:p w14:paraId="735A8645" w14:textId="77777777" w:rsidR="00CC4100" w:rsidRPr="006D6338" w:rsidRDefault="00CC4100" w:rsidP="00A44FCD">
            <w:pPr>
              <w:spacing w:line="256" w:lineRule="auto"/>
              <w:rPr>
                <w:rFonts w:ascii="Calibri" w:eastAsia="Times New Roman" w:hAnsi="Calibri" w:cs="Calibri"/>
                <w:b/>
                <w:bCs/>
                <w:i/>
                <w:iCs/>
                <w:color w:val="000000"/>
                <w:sz w:val="16"/>
                <w:szCs w:val="16"/>
                <w:lang w:eastAsia="en-GB"/>
              </w:rPr>
            </w:pPr>
          </w:p>
        </w:tc>
        <w:tc>
          <w:tcPr>
            <w:tcW w:w="850" w:type="dxa"/>
            <w:noWrap/>
            <w:vAlign w:val="bottom"/>
            <w:hideMark/>
          </w:tcPr>
          <w:p w14:paraId="72DE02CB"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vAlign w:val="center"/>
            <w:hideMark/>
          </w:tcPr>
          <w:p w14:paraId="4A1E1E0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6 months ended  </w:t>
            </w:r>
          </w:p>
        </w:tc>
        <w:tc>
          <w:tcPr>
            <w:tcW w:w="2079" w:type="dxa"/>
            <w:vAlign w:val="center"/>
            <w:hideMark/>
          </w:tcPr>
          <w:p w14:paraId="0071FAB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6 months ended  </w:t>
            </w:r>
          </w:p>
        </w:tc>
        <w:tc>
          <w:tcPr>
            <w:tcW w:w="2079" w:type="dxa"/>
            <w:vAlign w:val="center"/>
            <w:hideMark/>
          </w:tcPr>
          <w:p w14:paraId="2FACC72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Year ended  </w:t>
            </w:r>
          </w:p>
        </w:tc>
      </w:tr>
      <w:tr w:rsidR="00CC4100" w:rsidRPr="006D6338" w14:paraId="20BB7DE9" w14:textId="77777777" w:rsidTr="00A44FCD">
        <w:trPr>
          <w:trHeight w:val="600"/>
        </w:trPr>
        <w:tc>
          <w:tcPr>
            <w:tcW w:w="3687" w:type="dxa"/>
            <w:noWrap/>
            <w:vAlign w:val="bottom"/>
            <w:hideMark/>
          </w:tcPr>
          <w:p w14:paraId="08C93DAE"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850" w:type="dxa"/>
            <w:noWrap/>
            <w:vAlign w:val="bottom"/>
            <w:hideMark/>
          </w:tcPr>
          <w:p w14:paraId="2B4FEA68"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vAlign w:val="center"/>
            <w:hideMark/>
          </w:tcPr>
          <w:p w14:paraId="33E05DBA"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'26 </w:t>
            </w:r>
          </w:p>
        </w:tc>
        <w:tc>
          <w:tcPr>
            <w:tcW w:w="2079" w:type="dxa"/>
            <w:vAlign w:val="center"/>
            <w:hideMark/>
          </w:tcPr>
          <w:p w14:paraId="417884C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30 June '25</w:t>
            </w:r>
          </w:p>
        </w:tc>
        <w:tc>
          <w:tcPr>
            <w:tcW w:w="2079" w:type="dxa"/>
            <w:vAlign w:val="center"/>
            <w:hideMark/>
          </w:tcPr>
          <w:p w14:paraId="478A53B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31 Dec '25 </w:t>
            </w:r>
          </w:p>
        </w:tc>
      </w:tr>
      <w:tr w:rsidR="00CC4100" w:rsidRPr="006D6338" w14:paraId="1359E70B" w14:textId="77777777" w:rsidTr="00A44FCD">
        <w:trPr>
          <w:trHeight w:val="300"/>
        </w:trPr>
        <w:tc>
          <w:tcPr>
            <w:tcW w:w="3687" w:type="dxa"/>
            <w:noWrap/>
            <w:vAlign w:val="bottom"/>
            <w:hideMark/>
          </w:tcPr>
          <w:p w14:paraId="53DA1DF9"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850" w:type="dxa"/>
            <w:noWrap/>
            <w:vAlign w:val="bottom"/>
            <w:hideMark/>
          </w:tcPr>
          <w:p w14:paraId="71BCBA7D"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vAlign w:val="center"/>
            <w:hideMark/>
          </w:tcPr>
          <w:p w14:paraId="704B2FD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2079" w:type="dxa"/>
            <w:vAlign w:val="center"/>
            <w:hideMark/>
          </w:tcPr>
          <w:p w14:paraId="0F78250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2079" w:type="dxa"/>
            <w:vAlign w:val="center"/>
            <w:hideMark/>
          </w:tcPr>
          <w:p w14:paraId="0F322FA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56F17069" w14:textId="77777777" w:rsidTr="00A44FCD">
        <w:trPr>
          <w:trHeight w:val="300"/>
        </w:trPr>
        <w:tc>
          <w:tcPr>
            <w:tcW w:w="3687" w:type="dxa"/>
            <w:noWrap/>
            <w:vAlign w:val="bottom"/>
            <w:hideMark/>
          </w:tcPr>
          <w:p w14:paraId="7B014345"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Cash flows from operating activities</w:t>
            </w:r>
          </w:p>
        </w:tc>
        <w:tc>
          <w:tcPr>
            <w:tcW w:w="850" w:type="dxa"/>
            <w:noWrap/>
            <w:vAlign w:val="bottom"/>
            <w:hideMark/>
          </w:tcPr>
          <w:p w14:paraId="7A7EA9B2"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noWrap/>
            <w:vAlign w:val="bottom"/>
            <w:hideMark/>
          </w:tcPr>
          <w:p w14:paraId="684106A0"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21A816CC"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487F4E73"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671CF48F" w14:textId="77777777" w:rsidTr="00A44FCD">
        <w:trPr>
          <w:trHeight w:val="300"/>
        </w:trPr>
        <w:tc>
          <w:tcPr>
            <w:tcW w:w="3687" w:type="dxa"/>
            <w:noWrap/>
            <w:vAlign w:val="bottom"/>
            <w:hideMark/>
          </w:tcPr>
          <w:p w14:paraId="077255CC"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Loss for the period </w:t>
            </w:r>
          </w:p>
        </w:tc>
        <w:tc>
          <w:tcPr>
            <w:tcW w:w="850" w:type="dxa"/>
            <w:noWrap/>
            <w:vAlign w:val="bottom"/>
            <w:hideMark/>
          </w:tcPr>
          <w:p w14:paraId="48522AEE"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hideMark/>
          </w:tcPr>
          <w:p w14:paraId="1345D2A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(647,532)</w:t>
            </w:r>
          </w:p>
        </w:tc>
        <w:tc>
          <w:tcPr>
            <w:tcW w:w="2079" w:type="dxa"/>
            <w:noWrap/>
            <w:vAlign w:val="bottom"/>
            <w:hideMark/>
          </w:tcPr>
          <w:p w14:paraId="78AF944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r w:rsidRPr="006D6338">
              <w:rPr>
                <w:rFonts w:ascii="Calibri" w:eastAsia="Calibri" w:hAnsi="Calibri" w:cs="Calibri"/>
                <w:bCs/>
                <w:color w:val="000000"/>
                <w:sz w:val="16"/>
                <w:szCs w:val="16"/>
              </w:rPr>
              <w:t>375,019</w:t>
            </w:r>
            <w:r w:rsidRPr="006D6338">
              <w:rPr>
                <w:rFonts w:ascii="Calibri" w:eastAsia="Calibri" w:hAnsi="Calibri" w:cs="Calibri"/>
                <w:color w:val="000000"/>
                <w:sz w:val="16"/>
                <w:szCs w:val="16"/>
              </w:rPr>
              <w:t>)</w:t>
            </w:r>
          </w:p>
        </w:tc>
        <w:tc>
          <w:tcPr>
            <w:tcW w:w="2079" w:type="dxa"/>
            <w:noWrap/>
            <w:vAlign w:val="bottom"/>
            <w:hideMark/>
          </w:tcPr>
          <w:p w14:paraId="02D9584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(553,499)</w:t>
            </w:r>
          </w:p>
        </w:tc>
      </w:tr>
      <w:tr w:rsidR="00CC4100" w:rsidRPr="006D6338" w14:paraId="66D33AC2" w14:textId="77777777" w:rsidTr="00A44FCD">
        <w:trPr>
          <w:trHeight w:val="300"/>
        </w:trPr>
        <w:tc>
          <w:tcPr>
            <w:tcW w:w="3687" w:type="dxa"/>
            <w:noWrap/>
            <w:vAlign w:val="center"/>
            <w:hideMark/>
          </w:tcPr>
          <w:p w14:paraId="5CDEFE72" w14:textId="77777777" w:rsidR="00CC4100" w:rsidRPr="006D6338" w:rsidRDefault="00CC4100" w:rsidP="00A44FCD">
            <w:pPr>
              <w:rPr>
                <w:rFonts w:ascii="Calibri" w:eastAsia="Times New Roman" w:hAnsi="Calibri" w:cs="Calibri"/>
                <w:i/>
                <w:iCs/>
                <w:color w:val="000000"/>
                <w:sz w:val="16"/>
                <w:szCs w:val="16"/>
                <w:lang w:eastAsia="en-GB"/>
              </w:rPr>
            </w:pPr>
            <w:r w:rsidRPr="006D6338">
              <w:rPr>
                <w:rFonts w:ascii="Calibri" w:eastAsia="Times New Roman" w:hAnsi="Calibri" w:cs="Calibri"/>
                <w:i/>
                <w:iCs/>
                <w:color w:val="000000"/>
                <w:sz w:val="16"/>
                <w:szCs w:val="16"/>
                <w:lang w:eastAsia="en-GB"/>
              </w:rPr>
              <w:t>Adjustments for</w:t>
            </w:r>
            <w:r w:rsidRPr="006D6338">
              <w:rPr>
                <w:rFonts w:ascii="Calibri" w:eastAsia="Times New Roman" w:hAnsi="Calibri" w:cs="Calibri"/>
                <w:color w:val="000000"/>
                <w:sz w:val="16"/>
                <w:szCs w:val="16"/>
                <w:lang w:eastAsia="en-GB"/>
              </w:rPr>
              <w:t>:</w:t>
            </w:r>
          </w:p>
        </w:tc>
        <w:tc>
          <w:tcPr>
            <w:tcW w:w="850" w:type="dxa"/>
            <w:noWrap/>
            <w:vAlign w:val="center"/>
            <w:hideMark/>
          </w:tcPr>
          <w:p w14:paraId="71D44CDA" w14:textId="77777777" w:rsidR="00CC4100" w:rsidRPr="006D6338" w:rsidRDefault="00CC4100" w:rsidP="00A44FCD">
            <w:pPr>
              <w:spacing w:line="256" w:lineRule="auto"/>
              <w:rPr>
                <w:rFonts w:ascii="Calibri" w:eastAsia="Times New Roman" w:hAnsi="Calibri" w:cs="Calibri"/>
                <w:i/>
                <w:iCs/>
                <w:color w:val="000000"/>
                <w:sz w:val="16"/>
                <w:szCs w:val="16"/>
                <w:lang w:eastAsia="en-GB"/>
              </w:rPr>
            </w:pPr>
          </w:p>
        </w:tc>
        <w:tc>
          <w:tcPr>
            <w:tcW w:w="1775" w:type="dxa"/>
            <w:noWrap/>
            <w:vAlign w:val="bottom"/>
            <w:hideMark/>
          </w:tcPr>
          <w:p w14:paraId="7895478B"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11E6A58C"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58699DAF"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306CED27" w14:textId="77777777" w:rsidTr="00A44FCD">
        <w:trPr>
          <w:trHeight w:val="300"/>
        </w:trPr>
        <w:tc>
          <w:tcPr>
            <w:tcW w:w="3687" w:type="dxa"/>
            <w:noWrap/>
            <w:vAlign w:val="bottom"/>
            <w:hideMark/>
          </w:tcPr>
          <w:p w14:paraId="50820BCD"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Depreciation of property, plant and equipment</w:t>
            </w:r>
          </w:p>
        </w:tc>
        <w:tc>
          <w:tcPr>
            <w:tcW w:w="850" w:type="dxa"/>
            <w:noWrap/>
            <w:vAlign w:val="bottom"/>
            <w:hideMark/>
          </w:tcPr>
          <w:p w14:paraId="280BA3D2"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hideMark/>
          </w:tcPr>
          <w:p w14:paraId="61987BCA"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2079" w:type="dxa"/>
            <w:noWrap/>
            <w:vAlign w:val="bottom"/>
            <w:hideMark/>
          </w:tcPr>
          <w:p w14:paraId="31D1DFA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252</w:t>
            </w:r>
          </w:p>
        </w:tc>
        <w:tc>
          <w:tcPr>
            <w:tcW w:w="2079" w:type="dxa"/>
            <w:noWrap/>
            <w:vAlign w:val="bottom"/>
            <w:hideMark/>
          </w:tcPr>
          <w:p w14:paraId="5B7EF43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504</w:t>
            </w:r>
          </w:p>
        </w:tc>
      </w:tr>
      <w:tr w:rsidR="00CC4100" w:rsidRPr="006D6338" w14:paraId="7CA21F0E" w14:textId="77777777" w:rsidTr="00A44FCD">
        <w:trPr>
          <w:trHeight w:val="300"/>
        </w:trPr>
        <w:tc>
          <w:tcPr>
            <w:tcW w:w="3687" w:type="dxa"/>
            <w:noWrap/>
            <w:vAlign w:val="bottom"/>
            <w:hideMark/>
          </w:tcPr>
          <w:p w14:paraId="5DD2C9F5"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Impairment of exploration and evaluation assets</w:t>
            </w:r>
          </w:p>
        </w:tc>
        <w:tc>
          <w:tcPr>
            <w:tcW w:w="850" w:type="dxa"/>
            <w:noWrap/>
            <w:vAlign w:val="bottom"/>
            <w:hideMark/>
          </w:tcPr>
          <w:p w14:paraId="7A9A9F35"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hideMark/>
          </w:tcPr>
          <w:p w14:paraId="18DAA0FA"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2079" w:type="dxa"/>
            <w:noWrap/>
            <w:vAlign w:val="bottom"/>
            <w:hideMark/>
          </w:tcPr>
          <w:p w14:paraId="165E5FE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2079" w:type="dxa"/>
            <w:noWrap/>
            <w:vAlign w:val="bottom"/>
            <w:hideMark/>
          </w:tcPr>
          <w:p w14:paraId="3D90F209"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142,493</w:t>
            </w:r>
          </w:p>
        </w:tc>
      </w:tr>
      <w:tr w:rsidR="00CC4100" w:rsidRPr="006D6338" w14:paraId="02427434" w14:textId="77777777" w:rsidTr="00A44FCD">
        <w:trPr>
          <w:trHeight w:val="300"/>
        </w:trPr>
        <w:tc>
          <w:tcPr>
            <w:tcW w:w="3687" w:type="dxa"/>
            <w:noWrap/>
            <w:vAlign w:val="bottom"/>
          </w:tcPr>
          <w:p w14:paraId="728E497A"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Profit/(loss) on disposal of assets held for sale</w:t>
            </w:r>
          </w:p>
        </w:tc>
        <w:tc>
          <w:tcPr>
            <w:tcW w:w="850" w:type="dxa"/>
            <w:noWrap/>
            <w:vAlign w:val="bottom"/>
          </w:tcPr>
          <w:p w14:paraId="57A5D504"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tcPr>
          <w:p w14:paraId="0FE9D27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(6,622)</w:t>
            </w:r>
          </w:p>
        </w:tc>
        <w:tc>
          <w:tcPr>
            <w:tcW w:w="2079" w:type="dxa"/>
            <w:noWrap/>
            <w:vAlign w:val="bottom"/>
          </w:tcPr>
          <w:p w14:paraId="183D160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2079" w:type="dxa"/>
            <w:noWrap/>
            <w:vAlign w:val="bottom"/>
          </w:tcPr>
          <w:p w14:paraId="7A82AD62" w14:textId="77777777" w:rsidR="00CC4100" w:rsidRPr="006D6338" w:rsidDel="0005010D"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(606,730)</w:t>
            </w:r>
          </w:p>
        </w:tc>
      </w:tr>
      <w:tr w:rsidR="00CC4100" w:rsidRPr="006D6338" w14:paraId="6BB98822" w14:textId="77777777" w:rsidTr="00A44FCD">
        <w:trPr>
          <w:trHeight w:val="300"/>
        </w:trPr>
        <w:tc>
          <w:tcPr>
            <w:tcW w:w="3687" w:type="dxa"/>
            <w:noWrap/>
            <w:vAlign w:val="bottom"/>
            <w:hideMark/>
          </w:tcPr>
          <w:p w14:paraId="4A709C12"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Finance costs</w:t>
            </w:r>
          </w:p>
        </w:tc>
        <w:tc>
          <w:tcPr>
            <w:tcW w:w="850" w:type="dxa"/>
            <w:noWrap/>
            <w:vAlign w:val="bottom"/>
          </w:tcPr>
          <w:p w14:paraId="5D204CAF" w14:textId="77777777" w:rsidR="00CC4100" w:rsidRPr="006D6338" w:rsidRDefault="00CC4100" w:rsidP="00A44FCD">
            <w:pPr>
              <w:jc w:val="center"/>
              <w:rPr>
                <w:rFonts w:ascii="Calibri" w:eastAsia="Times New Roman" w:hAnsi="Calibri" w:cs="Calibri"/>
                <w:color w:val="000000"/>
                <w:sz w:val="16"/>
                <w:szCs w:val="16"/>
                <w:lang w:eastAsia="en-GB"/>
              </w:rPr>
            </w:pPr>
          </w:p>
        </w:tc>
        <w:tc>
          <w:tcPr>
            <w:tcW w:w="1775" w:type="dxa"/>
            <w:noWrap/>
            <w:vAlign w:val="bottom"/>
            <w:hideMark/>
          </w:tcPr>
          <w:p w14:paraId="3B2AC6DE"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27,022</w:t>
            </w:r>
          </w:p>
        </w:tc>
        <w:tc>
          <w:tcPr>
            <w:tcW w:w="2079" w:type="dxa"/>
            <w:noWrap/>
            <w:vAlign w:val="bottom"/>
            <w:hideMark/>
          </w:tcPr>
          <w:p w14:paraId="731BFEB3"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43,454</w:t>
            </w:r>
          </w:p>
        </w:tc>
        <w:tc>
          <w:tcPr>
            <w:tcW w:w="2079" w:type="dxa"/>
            <w:noWrap/>
            <w:vAlign w:val="bottom"/>
            <w:hideMark/>
          </w:tcPr>
          <w:p w14:paraId="140700E2"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271,866</w:t>
            </w:r>
          </w:p>
        </w:tc>
      </w:tr>
      <w:tr w:rsidR="00CC4100" w:rsidRPr="006D6338" w14:paraId="74E7EC3C" w14:textId="77777777" w:rsidTr="00A44FCD">
        <w:trPr>
          <w:trHeight w:val="300"/>
        </w:trPr>
        <w:tc>
          <w:tcPr>
            <w:tcW w:w="3687" w:type="dxa"/>
            <w:noWrap/>
            <w:vAlign w:val="bottom"/>
            <w:hideMark/>
          </w:tcPr>
          <w:p w14:paraId="47A87CBB"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Profit/(loss) on exchange</w:t>
            </w:r>
          </w:p>
        </w:tc>
        <w:tc>
          <w:tcPr>
            <w:tcW w:w="850" w:type="dxa"/>
            <w:noWrap/>
            <w:vAlign w:val="bottom"/>
          </w:tcPr>
          <w:p w14:paraId="25C5FFDB" w14:textId="77777777" w:rsidR="00CC4100" w:rsidRPr="006D6338" w:rsidRDefault="00CC4100" w:rsidP="00A44FCD">
            <w:pPr>
              <w:jc w:val="center"/>
              <w:rPr>
                <w:rFonts w:ascii="Calibri" w:eastAsia="Times New Roman" w:hAnsi="Calibri" w:cs="Calibri"/>
                <w:color w:val="000000"/>
                <w:sz w:val="16"/>
                <w:szCs w:val="16"/>
                <w:lang w:eastAsia="en-GB"/>
              </w:rPr>
            </w:pPr>
          </w:p>
        </w:tc>
        <w:tc>
          <w:tcPr>
            <w:tcW w:w="1775" w:type="dxa"/>
            <w:noWrap/>
            <w:vAlign w:val="bottom"/>
            <w:hideMark/>
          </w:tcPr>
          <w:p w14:paraId="37F539F1"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10,294</w:t>
            </w:r>
          </w:p>
        </w:tc>
        <w:tc>
          <w:tcPr>
            <w:tcW w:w="2079" w:type="dxa"/>
            <w:noWrap/>
            <w:vAlign w:val="bottom"/>
            <w:hideMark/>
          </w:tcPr>
          <w:p w14:paraId="55BCB408"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5,447</w:t>
            </w:r>
          </w:p>
        </w:tc>
        <w:tc>
          <w:tcPr>
            <w:tcW w:w="2079" w:type="dxa"/>
            <w:noWrap/>
            <w:vAlign w:val="bottom"/>
            <w:hideMark/>
          </w:tcPr>
          <w:p w14:paraId="43537CCF"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(145,583)</w:t>
            </w:r>
          </w:p>
        </w:tc>
      </w:tr>
      <w:tr w:rsidR="00CC4100" w:rsidRPr="006D6338" w14:paraId="7FBE89B2" w14:textId="77777777" w:rsidTr="00A44FCD">
        <w:trPr>
          <w:trHeight w:val="434"/>
        </w:trPr>
        <w:tc>
          <w:tcPr>
            <w:tcW w:w="3687" w:type="dxa"/>
            <w:noWrap/>
            <w:vAlign w:val="bottom"/>
            <w:hideMark/>
          </w:tcPr>
          <w:p w14:paraId="005EAE3D"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Decrease/(increase) in trade and other receivables</w:t>
            </w:r>
          </w:p>
        </w:tc>
        <w:tc>
          <w:tcPr>
            <w:tcW w:w="850" w:type="dxa"/>
            <w:noWrap/>
            <w:vAlign w:val="bottom"/>
            <w:hideMark/>
          </w:tcPr>
          <w:p w14:paraId="4B4F17FA"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hideMark/>
          </w:tcPr>
          <w:p w14:paraId="3457A60B"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(193,480) </w:t>
            </w:r>
          </w:p>
        </w:tc>
        <w:tc>
          <w:tcPr>
            <w:tcW w:w="2079" w:type="dxa"/>
            <w:noWrap/>
            <w:vAlign w:val="bottom"/>
            <w:hideMark/>
          </w:tcPr>
          <w:p w14:paraId="2189BC27"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15,731 </w:t>
            </w:r>
          </w:p>
        </w:tc>
        <w:tc>
          <w:tcPr>
            <w:tcW w:w="2079" w:type="dxa"/>
            <w:noWrap/>
            <w:vAlign w:val="bottom"/>
            <w:hideMark/>
          </w:tcPr>
          <w:p w14:paraId="3C03FAEF"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(3,597)</w:t>
            </w:r>
          </w:p>
        </w:tc>
      </w:tr>
      <w:tr w:rsidR="00CC4100" w:rsidRPr="006D6338" w14:paraId="4F23EFB9" w14:textId="77777777" w:rsidTr="00A44FCD">
        <w:trPr>
          <w:trHeight w:val="300"/>
        </w:trPr>
        <w:tc>
          <w:tcPr>
            <w:tcW w:w="3687" w:type="dxa"/>
            <w:noWrap/>
            <w:vAlign w:val="bottom"/>
            <w:hideMark/>
          </w:tcPr>
          <w:p w14:paraId="4BB580ED"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Increase/ (decrease) in trade and other payables </w:t>
            </w:r>
          </w:p>
        </w:tc>
        <w:tc>
          <w:tcPr>
            <w:tcW w:w="850" w:type="dxa"/>
            <w:noWrap/>
            <w:vAlign w:val="bottom"/>
            <w:hideMark/>
          </w:tcPr>
          <w:p w14:paraId="0D1FE954"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tcBorders>
              <w:top w:val="nil"/>
              <w:left w:val="nil"/>
              <w:bottom w:val="single" w:sz="4" w:space="0" w:color="auto"/>
              <w:right w:val="nil"/>
            </w:tcBorders>
            <w:noWrap/>
            <w:vAlign w:val="bottom"/>
            <w:hideMark/>
          </w:tcPr>
          <w:p w14:paraId="1C46FE34"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(150,157) </w:t>
            </w:r>
          </w:p>
        </w:tc>
        <w:tc>
          <w:tcPr>
            <w:tcW w:w="2079" w:type="dxa"/>
            <w:tcBorders>
              <w:top w:val="nil"/>
              <w:left w:val="nil"/>
              <w:bottom w:val="single" w:sz="4" w:space="0" w:color="auto"/>
              <w:right w:val="nil"/>
            </w:tcBorders>
            <w:noWrap/>
            <w:vAlign w:val="bottom"/>
            <w:hideMark/>
          </w:tcPr>
          <w:p w14:paraId="6A92DDB1"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xml:space="preserve">138,134 </w:t>
            </w:r>
          </w:p>
        </w:tc>
        <w:tc>
          <w:tcPr>
            <w:tcW w:w="2079" w:type="dxa"/>
            <w:tcBorders>
              <w:top w:val="nil"/>
              <w:left w:val="nil"/>
              <w:bottom w:val="single" w:sz="4" w:space="0" w:color="auto"/>
              <w:right w:val="nil"/>
            </w:tcBorders>
            <w:noWrap/>
            <w:vAlign w:val="bottom"/>
            <w:hideMark/>
          </w:tcPr>
          <w:p w14:paraId="1F4FB01C"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40,294</w:t>
            </w:r>
          </w:p>
        </w:tc>
      </w:tr>
      <w:tr w:rsidR="00CC4100" w:rsidRPr="006D6338" w14:paraId="1B5CFB36" w14:textId="77777777" w:rsidTr="00A44FCD">
        <w:trPr>
          <w:trHeight w:val="300"/>
        </w:trPr>
        <w:tc>
          <w:tcPr>
            <w:tcW w:w="3687" w:type="dxa"/>
            <w:noWrap/>
            <w:vAlign w:val="bottom"/>
            <w:hideMark/>
          </w:tcPr>
          <w:p w14:paraId="30B065F9"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Net cash used in operating activities</w:t>
            </w:r>
          </w:p>
        </w:tc>
        <w:tc>
          <w:tcPr>
            <w:tcW w:w="850" w:type="dxa"/>
            <w:noWrap/>
            <w:vAlign w:val="bottom"/>
            <w:hideMark/>
          </w:tcPr>
          <w:p w14:paraId="7A44CC28"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tcBorders>
              <w:top w:val="single" w:sz="4" w:space="0" w:color="auto"/>
              <w:left w:val="nil"/>
              <w:bottom w:val="nil"/>
              <w:right w:val="nil"/>
            </w:tcBorders>
            <w:noWrap/>
            <w:vAlign w:val="center"/>
            <w:hideMark/>
          </w:tcPr>
          <w:p w14:paraId="3C591E68"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(960,475)</w:t>
            </w:r>
          </w:p>
        </w:tc>
        <w:tc>
          <w:tcPr>
            <w:tcW w:w="2079" w:type="dxa"/>
            <w:tcBorders>
              <w:top w:val="single" w:sz="4" w:space="0" w:color="auto"/>
              <w:left w:val="nil"/>
              <w:bottom w:val="nil"/>
              <w:right w:val="nil"/>
            </w:tcBorders>
            <w:noWrap/>
            <w:vAlign w:val="center"/>
            <w:hideMark/>
          </w:tcPr>
          <w:p w14:paraId="41F049A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(172,001)</w:t>
            </w:r>
          </w:p>
        </w:tc>
        <w:tc>
          <w:tcPr>
            <w:tcW w:w="2079" w:type="dxa"/>
            <w:tcBorders>
              <w:top w:val="single" w:sz="4" w:space="0" w:color="auto"/>
              <w:left w:val="nil"/>
              <w:bottom w:val="nil"/>
              <w:right w:val="nil"/>
            </w:tcBorders>
            <w:noWrap/>
            <w:vAlign w:val="bottom"/>
            <w:hideMark/>
          </w:tcPr>
          <w:p w14:paraId="3A459B2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(854,252)</w:t>
            </w:r>
          </w:p>
        </w:tc>
      </w:tr>
      <w:tr w:rsidR="00CC4100" w:rsidRPr="006D6338" w14:paraId="79A625C4" w14:textId="77777777" w:rsidTr="00A44FCD">
        <w:trPr>
          <w:trHeight w:val="300"/>
        </w:trPr>
        <w:tc>
          <w:tcPr>
            <w:tcW w:w="3687" w:type="dxa"/>
            <w:noWrap/>
            <w:vAlign w:val="bottom"/>
            <w:hideMark/>
          </w:tcPr>
          <w:p w14:paraId="591DFF43"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850" w:type="dxa"/>
            <w:noWrap/>
            <w:vAlign w:val="bottom"/>
            <w:hideMark/>
          </w:tcPr>
          <w:p w14:paraId="6ED69377"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noWrap/>
            <w:vAlign w:val="bottom"/>
            <w:hideMark/>
          </w:tcPr>
          <w:p w14:paraId="38E42C2D"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247F7C10"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49C730C1"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3A72BBEA" w14:textId="77777777" w:rsidTr="00A44FCD">
        <w:trPr>
          <w:trHeight w:val="300"/>
        </w:trPr>
        <w:tc>
          <w:tcPr>
            <w:tcW w:w="3687" w:type="dxa"/>
            <w:noWrap/>
            <w:vAlign w:val="bottom"/>
            <w:hideMark/>
          </w:tcPr>
          <w:p w14:paraId="7603BF3E"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Cash flows from investing activities</w:t>
            </w:r>
          </w:p>
        </w:tc>
        <w:tc>
          <w:tcPr>
            <w:tcW w:w="850" w:type="dxa"/>
            <w:noWrap/>
            <w:vAlign w:val="bottom"/>
            <w:hideMark/>
          </w:tcPr>
          <w:p w14:paraId="08CCB513"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noWrap/>
            <w:vAlign w:val="bottom"/>
            <w:hideMark/>
          </w:tcPr>
          <w:p w14:paraId="304B3DA5"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5188AF11"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03B10E00"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0371F935" w14:textId="77777777" w:rsidTr="00A44FCD">
        <w:trPr>
          <w:trHeight w:val="300"/>
        </w:trPr>
        <w:tc>
          <w:tcPr>
            <w:tcW w:w="3687" w:type="dxa"/>
            <w:noWrap/>
            <w:vAlign w:val="center"/>
            <w:hideMark/>
          </w:tcPr>
          <w:p w14:paraId="5E9FD666"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Acquisition of intangible exploration assets </w:t>
            </w:r>
          </w:p>
        </w:tc>
        <w:tc>
          <w:tcPr>
            <w:tcW w:w="850" w:type="dxa"/>
            <w:noWrap/>
            <w:vAlign w:val="center"/>
            <w:hideMark/>
          </w:tcPr>
          <w:p w14:paraId="34F0F174"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center"/>
            <w:hideMark/>
          </w:tcPr>
          <w:p w14:paraId="1A6BC64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(725,584)</w:t>
            </w:r>
          </w:p>
        </w:tc>
        <w:tc>
          <w:tcPr>
            <w:tcW w:w="2079" w:type="dxa"/>
            <w:noWrap/>
            <w:vAlign w:val="center"/>
            <w:hideMark/>
          </w:tcPr>
          <w:p w14:paraId="33A29B8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(269,973)</w:t>
            </w:r>
          </w:p>
        </w:tc>
        <w:tc>
          <w:tcPr>
            <w:tcW w:w="2079" w:type="dxa"/>
            <w:noWrap/>
            <w:vAlign w:val="center"/>
            <w:hideMark/>
          </w:tcPr>
          <w:p w14:paraId="0034C4E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(732,019)</w:t>
            </w:r>
          </w:p>
        </w:tc>
      </w:tr>
      <w:tr w:rsidR="00CC4100" w:rsidRPr="006D6338" w14:paraId="0C0C5F8C" w14:textId="77777777" w:rsidTr="00A44FCD">
        <w:trPr>
          <w:trHeight w:val="300"/>
        </w:trPr>
        <w:tc>
          <w:tcPr>
            <w:tcW w:w="3687" w:type="dxa"/>
            <w:noWrap/>
            <w:vAlign w:val="center"/>
            <w:hideMark/>
          </w:tcPr>
          <w:p w14:paraId="46721755"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Proceeds from option agreement  </w:t>
            </w:r>
          </w:p>
        </w:tc>
        <w:tc>
          <w:tcPr>
            <w:tcW w:w="850" w:type="dxa"/>
            <w:noWrap/>
            <w:vAlign w:val="center"/>
          </w:tcPr>
          <w:p w14:paraId="21F5FF1E" w14:textId="77777777" w:rsidR="00CC4100" w:rsidRPr="006D6338" w:rsidRDefault="00CC4100" w:rsidP="00A44FCD">
            <w:pPr>
              <w:jc w:val="both"/>
              <w:rPr>
                <w:rFonts w:ascii="Calibri" w:eastAsia="Times New Roman" w:hAnsi="Calibri" w:cs="Calibri"/>
                <w:color w:val="000000"/>
                <w:sz w:val="16"/>
                <w:szCs w:val="16"/>
                <w:lang w:eastAsia="en-GB"/>
              </w:rPr>
            </w:pPr>
          </w:p>
        </w:tc>
        <w:tc>
          <w:tcPr>
            <w:tcW w:w="1775" w:type="dxa"/>
            <w:noWrap/>
            <w:vAlign w:val="center"/>
            <w:hideMark/>
          </w:tcPr>
          <w:p w14:paraId="7548F06C"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2079" w:type="dxa"/>
            <w:noWrap/>
            <w:vAlign w:val="center"/>
            <w:hideMark/>
          </w:tcPr>
          <w:p w14:paraId="0A3C46DD"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2079" w:type="dxa"/>
            <w:noWrap/>
            <w:vAlign w:val="center"/>
            <w:hideMark/>
          </w:tcPr>
          <w:p w14:paraId="457747DA"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294,580</w:t>
            </w:r>
          </w:p>
        </w:tc>
      </w:tr>
      <w:tr w:rsidR="00CC4100" w:rsidRPr="006D6338" w14:paraId="0EC8F2FE" w14:textId="77777777" w:rsidTr="00A44FCD">
        <w:trPr>
          <w:trHeight w:val="300"/>
        </w:trPr>
        <w:tc>
          <w:tcPr>
            <w:tcW w:w="3687" w:type="dxa"/>
            <w:noWrap/>
            <w:vAlign w:val="bottom"/>
            <w:hideMark/>
          </w:tcPr>
          <w:p w14:paraId="51BA402C"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Net cash used in investing activities</w:t>
            </w:r>
          </w:p>
        </w:tc>
        <w:tc>
          <w:tcPr>
            <w:tcW w:w="850" w:type="dxa"/>
            <w:noWrap/>
            <w:vAlign w:val="bottom"/>
          </w:tcPr>
          <w:p w14:paraId="713CA84E" w14:textId="77777777" w:rsidR="00CC4100" w:rsidRPr="006D6338" w:rsidRDefault="00CC4100" w:rsidP="00A44FCD">
            <w:pPr>
              <w:jc w:val="both"/>
              <w:rPr>
                <w:rFonts w:ascii="Calibri" w:eastAsia="Times New Roman" w:hAnsi="Calibri" w:cs="Calibri"/>
                <w:color w:val="000000"/>
                <w:sz w:val="16"/>
                <w:szCs w:val="16"/>
                <w:lang w:eastAsia="en-GB"/>
              </w:rPr>
            </w:pPr>
          </w:p>
        </w:tc>
        <w:tc>
          <w:tcPr>
            <w:tcW w:w="1775" w:type="dxa"/>
            <w:tcBorders>
              <w:top w:val="single" w:sz="4" w:space="0" w:color="auto"/>
              <w:left w:val="nil"/>
              <w:bottom w:val="nil"/>
              <w:right w:val="nil"/>
            </w:tcBorders>
            <w:noWrap/>
            <w:vAlign w:val="center"/>
            <w:hideMark/>
          </w:tcPr>
          <w:p w14:paraId="3F11ADC0"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(725,584)</w:t>
            </w:r>
          </w:p>
        </w:tc>
        <w:tc>
          <w:tcPr>
            <w:tcW w:w="2079" w:type="dxa"/>
            <w:tcBorders>
              <w:top w:val="single" w:sz="4" w:space="0" w:color="auto"/>
              <w:left w:val="nil"/>
              <w:bottom w:val="nil"/>
              <w:right w:val="nil"/>
            </w:tcBorders>
            <w:noWrap/>
            <w:vAlign w:val="center"/>
            <w:hideMark/>
          </w:tcPr>
          <w:p w14:paraId="24436A81"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(269,973)</w:t>
            </w:r>
          </w:p>
        </w:tc>
        <w:tc>
          <w:tcPr>
            <w:tcW w:w="2079" w:type="dxa"/>
            <w:tcBorders>
              <w:top w:val="single" w:sz="4" w:space="0" w:color="auto"/>
              <w:left w:val="nil"/>
              <w:bottom w:val="nil"/>
              <w:right w:val="nil"/>
            </w:tcBorders>
            <w:noWrap/>
            <w:vAlign w:val="bottom"/>
            <w:hideMark/>
          </w:tcPr>
          <w:p w14:paraId="4959A2D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(437,439)</w:t>
            </w:r>
          </w:p>
        </w:tc>
      </w:tr>
      <w:tr w:rsidR="00CC4100" w:rsidRPr="006D6338" w14:paraId="7B7F4165" w14:textId="77777777" w:rsidTr="00A44FCD">
        <w:trPr>
          <w:trHeight w:val="300"/>
        </w:trPr>
        <w:tc>
          <w:tcPr>
            <w:tcW w:w="3687" w:type="dxa"/>
            <w:noWrap/>
            <w:vAlign w:val="bottom"/>
            <w:hideMark/>
          </w:tcPr>
          <w:p w14:paraId="4E1EA86E"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850" w:type="dxa"/>
            <w:noWrap/>
            <w:vAlign w:val="bottom"/>
            <w:hideMark/>
          </w:tcPr>
          <w:p w14:paraId="0930599C"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noWrap/>
            <w:vAlign w:val="bottom"/>
            <w:hideMark/>
          </w:tcPr>
          <w:p w14:paraId="1EEA5A64"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1F9A61F5"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00ACAD41"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30C17167" w14:textId="77777777" w:rsidTr="00A44FCD">
        <w:trPr>
          <w:trHeight w:val="300"/>
        </w:trPr>
        <w:tc>
          <w:tcPr>
            <w:tcW w:w="3687" w:type="dxa"/>
            <w:noWrap/>
            <w:vAlign w:val="bottom"/>
            <w:hideMark/>
          </w:tcPr>
          <w:p w14:paraId="5BFCB507"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Cash flows from financing activities</w:t>
            </w:r>
          </w:p>
        </w:tc>
        <w:tc>
          <w:tcPr>
            <w:tcW w:w="850" w:type="dxa"/>
            <w:noWrap/>
            <w:vAlign w:val="bottom"/>
            <w:hideMark/>
          </w:tcPr>
          <w:p w14:paraId="08B9C428"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noWrap/>
            <w:vAlign w:val="bottom"/>
            <w:hideMark/>
          </w:tcPr>
          <w:p w14:paraId="59A6FA9C"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75E928D5"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0CD05E61"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67E07A63" w14:textId="77777777" w:rsidTr="00A44FCD">
        <w:trPr>
          <w:trHeight w:val="300"/>
        </w:trPr>
        <w:tc>
          <w:tcPr>
            <w:tcW w:w="3687" w:type="dxa"/>
            <w:noWrap/>
            <w:vAlign w:val="bottom"/>
            <w:hideMark/>
          </w:tcPr>
          <w:p w14:paraId="08283ECF"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Net proceeds on the issue of share capital</w:t>
            </w:r>
          </w:p>
        </w:tc>
        <w:tc>
          <w:tcPr>
            <w:tcW w:w="850" w:type="dxa"/>
            <w:noWrap/>
            <w:vAlign w:val="bottom"/>
            <w:hideMark/>
          </w:tcPr>
          <w:p w14:paraId="0AFE3C22"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noWrap/>
            <w:vAlign w:val="bottom"/>
            <w:hideMark/>
          </w:tcPr>
          <w:p w14:paraId="565588E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1,811,829</w:t>
            </w:r>
          </w:p>
        </w:tc>
        <w:tc>
          <w:tcPr>
            <w:tcW w:w="2079" w:type="dxa"/>
            <w:noWrap/>
            <w:vAlign w:val="bottom"/>
            <w:hideMark/>
          </w:tcPr>
          <w:p w14:paraId="2A726B6D"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140,000</w:t>
            </w:r>
          </w:p>
        </w:tc>
        <w:tc>
          <w:tcPr>
            <w:tcW w:w="2079" w:type="dxa"/>
            <w:noWrap/>
            <w:vAlign w:val="bottom"/>
            <w:hideMark/>
          </w:tcPr>
          <w:p w14:paraId="028FF617"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1,366,500</w:t>
            </w:r>
          </w:p>
        </w:tc>
      </w:tr>
      <w:tr w:rsidR="00CC4100" w:rsidRPr="006D6338" w14:paraId="5431AADE" w14:textId="77777777" w:rsidTr="00A44FCD">
        <w:trPr>
          <w:trHeight w:val="300"/>
        </w:trPr>
        <w:tc>
          <w:tcPr>
            <w:tcW w:w="3687" w:type="dxa"/>
            <w:noWrap/>
            <w:vAlign w:val="bottom"/>
          </w:tcPr>
          <w:p w14:paraId="29C4245A"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Proceeds from the issue of CLN</w:t>
            </w:r>
          </w:p>
        </w:tc>
        <w:tc>
          <w:tcPr>
            <w:tcW w:w="850" w:type="dxa"/>
            <w:noWrap/>
            <w:vAlign w:val="bottom"/>
          </w:tcPr>
          <w:p w14:paraId="64B348E4"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noWrap/>
            <w:vAlign w:val="bottom"/>
          </w:tcPr>
          <w:p w14:paraId="4D00358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2,325,000</w:t>
            </w:r>
          </w:p>
        </w:tc>
        <w:tc>
          <w:tcPr>
            <w:tcW w:w="2079" w:type="dxa"/>
            <w:noWrap/>
            <w:vAlign w:val="bottom"/>
          </w:tcPr>
          <w:p w14:paraId="1C119E89"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2079" w:type="dxa"/>
            <w:noWrap/>
            <w:vAlign w:val="bottom"/>
          </w:tcPr>
          <w:p w14:paraId="6AFBAD3B"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r>
      <w:tr w:rsidR="00CC4100" w:rsidRPr="006D6338" w14:paraId="55E95629" w14:textId="77777777" w:rsidTr="00A44FCD">
        <w:trPr>
          <w:trHeight w:val="300"/>
        </w:trPr>
        <w:tc>
          <w:tcPr>
            <w:tcW w:w="3687" w:type="dxa"/>
            <w:noWrap/>
            <w:vAlign w:val="bottom"/>
          </w:tcPr>
          <w:p w14:paraId="1074D8D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Share issue costs</w:t>
            </w:r>
          </w:p>
        </w:tc>
        <w:tc>
          <w:tcPr>
            <w:tcW w:w="850" w:type="dxa"/>
            <w:noWrap/>
            <w:vAlign w:val="bottom"/>
          </w:tcPr>
          <w:p w14:paraId="6DAFBA45"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noWrap/>
            <w:vAlign w:val="bottom"/>
          </w:tcPr>
          <w:p w14:paraId="0989E72D" w14:textId="77777777" w:rsidR="00CC4100" w:rsidRPr="006D6338" w:rsidDel="00082832"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2079" w:type="dxa"/>
            <w:noWrap/>
            <w:vAlign w:val="bottom"/>
          </w:tcPr>
          <w:p w14:paraId="0A765170"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2079" w:type="dxa"/>
            <w:noWrap/>
            <w:vAlign w:val="bottom"/>
          </w:tcPr>
          <w:p w14:paraId="781EEFFB" w14:textId="77777777" w:rsidR="00CC4100" w:rsidRPr="006D6338" w:rsidDel="000B2629"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(108,682)</w:t>
            </w:r>
          </w:p>
        </w:tc>
      </w:tr>
      <w:tr w:rsidR="00CC4100" w:rsidRPr="006D6338" w14:paraId="0465FEC4" w14:textId="77777777" w:rsidTr="00A44FCD">
        <w:trPr>
          <w:trHeight w:val="300"/>
        </w:trPr>
        <w:tc>
          <w:tcPr>
            <w:tcW w:w="3687" w:type="dxa"/>
            <w:noWrap/>
            <w:vAlign w:val="bottom"/>
            <w:hideMark/>
          </w:tcPr>
          <w:p w14:paraId="739B44F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Net cash from financing activities</w:t>
            </w:r>
          </w:p>
        </w:tc>
        <w:tc>
          <w:tcPr>
            <w:tcW w:w="850" w:type="dxa"/>
            <w:noWrap/>
            <w:vAlign w:val="bottom"/>
            <w:hideMark/>
          </w:tcPr>
          <w:p w14:paraId="26B1FBBF"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tcBorders>
              <w:top w:val="single" w:sz="4" w:space="0" w:color="auto"/>
              <w:left w:val="nil"/>
              <w:bottom w:val="nil"/>
              <w:right w:val="nil"/>
            </w:tcBorders>
            <w:noWrap/>
            <w:vAlign w:val="bottom"/>
            <w:hideMark/>
          </w:tcPr>
          <w:p w14:paraId="15138876"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4,136,829</w:t>
            </w:r>
          </w:p>
        </w:tc>
        <w:tc>
          <w:tcPr>
            <w:tcW w:w="2079" w:type="dxa"/>
            <w:tcBorders>
              <w:top w:val="single" w:sz="4" w:space="0" w:color="auto"/>
              <w:left w:val="nil"/>
              <w:bottom w:val="nil"/>
              <w:right w:val="nil"/>
            </w:tcBorders>
            <w:noWrap/>
            <w:vAlign w:val="bottom"/>
            <w:hideMark/>
          </w:tcPr>
          <w:p w14:paraId="2966C194"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sz w:val="16"/>
                <w:szCs w:val="16"/>
                <w:lang w:eastAsia="en-GB"/>
              </w:rPr>
              <w:t>140,000</w:t>
            </w:r>
          </w:p>
        </w:tc>
        <w:tc>
          <w:tcPr>
            <w:tcW w:w="2079" w:type="dxa"/>
            <w:tcBorders>
              <w:top w:val="single" w:sz="4" w:space="0" w:color="auto"/>
              <w:left w:val="nil"/>
              <w:bottom w:val="nil"/>
              <w:right w:val="nil"/>
            </w:tcBorders>
            <w:noWrap/>
            <w:vAlign w:val="bottom"/>
            <w:hideMark/>
          </w:tcPr>
          <w:p w14:paraId="661D12C5"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1,257,818</w:t>
            </w:r>
          </w:p>
        </w:tc>
      </w:tr>
      <w:tr w:rsidR="00CC4100" w:rsidRPr="006D6338" w14:paraId="7ED6892E" w14:textId="77777777" w:rsidTr="00A44FCD">
        <w:trPr>
          <w:trHeight w:val="300"/>
        </w:trPr>
        <w:tc>
          <w:tcPr>
            <w:tcW w:w="3687" w:type="dxa"/>
            <w:noWrap/>
            <w:vAlign w:val="bottom"/>
            <w:hideMark/>
          </w:tcPr>
          <w:p w14:paraId="57EB4798"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850" w:type="dxa"/>
            <w:noWrap/>
            <w:vAlign w:val="bottom"/>
            <w:hideMark/>
          </w:tcPr>
          <w:p w14:paraId="78267A5E"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noWrap/>
            <w:vAlign w:val="bottom"/>
            <w:hideMark/>
          </w:tcPr>
          <w:p w14:paraId="7731546B"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3A8078D8"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noWrap/>
            <w:vAlign w:val="bottom"/>
            <w:hideMark/>
          </w:tcPr>
          <w:p w14:paraId="6DA8C691"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283CAC41" w14:textId="77777777" w:rsidTr="00A44FCD">
        <w:trPr>
          <w:trHeight w:val="300"/>
        </w:trPr>
        <w:tc>
          <w:tcPr>
            <w:tcW w:w="3687" w:type="dxa"/>
            <w:noWrap/>
            <w:vAlign w:val="bottom"/>
          </w:tcPr>
          <w:p w14:paraId="0759A81E" w14:textId="77777777" w:rsidR="00CC4100" w:rsidRPr="006D6338" w:rsidRDefault="00CC4100" w:rsidP="00A44FCD">
            <w:pPr>
              <w:rPr>
                <w:rFonts w:ascii="Calibri" w:eastAsia="Times New Roman" w:hAnsi="Calibri" w:cs="Calibri"/>
                <w:color w:val="000000"/>
                <w:sz w:val="16"/>
                <w:szCs w:val="16"/>
                <w:lang w:eastAsia="en-GB"/>
              </w:rPr>
            </w:pPr>
          </w:p>
        </w:tc>
        <w:tc>
          <w:tcPr>
            <w:tcW w:w="850" w:type="dxa"/>
            <w:noWrap/>
            <w:vAlign w:val="bottom"/>
          </w:tcPr>
          <w:p w14:paraId="15934ADC" w14:textId="77777777" w:rsidR="00CC4100" w:rsidRPr="006D6338" w:rsidRDefault="00CC4100" w:rsidP="00A44FCD">
            <w:pPr>
              <w:jc w:val="both"/>
              <w:rPr>
                <w:rFonts w:ascii="Calibri" w:eastAsia="Times New Roman" w:hAnsi="Calibri" w:cs="Calibri"/>
                <w:color w:val="000000"/>
                <w:sz w:val="16"/>
                <w:szCs w:val="16"/>
                <w:lang w:eastAsia="en-GB"/>
              </w:rPr>
            </w:pPr>
          </w:p>
        </w:tc>
        <w:tc>
          <w:tcPr>
            <w:tcW w:w="1775" w:type="dxa"/>
            <w:noWrap/>
            <w:vAlign w:val="bottom"/>
          </w:tcPr>
          <w:p w14:paraId="4EABAA18" w14:textId="77777777" w:rsidR="00CC4100" w:rsidRPr="006D6338" w:rsidRDefault="00CC4100" w:rsidP="00A44FCD">
            <w:pPr>
              <w:jc w:val="right"/>
              <w:rPr>
                <w:rFonts w:ascii="Calibri" w:eastAsia="Times New Roman" w:hAnsi="Calibri" w:cs="Calibri"/>
                <w:sz w:val="16"/>
                <w:szCs w:val="16"/>
                <w:lang w:eastAsia="en-GB"/>
              </w:rPr>
            </w:pPr>
          </w:p>
        </w:tc>
        <w:tc>
          <w:tcPr>
            <w:tcW w:w="2079" w:type="dxa"/>
            <w:noWrap/>
            <w:vAlign w:val="bottom"/>
          </w:tcPr>
          <w:p w14:paraId="2AA94232" w14:textId="77777777" w:rsidR="00CC4100" w:rsidRPr="006D6338" w:rsidRDefault="00CC4100" w:rsidP="00A44FCD">
            <w:pPr>
              <w:jc w:val="right"/>
              <w:rPr>
                <w:rFonts w:ascii="Calibri" w:eastAsia="Times New Roman" w:hAnsi="Calibri" w:cs="Calibri"/>
                <w:sz w:val="16"/>
                <w:szCs w:val="16"/>
                <w:lang w:eastAsia="en-GB"/>
              </w:rPr>
            </w:pPr>
          </w:p>
        </w:tc>
        <w:tc>
          <w:tcPr>
            <w:tcW w:w="2079" w:type="dxa"/>
            <w:noWrap/>
            <w:vAlign w:val="bottom"/>
          </w:tcPr>
          <w:p w14:paraId="3A5D4C16" w14:textId="77777777" w:rsidR="00CC4100" w:rsidRPr="006D6338" w:rsidRDefault="00CC4100" w:rsidP="00A44FCD">
            <w:pPr>
              <w:jc w:val="right"/>
              <w:rPr>
                <w:rFonts w:ascii="Calibri" w:eastAsia="Times New Roman" w:hAnsi="Calibri" w:cs="Calibri"/>
                <w:sz w:val="16"/>
                <w:szCs w:val="16"/>
                <w:lang w:eastAsia="en-GB"/>
              </w:rPr>
            </w:pPr>
          </w:p>
        </w:tc>
      </w:tr>
      <w:tr w:rsidR="00CC4100" w:rsidRPr="006D6338" w14:paraId="71B7C0BB" w14:textId="77777777" w:rsidTr="00A44FCD">
        <w:trPr>
          <w:trHeight w:val="80"/>
        </w:trPr>
        <w:tc>
          <w:tcPr>
            <w:tcW w:w="3687" w:type="dxa"/>
            <w:noWrap/>
            <w:vAlign w:val="bottom"/>
            <w:hideMark/>
          </w:tcPr>
          <w:p w14:paraId="3AA8FF4C"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Net increase/(decrease) in cash and cash equivalents</w:t>
            </w:r>
          </w:p>
        </w:tc>
        <w:tc>
          <w:tcPr>
            <w:tcW w:w="850" w:type="dxa"/>
            <w:noWrap/>
            <w:vAlign w:val="bottom"/>
            <w:hideMark/>
          </w:tcPr>
          <w:p w14:paraId="0056DD9B"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tcBorders>
              <w:top w:val="nil"/>
              <w:left w:val="nil"/>
              <w:bottom w:val="single" w:sz="4" w:space="0" w:color="auto"/>
              <w:right w:val="nil"/>
            </w:tcBorders>
            <w:noWrap/>
            <w:vAlign w:val="bottom"/>
            <w:hideMark/>
          </w:tcPr>
          <w:p w14:paraId="1F80325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2,450,770</w:t>
            </w:r>
          </w:p>
        </w:tc>
        <w:tc>
          <w:tcPr>
            <w:tcW w:w="2079" w:type="dxa"/>
            <w:tcBorders>
              <w:top w:val="nil"/>
              <w:left w:val="nil"/>
              <w:bottom w:val="single" w:sz="4" w:space="0" w:color="auto"/>
              <w:right w:val="nil"/>
            </w:tcBorders>
            <w:noWrap/>
            <w:vAlign w:val="bottom"/>
            <w:hideMark/>
          </w:tcPr>
          <w:p w14:paraId="1418F65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(301,974)</w:t>
            </w:r>
          </w:p>
        </w:tc>
        <w:tc>
          <w:tcPr>
            <w:tcW w:w="2079" w:type="dxa"/>
            <w:tcBorders>
              <w:top w:val="nil"/>
              <w:left w:val="nil"/>
              <w:bottom w:val="single" w:sz="4" w:space="0" w:color="auto"/>
              <w:right w:val="nil"/>
            </w:tcBorders>
            <w:noWrap/>
            <w:vAlign w:val="bottom"/>
            <w:hideMark/>
          </w:tcPr>
          <w:p w14:paraId="1CAE9C8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(33,873)</w:t>
            </w:r>
          </w:p>
        </w:tc>
      </w:tr>
      <w:tr w:rsidR="00CC4100" w:rsidRPr="006D6338" w14:paraId="6ABCFE01" w14:textId="77777777" w:rsidTr="00A44FCD">
        <w:trPr>
          <w:trHeight w:val="188"/>
        </w:trPr>
        <w:tc>
          <w:tcPr>
            <w:tcW w:w="3687" w:type="dxa"/>
            <w:noWrap/>
            <w:vAlign w:val="bottom"/>
            <w:hideMark/>
          </w:tcPr>
          <w:p w14:paraId="3169B009"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850" w:type="dxa"/>
            <w:noWrap/>
            <w:vAlign w:val="bottom"/>
            <w:hideMark/>
          </w:tcPr>
          <w:p w14:paraId="3E93048A" w14:textId="77777777" w:rsidR="00CC4100" w:rsidRPr="006D6338" w:rsidRDefault="00CC4100" w:rsidP="00A44FCD">
            <w:pPr>
              <w:spacing w:line="256" w:lineRule="auto"/>
              <w:rPr>
                <w:rFonts w:ascii="Calibri" w:eastAsia="Calibri" w:hAnsi="Calibri" w:cs="Calibri"/>
                <w:sz w:val="20"/>
                <w:szCs w:val="20"/>
                <w:lang w:eastAsia="en-GB"/>
              </w:rPr>
            </w:pPr>
          </w:p>
        </w:tc>
        <w:tc>
          <w:tcPr>
            <w:tcW w:w="1775" w:type="dxa"/>
            <w:tcBorders>
              <w:top w:val="single" w:sz="4" w:space="0" w:color="auto"/>
              <w:left w:val="nil"/>
              <w:bottom w:val="nil"/>
              <w:right w:val="nil"/>
            </w:tcBorders>
            <w:noWrap/>
            <w:vAlign w:val="bottom"/>
            <w:hideMark/>
          </w:tcPr>
          <w:p w14:paraId="2921EF9C"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tcBorders>
              <w:top w:val="single" w:sz="4" w:space="0" w:color="auto"/>
              <w:left w:val="nil"/>
              <w:bottom w:val="nil"/>
              <w:right w:val="nil"/>
            </w:tcBorders>
            <w:noWrap/>
            <w:vAlign w:val="bottom"/>
            <w:hideMark/>
          </w:tcPr>
          <w:p w14:paraId="15F20678" w14:textId="77777777" w:rsidR="00CC4100" w:rsidRPr="006D6338" w:rsidRDefault="00CC4100" w:rsidP="00A44FCD">
            <w:pPr>
              <w:spacing w:line="256" w:lineRule="auto"/>
              <w:rPr>
                <w:rFonts w:ascii="Calibri" w:eastAsia="Calibri" w:hAnsi="Calibri" w:cs="Calibri"/>
                <w:sz w:val="20"/>
                <w:szCs w:val="20"/>
                <w:lang w:eastAsia="en-GB"/>
              </w:rPr>
            </w:pPr>
          </w:p>
        </w:tc>
        <w:tc>
          <w:tcPr>
            <w:tcW w:w="2079" w:type="dxa"/>
            <w:tcBorders>
              <w:top w:val="single" w:sz="4" w:space="0" w:color="auto"/>
              <w:left w:val="nil"/>
              <w:bottom w:val="nil"/>
              <w:right w:val="nil"/>
            </w:tcBorders>
            <w:noWrap/>
            <w:vAlign w:val="bottom"/>
            <w:hideMark/>
          </w:tcPr>
          <w:p w14:paraId="00EEF86C"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0A3B2246" w14:textId="77777777" w:rsidTr="00A44FCD">
        <w:trPr>
          <w:trHeight w:val="225"/>
        </w:trPr>
        <w:tc>
          <w:tcPr>
            <w:tcW w:w="3687" w:type="dxa"/>
            <w:noWrap/>
            <w:vAlign w:val="center"/>
            <w:hideMark/>
          </w:tcPr>
          <w:p w14:paraId="6F696419" w14:textId="77777777" w:rsidR="00CC4100" w:rsidRPr="006D6338" w:rsidRDefault="00CC4100" w:rsidP="00A44FCD">
            <w:pPr>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 xml:space="preserve">Cash and cash equivalents at start of period </w:t>
            </w:r>
          </w:p>
        </w:tc>
        <w:tc>
          <w:tcPr>
            <w:tcW w:w="850" w:type="dxa"/>
            <w:noWrap/>
            <w:vAlign w:val="center"/>
            <w:hideMark/>
          </w:tcPr>
          <w:p w14:paraId="3932026D"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1775" w:type="dxa"/>
            <w:noWrap/>
            <w:vAlign w:val="center"/>
            <w:hideMark/>
          </w:tcPr>
          <w:p w14:paraId="4E93E64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281,889</w:t>
            </w:r>
          </w:p>
        </w:tc>
        <w:tc>
          <w:tcPr>
            <w:tcW w:w="2079" w:type="dxa"/>
            <w:noWrap/>
            <w:vAlign w:val="center"/>
            <w:hideMark/>
          </w:tcPr>
          <w:p w14:paraId="1AF684CB"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340,517</w:t>
            </w:r>
          </w:p>
        </w:tc>
        <w:tc>
          <w:tcPr>
            <w:tcW w:w="2079" w:type="dxa"/>
            <w:noWrap/>
            <w:vAlign w:val="center"/>
            <w:hideMark/>
          </w:tcPr>
          <w:p w14:paraId="7E512666"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color w:val="000000"/>
                <w:sz w:val="16"/>
                <w:szCs w:val="16"/>
                <w:lang w:eastAsia="en-GB"/>
              </w:rPr>
              <w:t>340,517</w:t>
            </w:r>
          </w:p>
        </w:tc>
      </w:tr>
      <w:tr w:rsidR="00CC4100" w:rsidRPr="006D6338" w14:paraId="76F8AE49" w14:textId="77777777" w:rsidTr="00A44FCD">
        <w:trPr>
          <w:trHeight w:val="296"/>
        </w:trPr>
        <w:tc>
          <w:tcPr>
            <w:tcW w:w="3687" w:type="dxa"/>
            <w:noWrap/>
            <w:vAlign w:val="bottom"/>
            <w:hideMark/>
          </w:tcPr>
          <w:p w14:paraId="199E9DA4"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Exchange losses on cash and cash equivalents</w:t>
            </w:r>
          </w:p>
        </w:tc>
        <w:tc>
          <w:tcPr>
            <w:tcW w:w="850" w:type="dxa"/>
            <w:noWrap/>
            <w:vAlign w:val="bottom"/>
            <w:hideMark/>
          </w:tcPr>
          <w:p w14:paraId="7512579E"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775" w:type="dxa"/>
            <w:tcBorders>
              <w:top w:val="nil"/>
              <w:left w:val="nil"/>
              <w:bottom w:val="single" w:sz="4" w:space="0" w:color="auto"/>
              <w:right w:val="nil"/>
            </w:tcBorders>
            <w:noWrap/>
            <w:vAlign w:val="bottom"/>
            <w:hideMark/>
          </w:tcPr>
          <w:p w14:paraId="5BB84DB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(789)</w:t>
            </w:r>
          </w:p>
        </w:tc>
        <w:tc>
          <w:tcPr>
            <w:tcW w:w="2079" w:type="dxa"/>
            <w:tcBorders>
              <w:top w:val="nil"/>
              <w:left w:val="nil"/>
              <w:bottom w:val="single" w:sz="4" w:space="0" w:color="auto"/>
              <w:right w:val="nil"/>
            </w:tcBorders>
            <w:noWrap/>
            <w:vAlign w:val="bottom"/>
            <w:hideMark/>
          </w:tcPr>
          <w:p w14:paraId="488984E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235</w:t>
            </w:r>
          </w:p>
        </w:tc>
        <w:tc>
          <w:tcPr>
            <w:tcW w:w="2079" w:type="dxa"/>
            <w:tcBorders>
              <w:top w:val="nil"/>
              <w:left w:val="nil"/>
              <w:bottom w:val="single" w:sz="4" w:space="0" w:color="auto"/>
              <w:right w:val="nil"/>
            </w:tcBorders>
            <w:noWrap/>
            <w:vAlign w:val="bottom"/>
            <w:hideMark/>
          </w:tcPr>
          <w:p w14:paraId="5EBC403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(24,755)</w:t>
            </w:r>
          </w:p>
        </w:tc>
      </w:tr>
      <w:tr w:rsidR="00CC4100" w:rsidRPr="006D6338" w14:paraId="5D126DFF" w14:textId="77777777" w:rsidTr="00A44FCD">
        <w:trPr>
          <w:trHeight w:val="300"/>
        </w:trPr>
        <w:tc>
          <w:tcPr>
            <w:tcW w:w="3687" w:type="dxa"/>
            <w:noWrap/>
            <w:vAlign w:val="bottom"/>
            <w:hideMark/>
          </w:tcPr>
          <w:p w14:paraId="3D430FB8"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Cash and cash equivalents at end of period</w:t>
            </w:r>
            <w:r w:rsidRPr="006D6338">
              <w:rPr>
                <w:rFonts w:ascii="Calibri" w:eastAsia="Times New Roman" w:hAnsi="Calibri" w:cs="Calibri"/>
                <w:color w:val="000000"/>
                <w:sz w:val="16"/>
                <w:szCs w:val="16"/>
                <w:lang w:eastAsia="en-GB"/>
              </w:rPr>
              <w:t xml:space="preserve"> </w:t>
            </w:r>
          </w:p>
        </w:tc>
        <w:tc>
          <w:tcPr>
            <w:tcW w:w="850" w:type="dxa"/>
            <w:noWrap/>
            <w:vAlign w:val="bottom"/>
            <w:hideMark/>
          </w:tcPr>
          <w:p w14:paraId="50BEE095"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775" w:type="dxa"/>
            <w:tcBorders>
              <w:top w:val="single" w:sz="4" w:space="0" w:color="auto"/>
              <w:left w:val="nil"/>
              <w:bottom w:val="double" w:sz="4" w:space="0" w:color="auto"/>
              <w:right w:val="nil"/>
            </w:tcBorders>
            <w:noWrap/>
            <w:vAlign w:val="center"/>
            <w:hideMark/>
          </w:tcPr>
          <w:p w14:paraId="45BA8CB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2,731,870</w:t>
            </w:r>
          </w:p>
        </w:tc>
        <w:tc>
          <w:tcPr>
            <w:tcW w:w="2079" w:type="dxa"/>
            <w:tcBorders>
              <w:top w:val="single" w:sz="4" w:space="0" w:color="auto"/>
              <w:left w:val="nil"/>
              <w:bottom w:val="double" w:sz="4" w:space="0" w:color="auto"/>
              <w:right w:val="nil"/>
            </w:tcBorders>
            <w:noWrap/>
            <w:vAlign w:val="center"/>
            <w:hideMark/>
          </w:tcPr>
          <w:p w14:paraId="20B456F7"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38,778</w:t>
            </w:r>
          </w:p>
        </w:tc>
        <w:tc>
          <w:tcPr>
            <w:tcW w:w="2079" w:type="dxa"/>
            <w:tcBorders>
              <w:top w:val="single" w:sz="4" w:space="0" w:color="auto"/>
              <w:left w:val="nil"/>
              <w:bottom w:val="double" w:sz="4" w:space="0" w:color="auto"/>
              <w:right w:val="nil"/>
            </w:tcBorders>
            <w:noWrap/>
            <w:vAlign w:val="center"/>
            <w:hideMark/>
          </w:tcPr>
          <w:p w14:paraId="41791474"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281,889</w:t>
            </w:r>
          </w:p>
        </w:tc>
      </w:tr>
    </w:tbl>
    <w:p w14:paraId="2712B0E5" w14:textId="77777777" w:rsidR="00CC4100" w:rsidRPr="006D6338" w:rsidRDefault="00CC4100" w:rsidP="00CC4100">
      <w:pPr>
        <w:spacing w:line="256" w:lineRule="auto"/>
        <w:jc w:val="both"/>
        <w:rPr>
          <w:rFonts w:ascii="Calibri" w:eastAsia="Calibri" w:hAnsi="Calibri" w:cs="Calibri"/>
          <w:sz w:val="16"/>
          <w:szCs w:val="16"/>
        </w:rPr>
      </w:pPr>
    </w:p>
    <w:p w14:paraId="13191231" w14:textId="77777777" w:rsidR="00CC4100" w:rsidRPr="006D6338" w:rsidRDefault="00CC4100" w:rsidP="00CC4100">
      <w:pPr>
        <w:spacing w:line="256" w:lineRule="auto"/>
        <w:jc w:val="both"/>
        <w:rPr>
          <w:rFonts w:ascii="Calibri" w:eastAsia="Calibri" w:hAnsi="Calibri" w:cs="Calibri"/>
          <w:sz w:val="16"/>
          <w:szCs w:val="16"/>
        </w:rPr>
      </w:pPr>
    </w:p>
    <w:p w14:paraId="43DBA2D7"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br w:type="page"/>
      </w:r>
    </w:p>
    <w:tbl>
      <w:tblPr>
        <w:tblW w:w="5080" w:type="pct"/>
        <w:tblInd w:w="-1" w:type="dxa"/>
        <w:tblLayout w:type="fixed"/>
        <w:tblLook w:val="04A0" w:firstRow="1" w:lastRow="0" w:firstColumn="1" w:lastColumn="0" w:noHBand="0" w:noVBand="1"/>
      </w:tblPr>
      <w:tblGrid>
        <w:gridCol w:w="2179"/>
        <w:gridCol w:w="956"/>
        <w:gridCol w:w="952"/>
        <w:gridCol w:w="951"/>
        <w:gridCol w:w="951"/>
        <w:gridCol w:w="951"/>
        <w:gridCol w:w="1088"/>
        <w:gridCol w:w="1090"/>
        <w:gridCol w:w="1090"/>
      </w:tblGrid>
      <w:tr w:rsidR="00CC4100" w:rsidRPr="006D6338" w14:paraId="689052AF" w14:textId="77777777" w:rsidTr="00A44FCD">
        <w:trPr>
          <w:trHeight w:val="601"/>
        </w:trPr>
        <w:tc>
          <w:tcPr>
            <w:tcW w:w="5000" w:type="pct"/>
            <w:gridSpan w:val="9"/>
            <w:vAlign w:val="center"/>
            <w:hideMark/>
          </w:tcPr>
          <w:p w14:paraId="5C02DF0E" w14:textId="77777777" w:rsidR="00CC4100" w:rsidRPr="006D6338" w:rsidRDefault="00CC4100" w:rsidP="00A44FCD">
            <w:pPr>
              <w:jc w:val="both"/>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Consolidated Statement of Changes in Equity</w:t>
            </w:r>
          </w:p>
          <w:p w14:paraId="75340AD4" w14:textId="77777777" w:rsidR="00CC4100" w:rsidRPr="006D6338" w:rsidRDefault="00CC4100" w:rsidP="00A44FCD">
            <w:pPr>
              <w:jc w:val="both"/>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for the six months ended 30 June 2026</w:t>
            </w:r>
          </w:p>
        </w:tc>
      </w:tr>
      <w:tr w:rsidR="00CC4100" w:rsidRPr="006D6338" w14:paraId="0702C531" w14:textId="77777777" w:rsidTr="00A44FCD">
        <w:trPr>
          <w:trHeight w:val="978"/>
        </w:trPr>
        <w:tc>
          <w:tcPr>
            <w:tcW w:w="1067" w:type="pct"/>
            <w:noWrap/>
            <w:vAlign w:val="bottom"/>
            <w:hideMark/>
          </w:tcPr>
          <w:p w14:paraId="03C10488"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468" w:type="pct"/>
            <w:vAlign w:val="bottom"/>
            <w:hideMark/>
          </w:tcPr>
          <w:p w14:paraId="1ED779AD"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Share Capital</w:t>
            </w:r>
          </w:p>
        </w:tc>
        <w:tc>
          <w:tcPr>
            <w:tcW w:w="466" w:type="pct"/>
            <w:vAlign w:val="bottom"/>
            <w:hideMark/>
          </w:tcPr>
          <w:p w14:paraId="4B639207"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Share Premium</w:t>
            </w:r>
          </w:p>
        </w:tc>
        <w:tc>
          <w:tcPr>
            <w:tcW w:w="466" w:type="pct"/>
            <w:vAlign w:val="bottom"/>
            <w:hideMark/>
          </w:tcPr>
          <w:p w14:paraId="45E5E884"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Share Option Reserves</w:t>
            </w:r>
          </w:p>
        </w:tc>
        <w:tc>
          <w:tcPr>
            <w:tcW w:w="466" w:type="pct"/>
            <w:vAlign w:val="bottom"/>
            <w:hideMark/>
          </w:tcPr>
          <w:p w14:paraId="2015DEDB"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Financial</w:t>
            </w:r>
          </w:p>
          <w:p w14:paraId="0213354E"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assets at</w:t>
            </w:r>
          </w:p>
          <w:p w14:paraId="35F0983A"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FVOCI</w:t>
            </w:r>
          </w:p>
          <w:p w14:paraId="6A0CA6F6"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Reserve</w:t>
            </w:r>
          </w:p>
        </w:tc>
        <w:tc>
          <w:tcPr>
            <w:tcW w:w="466" w:type="pct"/>
            <w:vAlign w:val="bottom"/>
            <w:hideMark/>
          </w:tcPr>
          <w:p w14:paraId="026E1D90"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Other Reserves</w:t>
            </w:r>
          </w:p>
        </w:tc>
        <w:tc>
          <w:tcPr>
            <w:tcW w:w="533" w:type="pct"/>
            <w:vAlign w:val="bottom"/>
            <w:hideMark/>
          </w:tcPr>
          <w:p w14:paraId="5570C9E5"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Foreign exchange translation Reserve</w:t>
            </w:r>
          </w:p>
        </w:tc>
        <w:tc>
          <w:tcPr>
            <w:tcW w:w="534" w:type="pct"/>
            <w:vAlign w:val="bottom"/>
            <w:hideMark/>
          </w:tcPr>
          <w:p w14:paraId="62FE32F4"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Retained Earnings</w:t>
            </w:r>
          </w:p>
        </w:tc>
        <w:tc>
          <w:tcPr>
            <w:tcW w:w="534" w:type="pct"/>
            <w:vAlign w:val="bottom"/>
            <w:hideMark/>
          </w:tcPr>
          <w:p w14:paraId="4CF5A689" w14:textId="77777777" w:rsidR="00CC4100" w:rsidRPr="006D6338" w:rsidRDefault="00CC4100" w:rsidP="00A44FCD">
            <w:pPr>
              <w:jc w:val="center"/>
              <w:rPr>
                <w:rFonts w:ascii="Calibri" w:eastAsia="Times New Roman" w:hAnsi="Calibri" w:cs="Calibri"/>
                <w:b/>
                <w:bCs/>
                <w:color w:val="000000"/>
                <w:sz w:val="15"/>
                <w:szCs w:val="15"/>
                <w:lang w:eastAsia="en-GB"/>
              </w:rPr>
            </w:pPr>
            <w:r w:rsidRPr="006D6338">
              <w:rPr>
                <w:rFonts w:ascii="Calibri" w:eastAsia="Times New Roman" w:hAnsi="Calibri" w:cs="Calibri"/>
                <w:b/>
                <w:bCs/>
                <w:color w:val="000000"/>
                <w:sz w:val="15"/>
                <w:szCs w:val="15"/>
                <w:lang w:eastAsia="en-GB"/>
              </w:rPr>
              <w:t>Total Equity</w:t>
            </w:r>
          </w:p>
        </w:tc>
      </w:tr>
      <w:tr w:rsidR="00CC4100" w:rsidRPr="006D6338" w14:paraId="2BD56789" w14:textId="77777777" w:rsidTr="00A44FCD">
        <w:trPr>
          <w:trHeight w:val="300"/>
        </w:trPr>
        <w:tc>
          <w:tcPr>
            <w:tcW w:w="1067" w:type="pct"/>
            <w:noWrap/>
            <w:vAlign w:val="bottom"/>
            <w:hideMark/>
          </w:tcPr>
          <w:p w14:paraId="1053A01A"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Unaudited</w:t>
            </w:r>
          </w:p>
        </w:tc>
        <w:tc>
          <w:tcPr>
            <w:tcW w:w="468" w:type="pct"/>
            <w:noWrap/>
            <w:vAlign w:val="center"/>
            <w:hideMark/>
          </w:tcPr>
          <w:p w14:paraId="7331BAD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466" w:type="pct"/>
            <w:noWrap/>
            <w:vAlign w:val="center"/>
            <w:hideMark/>
          </w:tcPr>
          <w:p w14:paraId="55DAC40B"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466" w:type="pct"/>
            <w:noWrap/>
            <w:vAlign w:val="center"/>
            <w:hideMark/>
          </w:tcPr>
          <w:p w14:paraId="449FBB54"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466" w:type="pct"/>
            <w:vAlign w:val="center"/>
            <w:hideMark/>
          </w:tcPr>
          <w:p w14:paraId="3EE25D7B"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c>
          <w:tcPr>
            <w:tcW w:w="466" w:type="pct"/>
            <w:noWrap/>
            <w:vAlign w:val="center"/>
            <w:hideMark/>
          </w:tcPr>
          <w:p w14:paraId="0D291AF8"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533" w:type="pct"/>
            <w:vAlign w:val="center"/>
            <w:hideMark/>
          </w:tcPr>
          <w:p w14:paraId="7CFC430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c>
          <w:tcPr>
            <w:tcW w:w="534" w:type="pct"/>
            <w:noWrap/>
            <w:vAlign w:val="center"/>
            <w:hideMark/>
          </w:tcPr>
          <w:p w14:paraId="74A55B4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534" w:type="pct"/>
            <w:noWrap/>
            <w:vAlign w:val="center"/>
            <w:hideMark/>
          </w:tcPr>
          <w:p w14:paraId="06ACBCD8"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40694607" w14:textId="77777777" w:rsidTr="00A44FCD">
        <w:trPr>
          <w:trHeight w:val="300"/>
        </w:trPr>
        <w:tc>
          <w:tcPr>
            <w:tcW w:w="1067" w:type="pct"/>
            <w:noWrap/>
            <w:vAlign w:val="bottom"/>
            <w:hideMark/>
          </w:tcPr>
          <w:p w14:paraId="34F1CE08"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Balance at 1 Jan 2025</w:t>
            </w:r>
          </w:p>
        </w:tc>
        <w:tc>
          <w:tcPr>
            <w:tcW w:w="468" w:type="pct"/>
            <w:noWrap/>
            <w:vAlign w:val="center"/>
            <w:hideMark/>
          </w:tcPr>
          <w:p w14:paraId="3B79EBE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618,259</w:t>
            </w:r>
          </w:p>
        </w:tc>
        <w:tc>
          <w:tcPr>
            <w:tcW w:w="466" w:type="pct"/>
            <w:noWrap/>
            <w:vAlign w:val="center"/>
            <w:hideMark/>
          </w:tcPr>
          <w:p w14:paraId="4F5B3B4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6,145,651</w:t>
            </w:r>
          </w:p>
        </w:tc>
        <w:tc>
          <w:tcPr>
            <w:tcW w:w="466" w:type="pct"/>
            <w:noWrap/>
            <w:vAlign w:val="center"/>
            <w:hideMark/>
          </w:tcPr>
          <w:p w14:paraId="79FE0E7F"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288,122</w:t>
            </w:r>
          </w:p>
        </w:tc>
        <w:tc>
          <w:tcPr>
            <w:tcW w:w="466" w:type="pct"/>
            <w:vAlign w:val="center"/>
            <w:hideMark/>
          </w:tcPr>
          <w:p w14:paraId="227F1A1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(62,349)</w:t>
            </w:r>
          </w:p>
        </w:tc>
        <w:tc>
          <w:tcPr>
            <w:tcW w:w="466" w:type="pct"/>
            <w:noWrap/>
            <w:vAlign w:val="center"/>
            <w:hideMark/>
          </w:tcPr>
          <w:p w14:paraId="0117E8A7"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 xml:space="preserve">(134,678) </w:t>
            </w:r>
          </w:p>
        </w:tc>
        <w:tc>
          <w:tcPr>
            <w:tcW w:w="533" w:type="pct"/>
            <w:vAlign w:val="center"/>
            <w:hideMark/>
          </w:tcPr>
          <w:p w14:paraId="0D45066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(272,479)</w:t>
            </w:r>
          </w:p>
        </w:tc>
        <w:tc>
          <w:tcPr>
            <w:tcW w:w="534" w:type="pct"/>
            <w:noWrap/>
            <w:vAlign w:val="center"/>
            <w:hideMark/>
          </w:tcPr>
          <w:p w14:paraId="2C13EFB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(3,476,376)</w:t>
            </w:r>
          </w:p>
        </w:tc>
        <w:tc>
          <w:tcPr>
            <w:tcW w:w="534" w:type="pct"/>
            <w:noWrap/>
            <w:vAlign w:val="center"/>
            <w:hideMark/>
          </w:tcPr>
          <w:p w14:paraId="13E12C3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3,106,150</w:t>
            </w:r>
          </w:p>
        </w:tc>
      </w:tr>
      <w:tr w:rsidR="00CC4100" w:rsidRPr="006D6338" w14:paraId="5771E481" w14:textId="77777777" w:rsidTr="00A44FCD">
        <w:trPr>
          <w:trHeight w:val="300"/>
        </w:trPr>
        <w:tc>
          <w:tcPr>
            <w:tcW w:w="1067" w:type="pct"/>
            <w:noWrap/>
            <w:vAlign w:val="bottom"/>
          </w:tcPr>
          <w:p w14:paraId="21B06428" w14:textId="77777777" w:rsidR="00CC4100" w:rsidRPr="006D6338" w:rsidRDefault="00CC4100" w:rsidP="00A44FCD">
            <w:pPr>
              <w:rPr>
                <w:rFonts w:ascii="Calibri" w:eastAsia="Times New Roman" w:hAnsi="Calibri" w:cs="Calibri"/>
                <w:color w:val="000000"/>
                <w:sz w:val="16"/>
                <w:szCs w:val="16"/>
                <w:lang w:eastAsia="en-GB"/>
              </w:rPr>
            </w:pPr>
          </w:p>
        </w:tc>
        <w:tc>
          <w:tcPr>
            <w:tcW w:w="468" w:type="pct"/>
            <w:tcBorders>
              <w:top w:val="nil"/>
              <w:left w:val="nil"/>
              <w:bottom w:val="single" w:sz="4" w:space="0" w:color="auto"/>
              <w:right w:val="nil"/>
            </w:tcBorders>
            <w:noWrap/>
            <w:vAlign w:val="center"/>
          </w:tcPr>
          <w:p w14:paraId="06FF1A17"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tcBorders>
              <w:top w:val="nil"/>
              <w:left w:val="nil"/>
              <w:bottom w:val="single" w:sz="4" w:space="0" w:color="auto"/>
              <w:right w:val="nil"/>
            </w:tcBorders>
            <w:noWrap/>
            <w:vAlign w:val="center"/>
          </w:tcPr>
          <w:p w14:paraId="0398A9BE"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tcBorders>
              <w:top w:val="nil"/>
              <w:left w:val="nil"/>
              <w:bottom w:val="single" w:sz="4" w:space="0" w:color="auto"/>
              <w:right w:val="nil"/>
            </w:tcBorders>
            <w:noWrap/>
            <w:vAlign w:val="center"/>
          </w:tcPr>
          <w:p w14:paraId="12B49925"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tcBorders>
              <w:top w:val="nil"/>
              <w:left w:val="nil"/>
              <w:bottom w:val="single" w:sz="4" w:space="0" w:color="auto"/>
              <w:right w:val="nil"/>
            </w:tcBorders>
            <w:vAlign w:val="center"/>
          </w:tcPr>
          <w:p w14:paraId="3563DFFB" w14:textId="77777777" w:rsidR="00CC4100" w:rsidRPr="006D6338" w:rsidRDefault="00CC4100" w:rsidP="00A44FCD">
            <w:pPr>
              <w:jc w:val="right"/>
              <w:rPr>
                <w:rFonts w:ascii="Calibri" w:eastAsia="Calibri" w:hAnsi="Calibri" w:cs="Calibri"/>
                <w:color w:val="000000"/>
                <w:sz w:val="16"/>
                <w:szCs w:val="16"/>
              </w:rPr>
            </w:pPr>
          </w:p>
        </w:tc>
        <w:tc>
          <w:tcPr>
            <w:tcW w:w="466" w:type="pct"/>
            <w:tcBorders>
              <w:top w:val="nil"/>
              <w:left w:val="nil"/>
              <w:bottom w:val="single" w:sz="4" w:space="0" w:color="auto"/>
              <w:right w:val="nil"/>
            </w:tcBorders>
            <w:noWrap/>
            <w:vAlign w:val="center"/>
          </w:tcPr>
          <w:p w14:paraId="53947B38" w14:textId="77777777" w:rsidR="00CC4100" w:rsidRPr="006D6338" w:rsidRDefault="00CC4100" w:rsidP="00A44FCD">
            <w:pPr>
              <w:jc w:val="right"/>
              <w:rPr>
                <w:rFonts w:ascii="Calibri" w:eastAsia="Calibri" w:hAnsi="Calibri" w:cs="Calibri"/>
                <w:color w:val="000000"/>
                <w:sz w:val="16"/>
                <w:szCs w:val="16"/>
              </w:rPr>
            </w:pPr>
          </w:p>
        </w:tc>
        <w:tc>
          <w:tcPr>
            <w:tcW w:w="533" w:type="pct"/>
            <w:tcBorders>
              <w:top w:val="nil"/>
              <w:left w:val="nil"/>
              <w:bottom w:val="single" w:sz="4" w:space="0" w:color="auto"/>
              <w:right w:val="nil"/>
            </w:tcBorders>
            <w:vAlign w:val="center"/>
          </w:tcPr>
          <w:p w14:paraId="024807C9" w14:textId="77777777" w:rsidR="00CC4100" w:rsidRPr="006D6338" w:rsidRDefault="00CC4100" w:rsidP="00A44FCD">
            <w:pPr>
              <w:jc w:val="right"/>
              <w:rPr>
                <w:rFonts w:ascii="Calibri" w:eastAsia="Calibri" w:hAnsi="Calibri" w:cs="Calibri"/>
                <w:color w:val="000000"/>
                <w:sz w:val="16"/>
                <w:szCs w:val="16"/>
              </w:rPr>
            </w:pPr>
          </w:p>
        </w:tc>
        <w:tc>
          <w:tcPr>
            <w:tcW w:w="534" w:type="pct"/>
            <w:tcBorders>
              <w:top w:val="nil"/>
              <w:left w:val="nil"/>
              <w:bottom w:val="single" w:sz="4" w:space="0" w:color="auto"/>
              <w:right w:val="nil"/>
            </w:tcBorders>
            <w:noWrap/>
            <w:vAlign w:val="center"/>
          </w:tcPr>
          <w:p w14:paraId="205F67D6" w14:textId="77777777" w:rsidR="00CC4100" w:rsidRPr="006D6338" w:rsidRDefault="00CC4100" w:rsidP="00A44FCD">
            <w:pPr>
              <w:jc w:val="right"/>
              <w:rPr>
                <w:rFonts w:ascii="Calibri" w:eastAsia="Calibri" w:hAnsi="Calibri" w:cs="Calibri"/>
                <w:color w:val="000000"/>
                <w:sz w:val="16"/>
                <w:szCs w:val="16"/>
              </w:rPr>
            </w:pPr>
          </w:p>
        </w:tc>
        <w:tc>
          <w:tcPr>
            <w:tcW w:w="534" w:type="pct"/>
            <w:tcBorders>
              <w:top w:val="nil"/>
              <w:left w:val="nil"/>
              <w:bottom w:val="single" w:sz="4" w:space="0" w:color="auto"/>
              <w:right w:val="nil"/>
            </w:tcBorders>
            <w:noWrap/>
            <w:vAlign w:val="center"/>
          </w:tcPr>
          <w:p w14:paraId="071F50F8"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444A3FFA" w14:textId="77777777" w:rsidTr="00A44FCD">
        <w:trPr>
          <w:trHeight w:val="300"/>
        </w:trPr>
        <w:tc>
          <w:tcPr>
            <w:tcW w:w="1067" w:type="pct"/>
            <w:noWrap/>
            <w:vAlign w:val="bottom"/>
            <w:hideMark/>
          </w:tcPr>
          <w:p w14:paraId="4757FB5C"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Loss for the financial period</w:t>
            </w:r>
          </w:p>
        </w:tc>
        <w:tc>
          <w:tcPr>
            <w:tcW w:w="468" w:type="pct"/>
            <w:tcBorders>
              <w:top w:val="single" w:sz="4" w:space="0" w:color="auto"/>
              <w:left w:val="nil"/>
              <w:right w:val="nil"/>
            </w:tcBorders>
            <w:noWrap/>
            <w:vAlign w:val="center"/>
            <w:hideMark/>
          </w:tcPr>
          <w:p w14:paraId="1552D1B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tcBorders>
              <w:top w:val="single" w:sz="4" w:space="0" w:color="auto"/>
              <w:left w:val="nil"/>
              <w:right w:val="nil"/>
            </w:tcBorders>
            <w:noWrap/>
            <w:vAlign w:val="center"/>
            <w:hideMark/>
          </w:tcPr>
          <w:p w14:paraId="254506E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tcBorders>
              <w:top w:val="single" w:sz="4" w:space="0" w:color="auto"/>
              <w:left w:val="nil"/>
              <w:right w:val="nil"/>
            </w:tcBorders>
            <w:noWrap/>
            <w:vAlign w:val="center"/>
            <w:hideMark/>
          </w:tcPr>
          <w:p w14:paraId="6427353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tcBorders>
              <w:top w:val="single" w:sz="4" w:space="0" w:color="auto"/>
              <w:left w:val="nil"/>
              <w:right w:val="nil"/>
            </w:tcBorders>
            <w:vAlign w:val="center"/>
            <w:hideMark/>
          </w:tcPr>
          <w:p w14:paraId="4F327D7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single" w:sz="4" w:space="0" w:color="auto"/>
              <w:left w:val="nil"/>
              <w:right w:val="nil"/>
            </w:tcBorders>
            <w:noWrap/>
            <w:vAlign w:val="center"/>
            <w:hideMark/>
          </w:tcPr>
          <w:p w14:paraId="5F0508D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 </w:t>
            </w:r>
          </w:p>
        </w:tc>
        <w:tc>
          <w:tcPr>
            <w:tcW w:w="533" w:type="pct"/>
            <w:tcBorders>
              <w:top w:val="single" w:sz="4" w:space="0" w:color="auto"/>
              <w:left w:val="nil"/>
              <w:right w:val="nil"/>
            </w:tcBorders>
            <w:vAlign w:val="center"/>
            <w:hideMark/>
          </w:tcPr>
          <w:p w14:paraId="5F2FFCAF"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534" w:type="pct"/>
            <w:tcBorders>
              <w:top w:val="single" w:sz="4" w:space="0" w:color="auto"/>
              <w:left w:val="nil"/>
              <w:right w:val="nil"/>
            </w:tcBorders>
            <w:noWrap/>
            <w:vAlign w:val="center"/>
            <w:hideMark/>
          </w:tcPr>
          <w:p w14:paraId="4EFDBFB5"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r w:rsidRPr="006D6338">
              <w:rPr>
                <w:rFonts w:ascii="Calibri" w:eastAsia="Calibri" w:hAnsi="Calibri" w:cs="Calibri"/>
                <w:bCs/>
                <w:color w:val="000000"/>
                <w:sz w:val="16"/>
                <w:szCs w:val="16"/>
              </w:rPr>
              <w:t>375,019</w:t>
            </w:r>
            <w:r w:rsidRPr="006D6338">
              <w:rPr>
                <w:rFonts w:ascii="Calibri" w:eastAsia="Calibri" w:hAnsi="Calibri" w:cs="Calibri"/>
                <w:color w:val="000000"/>
                <w:sz w:val="16"/>
                <w:szCs w:val="16"/>
              </w:rPr>
              <w:t>)</w:t>
            </w:r>
          </w:p>
        </w:tc>
        <w:tc>
          <w:tcPr>
            <w:tcW w:w="534" w:type="pct"/>
            <w:tcBorders>
              <w:top w:val="single" w:sz="4" w:space="0" w:color="auto"/>
              <w:left w:val="nil"/>
              <w:right w:val="nil"/>
            </w:tcBorders>
            <w:noWrap/>
            <w:vAlign w:val="center"/>
            <w:hideMark/>
          </w:tcPr>
          <w:p w14:paraId="77B05F7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r w:rsidRPr="006D6338">
              <w:rPr>
                <w:rFonts w:ascii="Calibri" w:eastAsia="Calibri" w:hAnsi="Calibri" w:cs="Calibri"/>
                <w:bCs/>
                <w:color w:val="000000"/>
                <w:sz w:val="16"/>
                <w:szCs w:val="16"/>
              </w:rPr>
              <w:t>375,019</w:t>
            </w:r>
            <w:r w:rsidRPr="006D6338">
              <w:rPr>
                <w:rFonts w:ascii="Calibri" w:eastAsia="Calibri" w:hAnsi="Calibri" w:cs="Calibri"/>
                <w:color w:val="000000"/>
                <w:sz w:val="16"/>
                <w:szCs w:val="16"/>
              </w:rPr>
              <w:t>)</w:t>
            </w:r>
          </w:p>
        </w:tc>
      </w:tr>
      <w:tr w:rsidR="00CC4100" w:rsidRPr="006D6338" w14:paraId="1E4266BF" w14:textId="77777777" w:rsidTr="00A44FCD">
        <w:trPr>
          <w:trHeight w:val="300"/>
        </w:trPr>
        <w:tc>
          <w:tcPr>
            <w:tcW w:w="1067" w:type="pct"/>
            <w:noWrap/>
            <w:vAlign w:val="bottom"/>
          </w:tcPr>
          <w:p w14:paraId="6F85300F" w14:textId="77777777" w:rsidR="00CC4100" w:rsidRPr="006D6338" w:rsidRDefault="00CC4100" w:rsidP="00A44FCD">
            <w:pPr>
              <w:rPr>
                <w:rFonts w:ascii="Calibri" w:eastAsia="Times New Roman" w:hAnsi="Calibri" w:cs="Calibri"/>
                <w:color w:val="000000"/>
                <w:sz w:val="16"/>
                <w:szCs w:val="16"/>
                <w:lang w:val="en-IE" w:eastAsia="en-GB"/>
              </w:rPr>
            </w:pPr>
            <w:r w:rsidRPr="006D6338">
              <w:rPr>
                <w:rFonts w:ascii="Calibri" w:eastAsia="Times New Roman" w:hAnsi="Calibri" w:cs="Calibri"/>
                <w:color w:val="000000"/>
                <w:sz w:val="16"/>
                <w:szCs w:val="16"/>
                <w:lang w:eastAsia="en-GB"/>
              </w:rPr>
              <w:t>Other comprehensive Income</w:t>
            </w:r>
          </w:p>
        </w:tc>
        <w:tc>
          <w:tcPr>
            <w:tcW w:w="468" w:type="pct"/>
            <w:tcBorders>
              <w:left w:val="nil"/>
              <w:bottom w:val="single" w:sz="4" w:space="0" w:color="auto"/>
              <w:right w:val="nil"/>
            </w:tcBorders>
            <w:noWrap/>
            <w:vAlign w:val="center"/>
          </w:tcPr>
          <w:p w14:paraId="6391B246"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noWrap/>
            <w:vAlign w:val="center"/>
          </w:tcPr>
          <w:p w14:paraId="677106D0"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noWrap/>
            <w:vAlign w:val="center"/>
          </w:tcPr>
          <w:p w14:paraId="761F3C2A"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vAlign w:val="center"/>
          </w:tcPr>
          <w:p w14:paraId="275418F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29,056</w:t>
            </w:r>
          </w:p>
        </w:tc>
        <w:tc>
          <w:tcPr>
            <w:tcW w:w="466" w:type="pct"/>
            <w:tcBorders>
              <w:left w:val="nil"/>
              <w:bottom w:val="single" w:sz="4" w:space="0" w:color="auto"/>
              <w:right w:val="nil"/>
            </w:tcBorders>
            <w:noWrap/>
            <w:vAlign w:val="center"/>
          </w:tcPr>
          <w:p w14:paraId="604E590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left w:val="nil"/>
              <w:bottom w:val="single" w:sz="4" w:space="0" w:color="auto"/>
              <w:right w:val="nil"/>
            </w:tcBorders>
            <w:vAlign w:val="center"/>
          </w:tcPr>
          <w:p w14:paraId="38BA3C35" w14:textId="77777777" w:rsidR="00CC4100" w:rsidRPr="006D6338" w:rsidRDefault="00CC4100" w:rsidP="00A44FCD">
            <w:pPr>
              <w:jc w:val="right"/>
              <w:rPr>
                <w:rFonts w:ascii="Calibri" w:eastAsia="Calibri" w:hAnsi="Calibri" w:cs="Calibri"/>
                <w:bCs/>
                <w:color w:val="000000"/>
                <w:sz w:val="16"/>
                <w:szCs w:val="16"/>
              </w:rPr>
            </w:pPr>
            <w:r w:rsidRPr="006D6338">
              <w:rPr>
                <w:rFonts w:ascii="Calibri" w:eastAsia="Arial" w:hAnsi="Calibri" w:cs="Calibri"/>
                <w:color w:val="000000"/>
                <w:sz w:val="16"/>
                <w:szCs w:val="16"/>
              </w:rPr>
              <w:t>(101,673)</w:t>
            </w:r>
          </w:p>
        </w:tc>
        <w:tc>
          <w:tcPr>
            <w:tcW w:w="534" w:type="pct"/>
            <w:tcBorders>
              <w:left w:val="nil"/>
              <w:bottom w:val="single" w:sz="4" w:space="0" w:color="auto"/>
              <w:right w:val="nil"/>
            </w:tcBorders>
            <w:noWrap/>
            <w:vAlign w:val="center"/>
          </w:tcPr>
          <w:p w14:paraId="5BA48ED9"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Arial" w:hAnsi="Calibri" w:cs="Calibri"/>
                <w:color w:val="000000"/>
                <w:sz w:val="16"/>
                <w:szCs w:val="16"/>
              </w:rPr>
              <w:t>-</w:t>
            </w:r>
          </w:p>
        </w:tc>
        <w:tc>
          <w:tcPr>
            <w:tcW w:w="534" w:type="pct"/>
            <w:tcBorders>
              <w:left w:val="nil"/>
              <w:bottom w:val="single" w:sz="4" w:space="0" w:color="auto"/>
              <w:right w:val="nil"/>
            </w:tcBorders>
            <w:noWrap/>
            <w:vAlign w:val="center"/>
          </w:tcPr>
          <w:p w14:paraId="5309139E" w14:textId="77777777" w:rsidR="00CC4100" w:rsidRPr="006D6338" w:rsidRDefault="00CC4100" w:rsidP="00A44FCD">
            <w:pPr>
              <w:jc w:val="right"/>
              <w:rPr>
                <w:rFonts w:ascii="Calibri" w:eastAsia="Calibri" w:hAnsi="Calibri" w:cs="Calibri"/>
                <w:bCs/>
                <w:color w:val="000000"/>
                <w:sz w:val="16"/>
                <w:szCs w:val="16"/>
              </w:rPr>
            </w:pPr>
            <w:r w:rsidRPr="006D6338">
              <w:rPr>
                <w:rFonts w:ascii="Calibri" w:eastAsia="Times New Roman" w:hAnsi="Calibri" w:cs="Calibri"/>
                <w:color w:val="000000"/>
                <w:sz w:val="16"/>
                <w:szCs w:val="16"/>
                <w:lang w:eastAsia="en-GB"/>
              </w:rPr>
              <w:t>(72,617)</w:t>
            </w:r>
          </w:p>
        </w:tc>
      </w:tr>
      <w:tr w:rsidR="00CC4100" w:rsidRPr="006D6338" w14:paraId="19B7E918" w14:textId="77777777" w:rsidTr="00A44FCD">
        <w:trPr>
          <w:trHeight w:val="300"/>
        </w:trPr>
        <w:tc>
          <w:tcPr>
            <w:tcW w:w="1067" w:type="pct"/>
            <w:noWrap/>
            <w:vAlign w:val="bottom"/>
            <w:hideMark/>
          </w:tcPr>
          <w:p w14:paraId="746C78C3"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Total comprehensive loss for the period</w:t>
            </w:r>
          </w:p>
        </w:tc>
        <w:tc>
          <w:tcPr>
            <w:tcW w:w="468" w:type="pct"/>
            <w:tcBorders>
              <w:top w:val="single" w:sz="4" w:space="0" w:color="auto"/>
              <w:left w:val="nil"/>
              <w:bottom w:val="nil"/>
              <w:right w:val="nil"/>
            </w:tcBorders>
            <w:noWrap/>
            <w:vAlign w:val="center"/>
            <w:hideMark/>
          </w:tcPr>
          <w:p w14:paraId="0061C6B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noWrap/>
            <w:vAlign w:val="center"/>
            <w:hideMark/>
          </w:tcPr>
          <w:p w14:paraId="4210B697"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noWrap/>
            <w:vAlign w:val="center"/>
            <w:hideMark/>
          </w:tcPr>
          <w:p w14:paraId="16399879"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vAlign w:val="center"/>
            <w:hideMark/>
          </w:tcPr>
          <w:p w14:paraId="3A9B251C"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29,056</w:t>
            </w:r>
          </w:p>
        </w:tc>
        <w:tc>
          <w:tcPr>
            <w:tcW w:w="466" w:type="pct"/>
            <w:tcBorders>
              <w:top w:val="single" w:sz="4" w:space="0" w:color="auto"/>
              <w:left w:val="nil"/>
              <w:bottom w:val="nil"/>
              <w:right w:val="nil"/>
            </w:tcBorders>
            <w:noWrap/>
            <w:vAlign w:val="center"/>
            <w:hideMark/>
          </w:tcPr>
          <w:p w14:paraId="6CEB842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533" w:type="pct"/>
            <w:tcBorders>
              <w:top w:val="single" w:sz="4" w:space="0" w:color="auto"/>
              <w:left w:val="nil"/>
              <w:bottom w:val="nil"/>
              <w:right w:val="nil"/>
            </w:tcBorders>
            <w:vAlign w:val="center"/>
            <w:hideMark/>
          </w:tcPr>
          <w:p w14:paraId="2238C17A"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Arial" w:hAnsi="Calibri" w:cs="Calibri"/>
                <w:b/>
                <w:bCs/>
                <w:color w:val="000000"/>
                <w:sz w:val="16"/>
                <w:szCs w:val="16"/>
              </w:rPr>
              <w:t>(101,673)</w:t>
            </w:r>
          </w:p>
        </w:tc>
        <w:tc>
          <w:tcPr>
            <w:tcW w:w="534" w:type="pct"/>
            <w:tcBorders>
              <w:top w:val="single" w:sz="4" w:space="0" w:color="auto"/>
              <w:left w:val="nil"/>
              <w:bottom w:val="nil"/>
              <w:right w:val="nil"/>
            </w:tcBorders>
            <w:noWrap/>
            <w:vAlign w:val="center"/>
            <w:hideMark/>
          </w:tcPr>
          <w:p w14:paraId="766336EA"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(375,019)</w:t>
            </w:r>
            <w:r w:rsidRPr="006D6338" w:rsidDel="005B45E1">
              <w:rPr>
                <w:rFonts w:ascii="Calibri" w:eastAsia="Calibri" w:hAnsi="Calibri" w:cs="Calibri"/>
                <w:b/>
                <w:bCs/>
                <w:color w:val="000000"/>
                <w:sz w:val="16"/>
                <w:szCs w:val="16"/>
              </w:rPr>
              <w:t xml:space="preserve"> </w:t>
            </w:r>
          </w:p>
        </w:tc>
        <w:tc>
          <w:tcPr>
            <w:tcW w:w="534" w:type="pct"/>
            <w:tcBorders>
              <w:top w:val="single" w:sz="4" w:space="0" w:color="auto"/>
              <w:left w:val="nil"/>
              <w:bottom w:val="nil"/>
              <w:right w:val="nil"/>
            </w:tcBorders>
            <w:noWrap/>
            <w:vAlign w:val="center"/>
            <w:hideMark/>
          </w:tcPr>
          <w:p w14:paraId="573EA7CB"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(447,636)</w:t>
            </w:r>
          </w:p>
        </w:tc>
      </w:tr>
      <w:tr w:rsidR="00CC4100" w:rsidRPr="006D6338" w14:paraId="457495BF" w14:textId="77777777" w:rsidTr="00A44FCD">
        <w:trPr>
          <w:trHeight w:val="300"/>
        </w:trPr>
        <w:tc>
          <w:tcPr>
            <w:tcW w:w="1067" w:type="pct"/>
            <w:noWrap/>
            <w:vAlign w:val="bottom"/>
          </w:tcPr>
          <w:p w14:paraId="3F760919" w14:textId="77777777" w:rsidR="00CC4100" w:rsidRPr="006D6338" w:rsidRDefault="00CC4100" w:rsidP="00A44FCD">
            <w:pPr>
              <w:rPr>
                <w:rFonts w:ascii="Calibri" w:eastAsia="Times New Roman" w:hAnsi="Calibri" w:cs="Calibri"/>
                <w:b/>
                <w:bCs/>
                <w:color w:val="000000"/>
                <w:sz w:val="16"/>
                <w:szCs w:val="16"/>
                <w:lang w:eastAsia="en-GB"/>
              </w:rPr>
            </w:pPr>
          </w:p>
        </w:tc>
        <w:tc>
          <w:tcPr>
            <w:tcW w:w="468" w:type="pct"/>
            <w:tcBorders>
              <w:top w:val="single" w:sz="4" w:space="0" w:color="auto"/>
              <w:left w:val="nil"/>
              <w:right w:val="nil"/>
            </w:tcBorders>
            <w:noWrap/>
            <w:vAlign w:val="center"/>
          </w:tcPr>
          <w:p w14:paraId="2E47D395"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right w:val="nil"/>
            </w:tcBorders>
            <w:noWrap/>
            <w:vAlign w:val="center"/>
          </w:tcPr>
          <w:p w14:paraId="148CCA42"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right w:val="nil"/>
            </w:tcBorders>
            <w:noWrap/>
            <w:vAlign w:val="center"/>
          </w:tcPr>
          <w:p w14:paraId="7837F242"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right w:val="nil"/>
            </w:tcBorders>
            <w:vAlign w:val="center"/>
          </w:tcPr>
          <w:p w14:paraId="1555B53B"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right w:val="nil"/>
            </w:tcBorders>
            <w:noWrap/>
            <w:vAlign w:val="center"/>
          </w:tcPr>
          <w:p w14:paraId="14165774" w14:textId="77777777" w:rsidR="00CC4100" w:rsidRPr="006D6338" w:rsidRDefault="00CC4100" w:rsidP="00A44FCD">
            <w:pPr>
              <w:jc w:val="right"/>
              <w:rPr>
                <w:rFonts w:ascii="Calibri" w:eastAsia="Calibri" w:hAnsi="Calibri" w:cs="Calibri"/>
                <w:b/>
                <w:bCs/>
                <w:color w:val="000000"/>
                <w:sz w:val="16"/>
                <w:szCs w:val="16"/>
              </w:rPr>
            </w:pPr>
          </w:p>
        </w:tc>
        <w:tc>
          <w:tcPr>
            <w:tcW w:w="533" w:type="pct"/>
            <w:tcBorders>
              <w:top w:val="single" w:sz="4" w:space="0" w:color="auto"/>
              <w:left w:val="nil"/>
              <w:right w:val="nil"/>
            </w:tcBorders>
            <w:vAlign w:val="center"/>
          </w:tcPr>
          <w:p w14:paraId="3825A767"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top w:val="single" w:sz="4" w:space="0" w:color="auto"/>
              <w:left w:val="nil"/>
              <w:right w:val="nil"/>
            </w:tcBorders>
            <w:noWrap/>
            <w:vAlign w:val="center"/>
          </w:tcPr>
          <w:p w14:paraId="1793DEFB"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top w:val="single" w:sz="4" w:space="0" w:color="auto"/>
              <w:left w:val="nil"/>
              <w:right w:val="nil"/>
            </w:tcBorders>
            <w:noWrap/>
            <w:vAlign w:val="center"/>
          </w:tcPr>
          <w:p w14:paraId="1EDDFE61" w14:textId="77777777" w:rsidR="00CC4100" w:rsidRPr="006D6338" w:rsidRDefault="00CC4100" w:rsidP="00A44FCD">
            <w:pPr>
              <w:jc w:val="right"/>
              <w:rPr>
                <w:rFonts w:ascii="Calibri" w:eastAsia="Calibri" w:hAnsi="Calibri" w:cs="Calibri"/>
                <w:b/>
                <w:bCs/>
                <w:color w:val="000000"/>
                <w:sz w:val="16"/>
                <w:szCs w:val="16"/>
              </w:rPr>
            </w:pPr>
          </w:p>
        </w:tc>
      </w:tr>
      <w:tr w:rsidR="00CC4100" w:rsidRPr="006D6338" w14:paraId="441AEC75" w14:textId="77777777" w:rsidTr="00A44FCD">
        <w:trPr>
          <w:trHeight w:val="300"/>
        </w:trPr>
        <w:tc>
          <w:tcPr>
            <w:tcW w:w="1067" w:type="pct"/>
            <w:noWrap/>
            <w:vAlign w:val="bottom"/>
          </w:tcPr>
          <w:p w14:paraId="24A1974E"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Transactions with owners</w:t>
            </w:r>
          </w:p>
        </w:tc>
        <w:tc>
          <w:tcPr>
            <w:tcW w:w="468" w:type="pct"/>
            <w:tcBorders>
              <w:left w:val="nil"/>
              <w:bottom w:val="nil"/>
              <w:right w:val="nil"/>
            </w:tcBorders>
            <w:noWrap/>
            <w:vAlign w:val="center"/>
          </w:tcPr>
          <w:p w14:paraId="663659C9"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4E1F54AD"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230056D4"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vAlign w:val="center"/>
          </w:tcPr>
          <w:p w14:paraId="5F0FBEA8"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7A122358" w14:textId="77777777" w:rsidR="00CC4100" w:rsidRPr="006D6338" w:rsidRDefault="00CC4100" w:rsidP="00A44FCD">
            <w:pPr>
              <w:jc w:val="right"/>
              <w:rPr>
                <w:rFonts w:ascii="Calibri" w:eastAsia="Calibri" w:hAnsi="Calibri" w:cs="Calibri"/>
                <w:b/>
                <w:bCs/>
                <w:color w:val="000000"/>
                <w:sz w:val="16"/>
                <w:szCs w:val="16"/>
              </w:rPr>
            </w:pPr>
          </w:p>
        </w:tc>
        <w:tc>
          <w:tcPr>
            <w:tcW w:w="533" w:type="pct"/>
            <w:tcBorders>
              <w:left w:val="nil"/>
              <w:bottom w:val="nil"/>
              <w:right w:val="nil"/>
            </w:tcBorders>
            <w:vAlign w:val="center"/>
          </w:tcPr>
          <w:p w14:paraId="24E2F1E3"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left w:val="nil"/>
              <w:bottom w:val="nil"/>
              <w:right w:val="nil"/>
            </w:tcBorders>
            <w:noWrap/>
            <w:vAlign w:val="center"/>
          </w:tcPr>
          <w:p w14:paraId="3166622A"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left w:val="nil"/>
              <w:bottom w:val="nil"/>
              <w:right w:val="nil"/>
            </w:tcBorders>
            <w:noWrap/>
            <w:vAlign w:val="center"/>
          </w:tcPr>
          <w:p w14:paraId="3FD0B0C9" w14:textId="77777777" w:rsidR="00CC4100" w:rsidRPr="006D6338" w:rsidRDefault="00CC4100" w:rsidP="00A44FCD">
            <w:pPr>
              <w:jc w:val="right"/>
              <w:rPr>
                <w:rFonts w:ascii="Calibri" w:eastAsia="Calibri" w:hAnsi="Calibri" w:cs="Calibri"/>
                <w:b/>
                <w:bCs/>
                <w:color w:val="000000"/>
                <w:sz w:val="16"/>
                <w:szCs w:val="16"/>
              </w:rPr>
            </w:pPr>
          </w:p>
        </w:tc>
      </w:tr>
      <w:tr w:rsidR="00CC4100" w:rsidRPr="006D6338" w14:paraId="36F9313D" w14:textId="77777777" w:rsidTr="00A44FCD">
        <w:trPr>
          <w:trHeight w:val="300"/>
        </w:trPr>
        <w:tc>
          <w:tcPr>
            <w:tcW w:w="1067" w:type="pct"/>
            <w:noWrap/>
            <w:vAlign w:val="bottom"/>
          </w:tcPr>
          <w:p w14:paraId="57EE0B63"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Issue of new shares</w:t>
            </w:r>
          </w:p>
        </w:tc>
        <w:tc>
          <w:tcPr>
            <w:tcW w:w="468" w:type="pct"/>
            <w:tcBorders>
              <w:left w:val="nil"/>
              <w:bottom w:val="nil"/>
              <w:right w:val="nil"/>
            </w:tcBorders>
            <w:noWrap/>
            <w:vAlign w:val="center"/>
          </w:tcPr>
          <w:p w14:paraId="6237A85C"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28,000</w:t>
            </w:r>
          </w:p>
        </w:tc>
        <w:tc>
          <w:tcPr>
            <w:tcW w:w="466" w:type="pct"/>
            <w:tcBorders>
              <w:left w:val="nil"/>
              <w:bottom w:val="nil"/>
              <w:right w:val="nil"/>
            </w:tcBorders>
            <w:noWrap/>
            <w:vAlign w:val="center"/>
          </w:tcPr>
          <w:p w14:paraId="0C42B1A2"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112,000</w:t>
            </w:r>
          </w:p>
        </w:tc>
        <w:tc>
          <w:tcPr>
            <w:tcW w:w="466" w:type="pct"/>
            <w:tcBorders>
              <w:left w:val="nil"/>
              <w:bottom w:val="nil"/>
              <w:right w:val="nil"/>
            </w:tcBorders>
            <w:noWrap/>
            <w:vAlign w:val="center"/>
          </w:tcPr>
          <w:p w14:paraId="75A55004"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w:t>
            </w:r>
          </w:p>
        </w:tc>
        <w:tc>
          <w:tcPr>
            <w:tcW w:w="466" w:type="pct"/>
            <w:tcBorders>
              <w:left w:val="nil"/>
              <w:bottom w:val="nil"/>
              <w:right w:val="nil"/>
            </w:tcBorders>
            <w:vAlign w:val="center"/>
          </w:tcPr>
          <w:p w14:paraId="61FBA42F"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466" w:type="pct"/>
            <w:tcBorders>
              <w:left w:val="nil"/>
              <w:bottom w:val="nil"/>
              <w:right w:val="nil"/>
            </w:tcBorders>
            <w:noWrap/>
            <w:vAlign w:val="center"/>
          </w:tcPr>
          <w:p w14:paraId="0DD68D26"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533" w:type="pct"/>
            <w:tcBorders>
              <w:left w:val="nil"/>
              <w:bottom w:val="nil"/>
              <w:right w:val="nil"/>
            </w:tcBorders>
            <w:vAlign w:val="center"/>
          </w:tcPr>
          <w:p w14:paraId="7AF197C2"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534" w:type="pct"/>
            <w:tcBorders>
              <w:left w:val="nil"/>
              <w:bottom w:val="nil"/>
              <w:right w:val="nil"/>
            </w:tcBorders>
            <w:noWrap/>
            <w:vAlign w:val="center"/>
          </w:tcPr>
          <w:p w14:paraId="2157ED15"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534" w:type="pct"/>
            <w:tcBorders>
              <w:left w:val="nil"/>
              <w:bottom w:val="nil"/>
              <w:right w:val="nil"/>
            </w:tcBorders>
            <w:noWrap/>
            <w:vAlign w:val="center"/>
          </w:tcPr>
          <w:p w14:paraId="452EFEFE"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color w:val="000000"/>
                <w:sz w:val="16"/>
                <w:szCs w:val="16"/>
              </w:rPr>
              <w:t>140,000</w:t>
            </w:r>
          </w:p>
        </w:tc>
      </w:tr>
      <w:tr w:rsidR="00CC4100" w:rsidRPr="006D6338" w14:paraId="105E9C32" w14:textId="77777777" w:rsidTr="00A44FCD">
        <w:trPr>
          <w:trHeight w:val="300"/>
        </w:trPr>
        <w:tc>
          <w:tcPr>
            <w:tcW w:w="1067" w:type="pct"/>
            <w:noWrap/>
            <w:vAlign w:val="bottom"/>
          </w:tcPr>
          <w:p w14:paraId="10E2B845"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 xml:space="preserve">Warrants lapsed </w:t>
            </w:r>
          </w:p>
        </w:tc>
        <w:tc>
          <w:tcPr>
            <w:tcW w:w="468" w:type="pct"/>
            <w:tcBorders>
              <w:left w:val="nil"/>
              <w:bottom w:val="nil"/>
              <w:right w:val="nil"/>
            </w:tcBorders>
            <w:noWrap/>
            <w:vAlign w:val="center"/>
          </w:tcPr>
          <w:p w14:paraId="64C3F100"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w:t>
            </w:r>
          </w:p>
        </w:tc>
        <w:tc>
          <w:tcPr>
            <w:tcW w:w="466" w:type="pct"/>
            <w:tcBorders>
              <w:left w:val="nil"/>
              <w:bottom w:val="nil"/>
              <w:right w:val="nil"/>
            </w:tcBorders>
            <w:noWrap/>
            <w:vAlign w:val="center"/>
          </w:tcPr>
          <w:p w14:paraId="4C018735"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w:t>
            </w:r>
          </w:p>
        </w:tc>
        <w:tc>
          <w:tcPr>
            <w:tcW w:w="466" w:type="pct"/>
            <w:tcBorders>
              <w:left w:val="nil"/>
              <w:bottom w:val="nil"/>
              <w:right w:val="nil"/>
            </w:tcBorders>
            <w:noWrap/>
            <w:vAlign w:val="center"/>
          </w:tcPr>
          <w:p w14:paraId="71ACDFE8"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color w:val="000000"/>
                <w:sz w:val="16"/>
                <w:szCs w:val="16"/>
                <w:lang w:eastAsia="en-GB"/>
              </w:rPr>
              <w:t>(128,761)</w:t>
            </w:r>
          </w:p>
        </w:tc>
        <w:tc>
          <w:tcPr>
            <w:tcW w:w="466" w:type="pct"/>
            <w:tcBorders>
              <w:left w:val="nil"/>
              <w:bottom w:val="nil"/>
              <w:right w:val="nil"/>
            </w:tcBorders>
            <w:vAlign w:val="center"/>
          </w:tcPr>
          <w:p w14:paraId="1016B774"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466" w:type="pct"/>
            <w:tcBorders>
              <w:left w:val="nil"/>
              <w:bottom w:val="nil"/>
              <w:right w:val="nil"/>
            </w:tcBorders>
            <w:noWrap/>
            <w:vAlign w:val="center"/>
          </w:tcPr>
          <w:p w14:paraId="52888D78"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533" w:type="pct"/>
            <w:tcBorders>
              <w:left w:val="nil"/>
              <w:bottom w:val="nil"/>
              <w:right w:val="nil"/>
            </w:tcBorders>
            <w:vAlign w:val="center"/>
          </w:tcPr>
          <w:p w14:paraId="5BA81480"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w:t>
            </w:r>
          </w:p>
        </w:tc>
        <w:tc>
          <w:tcPr>
            <w:tcW w:w="534" w:type="pct"/>
            <w:tcBorders>
              <w:left w:val="nil"/>
              <w:bottom w:val="nil"/>
              <w:right w:val="nil"/>
            </w:tcBorders>
            <w:noWrap/>
            <w:vAlign w:val="center"/>
          </w:tcPr>
          <w:p w14:paraId="5A275F85"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sz w:val="16"/>
                <w:szCs w:val="16"/>
                <w:lang w:eastAsia="en-GB"/>
              </w:rPr>
              <w:t>128,761</w:t>
            </w:r>
          </w:p>
        </w:tc>
        <w:tc>
          <w:tcPr>
            <w:tcW w:w="534" w:type="pct"/>
            <w:tcBorders>
              <w:left w:val="nil"/>
              <w:bottom w:val="nil"/>
              <w:right w:val="nil"/>
            </w:tcBorders>
            <w:noWrap/>
            <w:vAlign w:val="center"/>
          </w:tcPr>
          <w:p w14:paraId="3388562C"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color w:val="000000"/>
                <w:sz w:val="16"/>
                <w:szCs w:val="16"/>
              </w:rPr>
              <w:t>-</w:t>
            </w:r>
          </w:p>
        </w:tc>
      </w:tr>
      <w:tr w:rsidR="00CC4100" w:rsidRPr="006D6338" w14:paraId="101999C6" w14:textId="77777777" w:rsidTr="00A44FCD">
        <w:trPr>
          <w:trHeight w:val="300"/>
        </w:trPr>
        <w:tc>
          <w:tcPr>
            <w:tcW w:w="1067" w:type="pct"/>
            <w:noWrap/>
            <w:vAlign w:val="bottom"/>
          </w:tcPr>
          <w:p w14:paraId="189AE536"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Total transactions with owners</w:t>
            </w:r>
          </w:p>
        </w:tc>
        <w:tc>
          <w:tcPr>
            <w:tcW w:w="468" w:type="pct"/>
            <w:tcBorders>
              <w:top w:val="single" w:sz="4" w:space="0" w:color="auto"/>
              <w:left w:val="nil"/>
              <w:right w:val="nil"/>
            </w:tcBorders>
            <w:noWrap/>
            <w:vAlign w:val="center"/>
          </w:tcPr>
          <w:p w14:paraId="09580131"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b/>
                <w:bCs/>
                <w:color w:val="000000"/>
                <w:sz w:val="16"/>
                <w:szCs w:val="16"/>
                <w:lang w:eastAsia="en-GB"/>
              </w:rPr>
              <w:t>28,000</w:t>
            </w:r>
          </w:p>
        </w:tc>
        <w:tc>
          <w:tcPr>
            <w:tcW w:w="466" w:type="pct"/>
            <w:tcBorders>
              <w:top w:val="single" w:sz="4" w:space="0" w:color="auto"/>
              <w:left w:val="nil"/>
              <w:right w:val="nil"/>
            </w:tcBorders>
            <w:noWrap/>
            <w:vAlign w:val="center"/>
          </w:tcPr>
          <w:p w14:paraId="10326D9A"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b/>
                <w:bCs/>
                <w:color w:val="000000"/>
                <w:sz w:val="16"/>
                <w:szCs w:val="16"/>
                <w:lang w:eastAsia="en-GB"/>
              </w:rPr>
              <w:t>112,000</w:t>
            </w:r>
          </w:p>
        </w:tc>
        <w:tc>
          <w:tcPr>
            <w:tcW w:w="466" w:type="pct"/>
            <w:tcBorders>
              <w:top w:val="single" w:sz="4" w:space="0" w:color="auto"/>
              <w:left w:val="nil"/>
              <w:right w:val="nil"/>
            </w:tcBorders>
            <w:noWrap/>
            <w:vAlign w:val="center"/>
          </w:tcPr>
          <w:p w14:paraId="79A35448"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b/>
                <w:bCs/>
                <w:color w:val="000000"/>
                <w:sz w:val="16"/>
                <w:szCs w:val="16"/>
                <w:lang w:eastAsia="en-GB"/>
              </w:rPr>
              <w:t>(128,761)</w:t>
            </w:r>
          </w:p>
        </w:tc>
        <w:tc>
          <w:tcPr>
            <w:tcW w:w="466" w:type="pct"/>
            <w:tcBorders>
              <w:top w:val="single" w:sz="4" w:space="0" w:color="auto"/>
              <w:left w:val="nil"/>
              <w:right w:val="nil"/>
            </w:tcBorders>
            <w:vAlign w:val="center"/>
          </w:tcPr>
          <w:p w14:paraId="09E535DC"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w:t>
            </w:r>
          </w:p>
        </w:tc>
        <w:tc>
          <w:tcPr>
            <w:tcW w:w="466" w:type="pct"/>
            <w:tcBorders>
              <w:top w:val="single" w:sz="4" w:space="0" w:color="auto"/>
              <w:left w:val="nil"/>
              <w:right w:val="nil"/>
            </w:tcBorders>
            <w:noWrap/>
            <w:vAlign w:val="center"/>
          </w:tcPr>
          <w:p w14:paraId="394FFB62"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w:t>
            </w:r>
          </w:p>
        </w:tc>
        <w:tc>
          <w:tcPr>
            <w:tcW w:w="533" w:type="pct"/>
            <w:tcBorders>
              <w:top w:val="single" w:sz="4" w:space="0" w:color="auto"/>
              <w:left w:val="nil"/>
              <w:right w:val="nil"/>
            </w:tcBorders>
            <w:vAlign w:val="center"/>
          </w:tcPr>
          <w:p w14:paraId="4C6BBCDC"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w:t>
            </w:r>
          </w:p>
        </w:tc>
        <w:tc>
          <w:tcPr>
            <w:tcW w:w="534" w:type="pct"/>
            <w:tcBorders>
              <w:top w:val="single" w:sz="4" w:space="0" w:color="auto"/>
              <w:left w:val="nil"/>
              <w:right w:val="nil"/>
            </w:tcBorders>
            <w:noWrap/>
            <w:vAlign w:val="center"/>
          </w:tcPr>
          <w:p w14:paraId="5C393117"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Times New Roman" w:hAnsi="Calibri" w:cs="Calibri"/>
                <w:b/>
                <w:bCs/>
                <w:sz w:val="16"/>
                <w:szCs w:val="16"/>
                <w:lang w:eastAsia="en-GB"/>
              </w:rPr>
              <w:t>128,761</w:t>
            </w:r>
          </w:p>
        </w:tc>
        <w:tc>
          <w:tcPr>
            <w:tcW w:w="534" w:type="pct"/>
            <w:tcBorders>
              <w:top w:val="single" w:sz="4" w:space="0" w:color="auto"/>
              <w:left w:val="nil"/>
              <w:right w:val="nil"/>
            </w:tcBorders>
            <w:noWrap/>
            <w:vAlign w:val="center"/>
          </w:tcPr>
          <w:p w14:paraId="191D3226"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140,000</w:t>
            </w:r>
          </w:p>
        </w:tc>
      </w:tr>
      <w:tr w:rsidR="00CC4100" w:rsidRPr="006D6338" w14:paraId="34F5143B" w14:textId="77777777" w:rsidTr="00A44FCD">
        <w:trPr>
          <w:trHeight w:val="300"/>
        </w:trPr>
        <w:tc>
          <w:tcPr>
            <w:tcW w:w="1067" w:type="pct"/>
            <w:noWrap/>
            <w:vAlign w:val="bottom"/>
          </w:tcPr>
          <w:p w14:paraId="412CFCB9" w14:textId="77777777" w:rsidR="00CC4100" w:rsidRPr="006D6338" w:rsidRDefault="00CC4100" w:rsidP="00A44FCD">
            <w:pPr>
              <w:rPr>
                <w:rFonts w:ascii="Calibri" w:eastAsia="Times New Roman" w:hAnsi="Calibri" w:cs="Calibri"/>
                <w:b/>
                <w:bCs/>
                <w:color w:val="000000"/>
                <w:sz w:val="16"/>
                <w:szCs w:val="16"/>
                <w:lang w:eastAsia="en-GB"/>
              </w:rPr>
            </w:pPr>
          </w:p>
        </w:tc>
        <w:tc>
          <w:tcPr>
            <w:tcW w:w="468" w:type="pct"/>
            <w:tcBorders>
              <w:left w:val="nil"/>
              <w:bottom w:val="nil"/>
              <w:right w:val="nil"/>
            </w:tcBorders>
            <w:noWrap/>
            <w:vAlign w:val="center"/>
          </w:tcPr>
          <w:p w14:paraId="75E81D18"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64B12464"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7ACE0823"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vAlign w:val="center"/>
          </w:tcPr>
          <w:p w14:paraId="4D1B1190"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left w:val="nil"/>
              <w:bottom w:val="nil"/>
              <w:right w:val="nil"/>
            </w:tcBorders>
            <w:noWrap/>
            <w:vAlign w:val="center"/>
          </w:tcPr>
          <w:p w14:paraId="227D9BE7" w14:textId="77777777" w:rsidR="00CC4100" w:rsidRPr="006D6338" w:rsidRDefault="00CC4100" w:rsidP="00A44FCD">
            <w:pPr>
              <w:jc w:val="right"/>
              <w:rPr>
                <w:rFonts w:ascii="Calibri" w:eastAsia="Calibri" w:hAnsi="Calibri" w:cs="Calibri"/>
                <w:b/>
                <w:bCs/>
                <w:color w:val="000000"/>
                <w:sz w:val="16"/>
                <w:szCs w:val="16"/>
              </w:rPr>
            </w:pPr>
          </w:p>
        </w:tc>
        <w:tc>
          <w:tcPr>
            <w:tcW w:w="533" w:type="pct"/>
            <w:tcBorders>
              <w:left w:val="nil"/>
              <w:bottom w:val="nil"/>
              <w:right w:val="nil"/>
            </w:tcBorders>
            <w:vAlign w:val="center"/>
          </w:tcPr>
          <w:p w14:paraId="47D2B78C"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left w:val="nil"/>
              <w:bottom w:val="nil"/>
              <w:right w:val="nil"/>
            </w:tcBorders>
            <w:noWrap/>
            <w:vAlign w:val="center"/>
          </w:tcPr>
          <w:p w14:paraId="79D84C66"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left w:val="nil"/>
              <w:bottom w:val="nil"/>
              <w:right w:val="nil"/>
            </w:tcBorders>
            <w:noWrap/>
            <w:vAlign w:val="center"/>
          </w:tcPr>
          <w:p w14:paraId="79F7DD63" w14:textId="77777777" w:rsidR="00CC4100" w:rsidRPr="006D6338" w:rsidRDefault="00CC4100" w:rsidP="00A44FCD">
            <w:pPr>
              <w:jc w:val="right"/>
              <w:rPr>
                <w:rFonts w:ascii="Calibri" w:eastAsia="Calibri" w:hAnsi="Calibri" w:cs="Calibri"/>
                <w:b/>
                <w:bCs/>
                <w:color w:val="000000"/>
                <w:sz w:val="16"/>
                <w:szCs w:val="16"/>
              </w:rPr>
            </w:pPr>
          </w:p>
        </w:tc>
      </w:tr>
      <w:tr w:rsidR="00CC4100" w:rsidRPr="006D6338" w14:paraId="48DDEE20" w14:textId="77777777" w:rsidTr="00A44FCD">
        <w:trPr>
          <w:trHeight w:val="315"/>
        </w:trPr>
        <w:tc>
          <w:tcPr>
            <w:tcW w:w="1067" w:type="pct"/>
            <w:noWrap/>
            <w:vAlign w:val="bottom"/>
            <w:hideMark/>
          </w:tcPr>
          <w:p w14:paraId="3915D940"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Balance at 30 June 2025 (unaudited)</w:t>
            </w:r>
          </w:p>
        </w:tc>
        <w:tc>
          <w:tcPr>
            <w:tcW w:w="468" w:type="pct"/>
            <w:tcBorders>
              <w:top w:val="single" w:sz="4" w:space="0" w:color="auto"/>
              <w:left w:val="nil"/>
              <w:bottom w:val="double" w:sz="4" w:space="0" w:color="auto"/>
              <w:right w:val="nil"/>
            </w:tcBorders>
            <w:noWrap/>
            <w:vAlign w:val="center"/>
            <w:hideMark/>
          </w:tcPr>
          <w:p w14:paraId="163C4079"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646,259</w:t>
            </w:r>
          </w:p>
        </w:tc>
        <w:tc>
          <w:tcPr>
            <w:tcW w:w="466" w:type="pct"/>
            <w:tcBorders>
              <w:top w:val="single" w:sz="4" w:space="0" w:color="auto"/>
              <w:left w:val="nil"/>
              <w:bottom w:val="double" w:sz="4" w:space="0" w:color="auto"/>
              <w:right w:val="nil"/>
            </w:tcBorders>
            <w:noWrap/>
            <w:vAlign w:val="center"/>
            <w:hideMark/>
          </w:tcPr>
          <w:p w14:paraId="20821BBB"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6,257,651</w:t>
            </w:r>
          </w:p>
        </w:tc>
        <w:tc>
          <w:tcPr>
            <w:tcW w:w="466" w:type="pct"/>
            <w:tcBorders>
              <w:top w:val="single" w:sz="4" w:space="0" w:color="auto"/>
              <w:left w:val="nil"/>
              <w:bottom w:val="double" w:sz="4" w:space="0" w:color="auto"/>
              <w:right w:val="nil"/>
            </w:tcBorders>
            <w:noWrap/>
            <w:vAlign w:val="center"/>
            <w:hideMark/>
          </w:tcPr>
          <w:p w14:paraId="3A6E8A22"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159,361</w:t>
            </w:r>
          </w:p>
        </w:tc>
        <w:tc>
          <w:tcPr>
            <w:tcW w:w="466" w:type="pct"/>
            <w:tcBorders>
              <w:top w:val="single" w:sz="4" w:space="0" w:color="auto"/>
              <w:left w:val="nil"/>
              <w:bottom w:val="double" w:sz="4" w:space="0" w:color="auto"/>
              <w:right w:val="nil"/>
            </w:tcBorders>
            <w:vAlign w:val="center"/>
            <w:hideMark/>
          </w:tcPr>
          <w:p w14:paraId="3DB612D8"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(33,293)</w:t>
            </w:r>
          </w:p>
        </w:tc>
        <w:tc>
          <w:tcPr>
            <w:tcW w:w="466" w:type="pct"/>
            <w:tcBorders>
              <w:top w:val="single" w:sz="4" w:space="0" w:color="auto"/>
              <w:left w:val="nil"/>
              <w:bottom w:val="double" w:sz="4" w:space="0" w:color="auto"/>
              <w:right w:val="nil"/>
            </w:tcBorders>
            <w:noWrap/>
            <w:vAlign w:val="center"/>
            <w:hideMark/>
          </w:tcPr>
          <w:p w14:paraId="0CFDAFC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(134,678)</w:t>
            </w:r>
          </w:p>
        </w:tc>
        <w:tc>
          <w:tcPr>
            <w:tcW w:w="533" w:type="pct"/>
            <w:tcBorders>
              <w:top w:val="single" w:sz="4" w:space="0" w:color="auto"/>
              <w:left w:val="nil"/>
              <w:bottom w:val="double" w:sz="4" w:space="0" w:color="auto"/>
              <w:right w:val="nil"/>
            </w:tcBorders>
            <w:vAlign w:val="center"/>
            <w:hideMark/>
          </w:tcPr>
          <w:p w14:paraId="7B4E2250"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(374,152)</w:t>
            </w:r>
          </w:p>
        </w:tc>
        <w:tc>
          <w:tcPr>
            <w:tcW w:w="534" w:type="pct"/>
            <w:tcBorders>
              <w:top w:val="single" w:sz="4" w:space="0" w:color="auto"/>
              <w:left w:val="nil"/>
              <w:bottom w:val="double" w:sz="4" w:space="0" w:color="auto"/>
              <w:right w:val="nil"/>
            </w:tcBorders>
            <w:noWrap/>
            <w:vAlign w:val="center"/>
            <w:hideMark/>
          </w:tcPr>
          <w:p w14:paraId="7F8744E7"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(3,722,634)</w:t>
            </w:r>
          </w:p>
        </w:tc>
        <w:tc>
          <w:tcPr>
            <w:tcW w:w="534" w:type="pct"/>
            <w:tcBorders>
              <w:top w:val="single" w:sz="4" w:space="0" w:color="auto"/>
              <w:left w:val="nil"/>
              <w:bottom w:val="double" w:sz="4" w:space="0" w:color="auto"/>
              <w:right w:val="nil"/>
            </w:tcBorders>
            <w:noWrap/>
            <w:vAlign w:val="center"/>
            <w:hideMark/>
          </w:tcPr>
          <w:p w14:paraId="036B5D1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2,798,514</w:t>
            </w:r>
          </w:p>
        </w:tc>
      </w:tr>
      <w:tr w:rsidR="00CC4100" w:rsidRPr="006D6338" w14:paraId="51124828" w14:textId="77777777" w:rsidTr="00A44FCD">
        <w:trPr>
          <w:trHeight w:val="315"/>
        </w:trPr>
        <w:tc>
          <w:tcPr>
            <w:tcW w:w="1067" w:type="pct"/>
            <w:noWrap/>
            <w:vAlign w:val="bottom"/>
            <w:hideMark/>
          </w:tcPr>
          <w:p w14:paraId="05052E20"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468" w:type="pct"/>
            <w:tcBorders>
              <w:top w:val="double" w:sz="4" w:space="0" w:color="auto"/>
              <w:left w:val="nil"/>
              <w:bottom w:val="nil"/>
              <w:right w:val="nil"/>
            </w:tcBorders>
            <w:noWrap/>
            <w:vAlign w:val="center"/>
            <w:hideMark/>
          </w:tcPr>
          <w:p w14:paraId="32C735B4"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tcBorders>
              <w:top w:val="double" w:sz="4" w:space="0" w:color="auto"/>
              <w:left w:val="nil"/>
              <w:bottom w:val="nil"/>
              <w:right w:val="nil"/>
            </w:tcBorders>
            <w:noWrap/>
            <w:vAlign w:val="center"/>
            <w:hideMark/>
          </w:tcPr>
          <w:p w14:paraId="1F63F716"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tcBorders>
              <w:top w:val="double" w:sz="4" w:space="0" w:color="auto"/>
              <w:left w:val="nil"/>
              <w:bottom w:val="nil"/>
              <w:right w:val="nil"/>
            </w:tcBorders>
            <w:noWrap/>
            <w:vAlign w:val="center"/>
            <w:hideMark/>
          </w:tcPr>
          <w:p w14:paraId="590ABF69"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tcBorders>
              <w:top w:val="double" w:sz="4" w:space="0" w:color="auto"/>
              <w:left w:val="nil"/>
              <w:bottom w:val="nil"/>
              <w:right w:val="nil"/>
            </w:tcBorders>
            <w:vAlign w:val="center"/>
          </w:tcPr>
          <w:p w14:paraId="0C5E16BC"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466" w:type="pct"/>
            <w:tcBorders>
              <w:top w:val="double" w:sz="4" w:space="0" w:color="auto"/>
              <w:left w:val="nil"/>
              <w:bottom w:val="nil"/>
              <w:right w:val="nil"/>
            </w:tcBorders>
            <w:noWrap/>
            <w:vAlign w:val="center"/>
            <w:hideMark/>
          </w:tcPr>
          <w:p w14:paraId="109AD9E1"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533" w:type="pct"/>
            <w:tcBorders>
              <w:top w:val="double" w:sz="4" w:space="0" w:color="auto"/>
              <w:left w:val="nil"/>
              <w:bottom w:val="nil"/>
              <w:right w:val="nil"/>
            </w:tcBorders>
            <w:vAlign w:val="center"/>
          </w:tcPr>
          <w:p w14:paraId="1FA54D54"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534" w:type="pct"/>
            <w:tcBorders>
              <w:top w:val="double" w:sz="4" w:space="0" w:color="auto"/>
              <w:left w:val="nil"/>
              <w:bottom w:val="nil"/>
              <w:right w:val="nil"/>
            </w:tcBorders>
            <w:noWrap/>
            <w:vAlign w:val="center"/>
            <w:hideMark/>
          </w:tcPr>
          <w:p w14:paraId="23945906"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534" w:type="pct"/>
            <w:tcBorders>
              <w:top w:val="double" w:sz="4" w:space="0" w:color="auto"/>
              <w:left w:val="nil"/>
              <w:bottom w:val="nil"/>
              <w:right w:val="nil"/>
            </w:tcBorders>
            <w:noWrap/>
            <w:vAlign w:val="center"/>
            <w:hideMark/>
          </w:tcPr>
          <w:p w14:paraId="0D27F5ED"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6ED33946" w14:textId="77777777" w:rsidTr="00A44FCD">
        <w:trPr>
          <w:trHeight w:val="300"/>
        </w:trPr>
        <w:tc>
          <w:tcPr>
            <w:tcW w:w="1067" w:type="pct"/>
            <w:noWrap/>
            <w:vAlign w:val="bottom"/>
            <w:hideMark/>
          </w:tcPr>
          <w:p w14:paraId="4567162D"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Audited</w:t>
            </w:r>
          </w:p>
        </w:tc>
        <w:tc>
          <w:tcPr>
            <w:tcW w:w="468" w:type="pct"/>
            <w:noWrap/>
            <w:vAlign w:val="center"/>
            <w:hideMark/>
          </w:tcPr>
          <w:p w14:paraId="1ECA888D"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466" w:type="pct"/>
            <w:noWrap/>
            <w:vAlign w:val="center"/>
            <w:hideMark/>
          </w:tcPr>
          <w:p w14:paraId="5AE558A5"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noWrap/>
            <w:vAlign w:val="center"/>
            <w:hideMark/>
          </w:tcPr>
          <w:p w14:paraId="2B86A076"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vAlign w:val="center"/>
          </w:tcPr>
          <w:p w14:paraId="66C6A5A2"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hideMark/>
          </w:tcPr>
          <w:p w14:paraId="6DCD1EBA"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3" w:type="pct"/>
            <w:vAlign w:val="center"/>
          </w:tcPr>
          <w:p w14:paraId="7120AE78"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hideMark/>
          </w:tcPr>
          <w:p w14:paraId="0DD216D3"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4" w:type="pct"/>
            <w:noWrap/>
            <w:vAlign w:val="center"/>
            <w:hideMark/>
          </w:tcPr>
          <w:p w14:paraId="4FC25F6A"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435F7DA4" w14:textId="77777777" w:rsidTr="00A44FCD">
        <w:trPr>
          <w:trHeight w:val="300"/>
        </w:trPr>
        <w:tc>
          <w:tcPr>
            <w:tcW w:w="1067" w:type="pct"/>
            <w:noWrap/>
            <w:vAlign w:val="bottom"/>
            <w:hideMark/>
          </w:tcPr>
          <w:p w14:paraId="3849357B"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Balance at 1 January 2025</w:t>
            </w:r>
          </w:p>
        </w:tc>
        <w:tc>
          <w:tcPr>
            <w:tcW w:w="468" w:type="pct"/>
            <w:noWrap/>
            <w:vAlign w:val="center"/>
            <w:hideMark/>
          </w:tcPr>
          <w:p w14:paraId="6B957DA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618,259</w:t>
            </w:r>
          </w:p>
        </w:tc>
        <w:tc>
          <w:tcPr>
            <w:tcW w:w="466" w:type="pct"/>
            <w:noWrap/>
            <w:vAlign w:val="center"/>
            <w:hideMark/>
          </w:tcPr>
          <w:p w14:paraId="61037FC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6,145,651</w:t>
            </w:r>
          </w:p>
        </w:tc>
        <w:tc>
          <w:tcPr>
            <w:tcW w:w="466" w:type="pct"/>
            <w:noWrap/>
            <w:vAlign w:val="center"/>
            <w:hideMark/>
          </w:tcPr>
          <w:p w14:paraId="5E4A1A5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288,122</w:t>
            </w:r>
          </w:p>
        </w:tc>
        <w:tc>
          <w:tcPr>
            <w:tcW w:w="466" w:type="pct"/>
            <w:vAlign w:val="center"/>
            <w:hideMark/>
          </w:tcPr>
          <w:p w14:paraId="5BE21B2E"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(62,349)</w:t>
            </w:r>
          </w:p>
        </w:tc>
        <w:tc>
          <w:tcPr>
            <w:tcW w:w="466" w:type="pct"/>
            <w:noWrap/>
            <w:vAlign w:val="center"/>
            <w:hideMark/>
          </w:tcPr>
          <w:p w14:paraId="0C3992CC"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 xml:space="preserve">(134,678) </w:t>
            </w:r>
          </w:p>
        </w:tc>
        <w:tc>
          <w:tcPr>
            <w:tcW w:w="533" w:type="pct"/>
            <w:vAlign w:val="center"/>
            <w:hideMark/>
          </w:tcPr>
          <w:p w14:paraId="17C162D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(272,479)</w:t>
            </w:r>
          </w:p>
        </w:tc>
        <w:tc>
          <w:tcPr>
            <w:tcW w:w="534" w:type="pct"/>
            <w:noWrap/>
            <w:vAlign w:val="center"/>
            <w:hideMark/>
          </w:tcPr>
          <w:p w14:paraId="70F9BDE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(3,476,376)</w:t>
            </w:r>
          </w:p>
        </w:tc>
        <w:tc>
          <w:tcPr>
            <w:tcW w:w="534" w:type="pct"/>
            <w:noWrap/>
            <w:vAlign w:val="center"/>
            <w:hideMark/>
          </w:tcPr>
          <w:p w14:paraId="37F8158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3,106,150</w:t>
            </w:r>
          </w:p>
        </w:tc>
      </w:tr>
      <w:tr w:rsidR="00CC4100" w:rsidRPr="006D6338" w14:paraId="767497CF" w14:textId="77777777" w:rsidTr="00A44FCD">
        <w:trPr>
          <w:trHeight w:val="300"/>
        </w:trPr>
        <w:tc>
          <w:tcPr>
            <w:tcW w:w="1067" w:type="pct"/>
            <w:noWrap/>
            <w:vAlign w:val="bottom"/>
            <w:hideMark/>
          </w:tcPr>
          <w:p w14:paraId="4163D7FE"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Loss for the financial year</w:t>
            </w:r>
          </w:p>
        </w:tc>
        <w:tc>
          <w:tcPr>
            <w:tcW w:w="468" w:type="pct"/>
            <w:noWrap/>
            <w:vAlign w:val="center"/>
            <w:hideMark/>
          </w:tcPr>
          <w:p w14:paraId="2E61F5D4"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noWrap/>
            <w:vAlign w:val="center"/>
            <w:hideMark/>
          </w:tcPr>
          <w:p w14:paraId="7F209596"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 </w:t>
            </w:r>
          </w:p>
        </w:tc>
        <w:tc>
          <w:tcPr>
            <w:tcW w:w="466" w:type="pct"/>
            <w:noWrap/>
            <w:vAlign w:val="center"/>
            <w:hideMark/>
          </w:tcPr>
          <w:p w14:paraId="201797F3"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color w:val="000000"/>
                <w:sz w:val="16"/>
                <w:szCs w:val="16"/>
              </w:rPr>
              <w:t>- </w:t>
            </w:r>
          </w:p>
        </w:tc>
        <w:tc>
          <w:tcPr>
            <w:tcW w:w="466" w:type="pct"/>
            <w:vAlign w:val="center"/>
            <w:hideMark/>
          </w:tcPr>
          <w:p w14:paraId="442D13E1"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hideMark/>
          </w:tcPr>
          <w:p w14:paraId="106066F9"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color w:val="000000"/>
                <w:sz w:val="16"/>
                <w:szCs w:val="16"/>
                <w:lang w:eastAsia="en-GB"/>
              </w:rPr>
              <w:t xml:space="preserve">- </w:t>
            </w:r>
          </w:p>
        </w:tc>
        <w:tc>
          <w:tcPr>
            <w:tcW w:w="533" w:type="pct"/>
            <w:vAlign w:val="center"/>
            <w:hideMark/>
          </w:tcPr>
          <w:p w14:paraId="5D5B15D4"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534" w:type="pct"/>
            <w:noWrap/>
            <w:vAlign w:val="center"/>
            <w:hideMark/>
          </w:tcPr>
          <w:p w14:paraId="0A6148C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r w:rsidRPr="006D6338">
              <w:rPr>
                <w:rFonts w:ascii="Calibri" w:eastAsia="Calibri" w:hAnsi="Calibri" w:cs="Calibri"/>
                <w:bCs/>
                <w:color w:val="000000"/>
                <w:sz w:val="16"/>
                <w:szCs w:val="16"/>
              </w:rPr>
              <w:t>553,499</w:t>
            </w:r>
            <w:r w:rsidRPr="006D6338">
              <w:rPr>
                <w:rFonts w:ascii="Calibri" w:eastAsia="Calibri" w:hAnsi="Calibri" w:cs="Calibri"/>
                <w:color w:val="000000"/>
                <w:sz w:val="16"/>
                <w:szCs w:val="16"/>
              </w:rPr>
              <w:t>)</w:t>
            </w:r>
          </w:p>
        </w:tc>
        <w:tc>
          <w:tcPr>
            <w:tcW w:w="534" w:type="pct"/>
            <w:noWrap/>
            <w:vAlign w:val="center"/>
            <w:hideMark/>
          </w:tcPr>
          <w:p w14:paraId="513196D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r w:rsidRPr="006D6338">
              <w:rPr>
                <w:rFonts w:ascii="Calibri" w:eastAsia="Calibri" w:hAnsi="Calibri" w:cs="Calibri"/>
                <w:bCs/>
                <w:color w:val="000000"/>
                <w:sz w:val="16"/>
                <w:szCs w:val="16"/>
              </w:rPr>
              <w:t>553,499</w:t>
            </w:r>
            <w:r w:rsidRPr="006D6338">
              <w:rPr>
                <w:rFonts w:ascii="Calibri" w:eastAsia="Calibri" w:hAnsi="Calibri" w:cs="Calibri"/>
                <w:color w:val="000000"/>
                <w:sz w:val="16"/>
                <w:szCs w:val="16"/>
              </w:rPr>
              <w:t>)</w:t>
            </w:r>
          </w:p>
        </w:tc>
      </w:tr>
      <w:tr w:rsidR="00CC4100" w:rsidRPr="006D6338" w14:paraId="04411F77" w14:textId="77777777" w:rsidTr="00A44FCD">
        <w:trPr>
          <w:trHeight w:val="300"/>
        </w:trPr>
        <w:tc>
          <w:tcPr>
            <w:tcW w:w="1067" w:type="pct"/>
            <w:noWrap/>
            <w:vAlign w:val="bottom"/>
          </w:tcPr>
          <w:p w14:paraId="71F0DB01"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val="en-IE" w:eastAsia="en-GB"/>
              </w:rPr>
              <w:t>Foreign currency translation of foreign subsidiaries</w:t>
            </w:r>
          </w:p>
        </w:tc>
        <w:tc>
          <w:tcPr>
            <w:tcW w:w="468" w:type="pct"/>
            <w:tcBorders>
              <w:top w:val="nil"/>
              <w:left w:val="nil"/>
              <w:right w:val="nil"/>
            </w:tcBorders>
            <w:noWrap/>
            <w:vAlign w:val="center"/>
          </w:tcPr>
          <w:p w14:paraId="400EAA7A"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right w:val="nil"/>
            </w:tcBorders>
            <w:noWrap/>
            <w:vAlign w:val="center"/>
          </w:tcPr>
          <w:p w14:paraId="0DAEE091"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right w:val="nil"/>
            </w:tcBorders>
            <w:noWrap/>
            <w:vAlign w:val="center"/>
          </w:tcPr>
          <w:p w14:paraId="08E9D0C7"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right w:val="nil"/>
            </w:tcBorders>
            <w:vAlign w:val="center"/>
          </w:tcPr>
          <w:p w14:paraId="0CFB1B5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1853AEA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top w:val="nil"/>
              <w:left w:val="nil"/>
              <w:right w:val="nil"/>
            </w:tcBorders>
            <w:vAlign w:val="center"/>
          </w:tcPr>
          <w:p w14:paraId="5D60B175" w14:textId="77777777" w:rsidR="00CC4100" w:rsidRPr="006D6338" w:rsidRDefault="00CC4100" w:rsidP="00A44FCD">
            <w:pPr>
              <w:jc w:val="right"/>
              <w:rPr>
                <w:rFonts w:ascii="Calibri" w:eastAsia="Arial" w:hAnsi="Calibri" w:cs="Calibri"/>
                <w:color w:val="000000"/>
                <w:sz w:val="16"/>
                <w:szCs w:val="16"/>
              </w:rPr>
            </w:pPr>
            <w:r w:rsidRPr="006D6338">
              <w:rPr>
                <w:rFonts w:ascii="Calibri" w:eastAsia="Arial" w:hAnsi="Calibri" w:cs="Calibri"/>
                <w:color w:val="000000"/>
                <w:sz w:val="16"/>
                <w:szCs w:val="16"/>
              </w:rPr>
              <w:t>(70,997)</w:t>
            </w:r>
          </w:p>
        </w:tc>
        <w:tc>
          <w:tcPr>
            <w:tcW w:w="534" w:type="pct"/>
            <w:tcBorders>
              <w:top w:val="nil"/>
              <w:left w:val="nil"/>
              <w:right w:val="nil"/>
            </w:tcBorders>
            <w:noWrap/>
            <w:vAlign w:val="center"/>
          </w:tcPr>
          <w:p w14:paraId="6184BF73" w14:textId="77777777" w:rsidR="00CC4100" w:rsidRPr="006D6338" w:rsidRDefault="00CC4100" w:rsidP="00A44FCD">
            <w:pPr>
              <w:jc w:val="right"/>
              <w:rPr>
                <w:rFonts w:ascii="Calibri" w:eastAsia="Arial" w:hAnsi="Calibri" w:cs="Calibri"/>
                <w:color w:val="000000"/>
                <w:sz w:val="16"/>
                <w:szCs w:val="16"/>
              </w:rPr>
            </w:pPr>
            <w:r w:rsidRPr="006D6338">
              <w:rPr>
                <w:rFonts w:ascii="Calibri" w:eastAsia="Arial" w:hAnsi="Calibri" w:cs="Calibri"/>
                <w:color w:val="000000"/>
                <w:sz w:val="16"/>
                <w:szCs w:val="16"/>
              </w:rPr>
              <w:t>-</w:t>
            </w:r>
          </w:p>
        </w:tc>
        <w:tc>
          <w:tcPr>
            <w:tcW w:w="534" w:type="pct"/>
            <w:tcBorders>
              <w:top w:val="nil"/>
              <w:left w:val="nil"/>
              <w:right w:val="nil"/>
            </w:tcBorders>
            <w:noWrap/>
            <w:vAlign w:val="center"/>
          </w:tcPr>
          <w:p w14:paraId="3CB198D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(70,997)</w:t>
            </w:r>
          </w:p>
        </w:tc>
      </w:tr>
      <w:tr w:rsidR="00CC4100" w:rsidRPr="006D6338" w14:paraId="2791329D" w14:textId="77777777" w:rsidTr="00A44FCD">
        <w:trPr>
          <w:trHeight w:val="300"/>
        </w:trPr>
        <w:tc>
          <w:tcPr>
            <w:tcW w:w="1067" w:type="pct"/>
            <w:noWrap/>
            <w:vAlign w:val="bottom"/>
            <w:hideMark/>
          </w:tcPr>
          <w:p w14:paraId="5160C3EA"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FV gain/ (loss) on financial Investments </w:t>
            </w:r>
          </w:p>
        </w:tc>
        <w:tc>
          <w:tcPr>
            <w:tcW w:w="468" w:type="pct"/>
            <w:tcBorders>
              <w:left w:val="nil"/>
              <w:bottom w:val="single" w:sz="4" w:space="0" w:color="auto"/>
              <w:right w:val="nil"/>
            </w:tcBorders>
            <w:noWrap/>
            <w:vAlign w:val="center"/>
            <w:hideMark/>
          </w:tcPr>
          <w:p w14:paraId="0848BDE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noWrap/>
            <w:vAlign w:val="center"/>
            <w:hideMark/>
          </w:tcPr>
          <w:p w14:paraId="69A91A5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noWrap/>
            <w:vAlign w:val="center"/>
            <w:hideMark/>
          </w:tcPr>
          <w:p w14:paraId="1765090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w:t>
            </w:r>
          </w:p>
        </w:tc>
        <w:tc>
          <w:tcPr>
            <w:tcW w:w="466" w:type="pct"/>
            <w:tcBorders>
              <w:left w:val="nil"/>
              <w:bottom w:val="single" w:sz="4" w:space="0" w:color="auto"/>
              <w:right w:val="nil"/>
            </w:tcBorders>
            <w:vAlign w:val="center"/>
            <w:hideMark/>
          </w:tcPr>
          <w:p w14:paraId="1A18F218"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Times New Roman" w:hAnsi="Calibri" w:cs="Calibri"/>
                <w:color w:val="000000"/>
                <w:sz w:val="16"/>
                <w:szCs w:val="16"/>
                <w:lang w:eastAsia="en-GB"/>
              </w:rPr>
              <w:t>736,499</w:t>
            </w:r>
          </w:p>
        </w:tc>
        <w:tc>
          <w:tcPr>
            <w:tcW w:w="466" w:type="pct"/>
            <w:tcBorders>
              <w:left w:val="nil"/>
              <w:bottom w:val="single" w:sz="4" w:space="0" w:color="auto"/>
              <w:right w:val="nil"/>
            </w:tcBorders>
            <w:noWrap/>
            <w:vAlign w:val="center"/>
            <w:hideMark/>
          </w:tcPr>
          <w:p w14:paraId="4A0C494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left w:val="nil"/>
              <w:bottom w:val="single" w:sz="4" w:space="0" w:color="auto"/>
              <w:right w:val="nil"/>
            </w:tcBorders>
            <w:vAlign w:val="center"/>
            <w:hideMark/>
          </w:tcPr>
          <w:p w14:paraId="5464ECDB"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Arial" w:hAnsi="Calibri" w:cs="Calibri"/>
                <w:color w:val="000000"/>
                <w:sz w:val="16"/>
                <w:szCs w:val="16"/>
              </w:rPr>
              <w:t>-</w:t>
            </w:r>
          </w:p>
        </w:tc>
        <w:tc>
          <w:tcPr>
            <w:tcW w:w="534" w:type="pct"/>
            <w:tcBorders>
              <w:left w:val="nil"/>
              <w:bottom w:val="single" w:sz="4" w:space="0" w:color="auto"/>
              <w:right w:val="nil"/>
            </w:tcBorders>
            <w:noWrap/>
            <w:vAlign w:val="center"/>
            <w:hideMark/>
          </w:tcPr>
          <w:p w14:paraId="3EDF7E4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Arial" w:hAnsi="Calibri" w:cs="Calibri"/>
                <w:color w:val="000000"/>
                <w:sz w:val="16"/>
                <w:szCs w:val="16"/>
              </w:rPr>
              <w:t>-</w:t>
            </w:r>
          </w:p>
        </w:tc>
        <w:tc>
          <w:tcPr>
            <w:tcW w:w="534" w:type="pct"/>
            <w:tcBorders>
              <w:left w:val="nil"/>
              <w:bottom w:val="single" w:sz="4" w:space="0" w:color="auto"/>
              <w:right w:val="nil"/>
            </w:tcBorders>
            <w:noWrap/>
            <w:vAlign w:val="center"/>
            <w:hideMark/>
          </w:tcPr>
          <w:p w14:paraId="1EFB3E4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736,499</w:t>
            </w:r>
          </w:p>
        </w:tc>
      </w:tr>
      <w:tr w:rsidR="00CC4100" w:rsidRPr="006D6338" w14:paraId="319B2D29" w14:textId="77777777" w:rsidTr="00A44FCD">
        <w:trPr>
          <w:trHeight w:val="300"/>
        </w:trPr>
        <w:tc>
          <w:tcPr>
            <w:tcW w:w="1067" w:type="pct"/>
            <w:noWrap/>
            <w:vAlign w:val="center"/>
            <w:hideMark/>
          </w:tcPr>
          <w:p w14:paraId="084F7E71"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Total comprehensive income for the year               </w:t>
            </w:r>
          </w:p>
        </w:tc>
        <w:tc>
          <w:tcPr>
            <w:tcW w:w="468" w:type="pct"/>
            <w:vAlign w:val="center"/>
            <w:hideMark/>
          </w:tcPr>
          <w:p w14:paraId="6CB25A83"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c>
          <w:tcPr>
            <w:tcW w:w="466" w:type="pct"/>
            <w:tcBorders>
              <w:top w:val="single" w:sz="4" w:space="0" w:color="auto"/>
              <w:left w:val="nil"/>
              <w:bottom w:val="nil"/>
              <w:right w:val="nil"/>
            </w:tcBorders>
            <w:noWrap/>
            <w:vAlign w:val="center"/>
            <w:hideMark/>
          </w:tcPr>
          <w:p w14:paraId="11474CE7"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w:t>
            </w:r>
          </w:p>
        </w:tc>
        <w:tc>
          <w:tcPr>
            <w:tcW w:w="466" w:type="pct"/>
            <w:tcBorders>
              <w:top w:val="single" w:sz="4" w:space="0" w:color="auto"/>
              <w:left w:val="nil"/>
              <w:bottom w:val="nil"/>
              <w:right w:val="nil"/>
            </w:tcBorders>
            <w:noWrap/>
            <w:vAlign w:val="center"/>
            <w:hideMark/>
          </w:tcPr>
          <w:p w14:paraId="775DF063"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w:t>
            </w:r>
          </w:p>
        </w:tc>
        <w:tc>
          <w:tcPr>
            <w:tcW w:w="466" w:type="pct"/>
            <w:tcBorders>
              <w:top w:val="single" w:sz="4" w:space="0" w:color="auto"/>
              <w:left w:val="nil"/>
              <w:bottom w:val="nil"/>
              <w:right w:val="nil"/>
            </w:tcBorders>
            <w:vAlign w:val="center"/>
            <w:hideMark/>
          </w:tcPr>
          <w:p w14:paraId="69DC0830"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736,499</w:t>
            </w:r>
          </w:p>
        </w:tc>
        <w:tc>
          <w:tcPr>
            <w:tcW w:w="466" w:type="pct"/>
            <w:tcBorders>
              <w:top w:val="single" w:sz="4" w:space="0" w:color="auto"/>
              <w:left w:val="nil"/>
              <w:bottom w:val="nil"/>
              <w:right w:val="nil"/>
            </w:tcBorders>
            <w:noWrap/>
            <w:vAlign w:val="center"/>
            <w:hideMark/>
          </w:tcPr>
          <w:p w14:paraId="39330DC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533" w:type="pct"/>
            <w:tcBorders>
              <w:top w:val="single" w:sz="4" w:space="0" w:color="auto"/>
              <w:left w:val="nil"/>
              <w:bottom w:val="nil"/>
              <w:right w:val="nil"/>
            </w:tcBorders>
            <w:vAlign w:val="center"/>
            <w:hideMark/>
          </w:tcPr>
          <w:p w14:paraId="76A54EAE"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(70,997)</w:t>
            </w:r>
          </w:p>
        </w:tc>
        <w:tc>
          <w:tcPr>
            <w:tcW w:w="534" w:type="pct"/>
            <w:tcBorders>
              <w:top w:val="single" w:sz="4" w:space="0" w:color="auto"/>
              <w:left w:val="nil"/>
              <w:bottom w:val="nil"/>
              <w:right w:val="nil"/>
            </w:tcBorders>
            <w:noWrap/>
            <w:vAlign w:val="center"/>
            <w:hideMark/>
          </w:tcPr>
          <w:p w14:paraId="3EC867EA"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(553,499)</w:t>
            </w:r>
          </w:p>
        </w:tc>
        <w:tc>
          <w:tcPr>
            <w:tcW w:w="534" w:type="pct"/>
            <w:tcBorders>
              <w:top w:val="single" w:sz="4" w:space="0" w:color="auto"/>
              <w:left w:val="nil"/>
              <w:bottom w:val="nil"/>
              <w:right w:val="nil"/>
            </w:tcBorders>
            <w:noWrap/>
            <w:vAlign w:val="center"/>
            <w:hideMark/>
          </w:tcPr>
          <w:p w14:paraId="29475BD8"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112,003</w:t>
            </w:r>
          </w:p>
        </w:tc>
      </w:tr>
      <w:tr w:rsidR="00CC4100" w:rsidRPr="006D6338" w14:paraId="78EB3018" w14:textId="77777777" w:rsidTr="00A44FCD">
        <w:trPr>
          <w:trHeight w:val="300"/>
        </w:trPr>
        <w:tc>
          <w:tcPr>
            <w:tcW w:w="1067" w:type="pct"/>
            <w:noWrap/>
            <w:vAlign w:val="bottom"/>
          </w:tcPr>
          <w:p w14:paraId="29204082" w14:textId="77777777" w:rsidR="00CC4100" w:rsidRPr="006D6338" w:rsidRDefault="00CC4100" w:rsidP="00A44FCD">
            <w:pPr>
              <w:rPr>
                <w:rFonts w:ascii="Calibri" w:eastAsia="Times New Roman" w:hAnsi="Calibri" w:cs="Calibri"/>
                <w:color w:val="000000"/>
                <w:sz w:val="16"/>
                <w:szCs w:val="16"/>
                <w:lang w:eastAsia="en-GB"/>
              </w:rPr>
            </w:pPr>
          </w:p>
        </w:tc>
        <w:tc>
          <w:tcPr>
            <w:tcW w:w="468" w:type="pct"/>
            <w:noWrap/>
            <w:vAlign w:val="center"/>
          </w:tcPr>
          <w:p w14:paraId="5557810F"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tcPr>
          <w:p w14:paraId="18FF0161"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tcPr>
          <w:p w14:paraId="09E4B36B" w14:textId="77777777" w:rsidR="00CC4100" w:rsidRPr="006D6338" w:rsidRDefault="00CC4100" w:rsidP="00A44FCD">
            <w:pPr>
              <w:jc w:val="right"/>
              <w:rPr>
                <w:rFonts w:ascii="Calibri" w:eastAsia="Times New Roman" w:hAnsi="Calibri" w:cs="Calibri"/>
                <w:sz w:val="16"/>
                <w:szCs w:val="16"/>
                <w:lang w:eastAsia="en-GB"/>
              </w:rPr>
            </w:pPr>
          </w:p>
        </w:tc>
        <w:tc>
          <w:tcPr>
            <w:tcW w:w="466" w:type="pct"/>
            <w:vAlign w:val="center"/>
          </w:tcPr>
          <w:p w14:paraId="25C3C6CC"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tcPr>
          <w:p w14:paraId="62AE390E" w14:textId="77777777" w:rsidR="00CC4100" w:rsidRPr="006D6338" w:rsidRDefault="00CC4100" w:rsidP="00A44FCD">
            <w:pPr>
              <w:jc w:val="right"/>
              <w:rPr>
                <w:rFonts w:ascii="Calibri" w:eastAsia="Times New Roman" w:hAnsi="Calibri" w:cs="Calibri"/>
                <w:sz w:val="16"/>
                <w:szCs w:val="16"/>
                <w:lang w:eastAsia="en-GB"/>
              </w:rPr>
            </w:pPr>
          </w:p>
        </w:tc>
        <w:tc>
          <w:tcPr>
            <w:tcW w:w="533" w:type="pct"/>
            <w:vAlign w:val="center"/>
          </w:tcPr>
          <w:p w14:paraId="50CFA9B9"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tcPr>
          <w:p w14:paraId="49AEFDAA"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tcPr>
          <w:p w14:paraId="59464C55" w14:textId="77777777" w:rsidR="00CC4100" w:rsidRPr="006D6338" w:rsidRDefault="00CC4100" w:rsidP="00A44FCD">
            <w:pPr>
              <w:jc w:val="right"/>
              <w:rPr>
                <w:rFonts w:ascii="Calibri" w:eastAsia="Times New Roman" w:hAnsi="Calibri" w:cs="Calibri"/>
                <w:sz w:val="16"/>
                <w:szCs w:val="16"/>
                <w:lang w:eastAsia="en-GB"/>
              </w:rPr>
            </w:pPr>
          </w:p>
        </w:tc>
      </w:tr>
      <w:tr w:rsidR="00CC4100" w:rsidRPr="006D6338" w14:paraId="6987FF2E" w14:textId="77777777" w:rsidTr="00A44FCD">
        <w:trPr>
          <w:trHeight w:val="300"/>
        </w:trPr>
        <w:tc>
          <w:tcPr>
            <w:tcW w:w="1067" w:type="pct"/>
            <w:noWrap/>
            <w:vAlign w:val="bottom"/>
            <w:hideMark/>
          </w:tcPr>
          <w:p w14:paraId="71A0F30A"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Transactions with owners</w:t>
            </w:r>
          </w:p>
        </w:tc>
        <w:tc>
          <w:tcPr>
            <w:tcW w:w="468" w:type="pct"/>
            <w:noWrap/>
            <w:vAlign w:val="center"/>
            <w:hideMark/>
          </w:tcPr>
          <w:p w14:paraId="4698BD3F"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466" w:type="pct"/>
            <w:noWrap/>
            <w:vAlign w:val="center"/>
            <w:hideMark/>
          </w:tcPr>
          <w:p w14:paraId="6CA0E20A"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noWrap/>
            <w:vAlign w:val="center"/>
            <w:hideMark/>
          </w:tcPr>
          <w:p w14:paraId="730C96C3"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vAlign w:val="center"/>
          </w:tcPr>
          <w:p w14:paraId="45009DB7"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hideMark/>
          </w:tcPr>
          <w:p w14:paraId="43AF5E75"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3" w:type="pct"/>
            <w:vAlign w:val="center"/>
          </w:tcPr>
          <w:p w14:paraId="39C77456"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hideMark/>
          </w:tcPr>
          <w:p w14:paraId="33C6EC2C"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4" w:type="pct"/>
            <w:noWrap/>
            <w:vAlign w:val="center"/>
            <w:hideMark/>
          </w:tcPr>
          <w:p w14:paraId="715F2128"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32593398" w14:textId="77777777" w:rsidTr="00A44FCD">
        <w:trPr>
          <w:trHeight w:val="300"/>
        </w:trPr>
        <w:tc>
          <w:tcPr>
            <w:tcW w:w="1067" w:type="pct"/>
            <w:noWrap/>
            <w:vAlign w:val="bottom"/>
            <w:hideMark/>
          </w:tcPr>
          <w:p w14:paraId="2155671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Issue of new shares</w:t>
            </w:r>
          </w:p>
        </w:tc>
        <w:tc>
          <w:tcPr>
            <w:tcW w:w="468" w:type="pct"/>
            <w:noWrap/>
            <w:vAlign w:val="center"/>
            <w:hideMark/>
          </w:tcPr>
          <w:p w14:paraId="6460E65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625,016</w:t>
            </w:r>
          </w:p>
        </w:tc>
        <w:tc>
          <w:tcPr>
            <w:tcW w:w="466" w:type="pct"/>
            <w:noWrap/>
            <w:vAlign w:val="center"/>
            <w:hideMark/>
          </w:tcPr>
          <w:p w14:paraId="7470D97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1,358,394</w:t>
            </w:r>
          </w:p>
        </w:tc>
        <w:tc>
          <w:tcPr>
            <w:tcW w:w="466" w:type="pct"/>
            <w:noWrap/>
            <w:vAlign w:val="center"/>
            <w:hideMark/>
          </w:tcPr>
          <w:p w14:paraId="28547A5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vAlign w:val="center"/>
            <w:hideMark/>
          </w:tcPr>
          <w:p w14:paraId="4BE6EF1E"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noWrap/>
            <w:vAlign w:val="center"/>
            <w:hideMark/>
          </w:tcPr>
          <w:p w14:paraId="7570279D"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3" w:type="pct"/>
            <w:vAlign w:val="center"/>
            <w:hideMark/>
          </w:tcPr>
          <w:p w14:paraId="6AACAA71"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hideMark/>
          </w:tcPr>
          <w:p w14:paraId="7D13AD5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hideMark/>
          </w:tcPr>
          <w:p w14:paraId="76EE630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1,983,410</w:t>
            </w:r>
          </w:p>
        </w:tc>
      </w:tr>
      <w:tr w:rsidR="00CC4100" w:rsidRPr="006D6338" w14:paraId="176590D9" w14:textId="77777777" w:rsidTr="00A44FCD">
        <w:trPr>
          <w:trHeight w:val="300"/>
        </w:trPr>
        <w:tc>
          <w:tcPr>
            <w:tcW w:w="1067" w:type="pct"/>
            <w:noWrap/>
            <w:vAlign w:val="bottom"/>
          </w:tcPr>
          <w:p w14:paraId="231D2F67"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Cost of shares issued</w:t>
            </w:r>
          </w:p>
        </w:tc>
        <w:tc>
          <w:tcPr>
            <w:tcW w:w="468" w:type="pct"/>
            <w:noWrap/>
            <w:vAlign w:val="center"/>
          </w:tcPr>
          <w:p w14:paraId="31B04C73"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tcPr>
          <w:p w14:paraId="53719CEF"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(147,936)</w:t>
            </w:r>
          </w:p>
        </w:tc>
        <w:tc>
          <w:tcPr>
            <w:tcW w:w="466" w:type="pct"/>
            <w:noWrap/>
            <w:vAlign w:val="center"/>
          </w:tcPr>
          <w:p w14:paraId="489E6FC4"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vAlign w:val="center"/>
          </w:tcPr>
          <w:p w14:paraId="01327E1C"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noWrap/>
            <w:vAlign w:val="center"/>
          </w:tcPr>
          <w:p w14:paraId="091CABB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3" w:type="pct"/>
            <w:vAlign w:val="center"/>
          </w:tcPr>
          <w:p w14:paraId="2BF4B0D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6531559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30ADD232" w14:textId="77777777" w:rsidR="00CC4100" w:rsidRPr="006D6338" w:rsidDel="00F37B93"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(147,936)</w:t>
            </w:r>
          </w:p>
        </w:tc>
      </w:tr>
      <w:tr w:rsidR="00CC4100" w:rsidRPr="006D6338" w14:paraId="3FD7D1FF" w14:textId="77777777" w:rsidTr="00A44FCD">
        <w:trPr>
          <w:trHeight w:val="300"/>
        </w:trPr>
        <w:tc>
          <w:tcPr>
            <w:tcW w:w="1067" w:type="pct"/>
            <w:noWrap/>
            <w:vAlign w:val="bottom"/>
          </w:tcPr>
          <w:p w14:paraId="2E728FA7"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Warrants issued</w:t>
            </w:r>
          </w:p>
        </w:tc>
        <w:tc>
          <w:tcPr>
            <w:tcW w:w="468" w:type="pct"/>
            <w:noWrap/>
            <w:vAlign w:val="center"/>
          </w:tcPr>
          <w:p w14:paraId="7BFDC3B2"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tcPr>
          <w:p w14:paraId="51496F2F"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tcPr>
          <w:p w14:paraId="093B511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99,863</w:t>
            </w:r>
          </w:p>
        </w:tc>
        <w:tc>
          <w:tcPr>
            <w:tcW w:w="466" w:type="pct"/>
            <w:vAlign w:val="center"/>
          </w:tcPr>
          <w:p w14:paraId="43A2B23A"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noWrap/>
            <w:vAlign w:val="center"/>
          </w:tcPr>
          <w:p w14:paraId="539C30DD"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3" w:type="pct"/>
            <w:vAlign w:val="center"/>
          </w:tcPr>
          <w:p w14:paraId="2A0B674D"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1286C6B9"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57826133" w14:textId="77777777" w:rsidR="00CC4100" w:rsidRPr="006D6338" w:rsidDel="00F37B93"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99,863</w:t>
            </w:r>
          </w:p>
        </w:tc>
      </w:tr>
      <w:tr w:rsidR="00CC4100" w:rsidRPr="006D6338" w14:paraId="035F3E1F" w14:textId="77777777" w:rsidTr="00A44FCD">
        <w:trPr>
          <w:trHeight w:val="300"/>
        </w:trPr>
        <w:tc>
          <w:tcPr>
            <w:tcW w:w="1067" w:type="pct"/>
            <w:noWrap/>
            <w:vAlign w:val="bottom"/>
          </w:tcPr>
          <w:p w14:paraId="559FEFC3"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Other movements</w:t>
            </w:r>
          </w:p>
        </w:tc>
        <w:tc>
          <w:tcPr>
            <w:tcW w:w="468" w:type="pct"/>
            <w:noWrap/>
            <w:vAlign w:val="center"/>
          </w:tcPr>
          <w:p w14:paraId="73BDFAA8"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tcPr>
          <w:p w14:paraId="5A45F1AC" w14:textId="77777777" w:rsidR="00CC4100" w:rsidRPr="006D6338" w:rsidDel="00F37B93"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tcPr>
          <w:p w14:paraId="485529E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(61)</w:t>
            </w:r>
          </w:p>
        </w:tc>
        <w:tc>
          <w:tcPr>
            <w:tcW w:w="466" w:type="pct"/>
            <w:vAlign w:val="center"/>
          </w:tcPr>
          <w:p w14:paraId="063460C7"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noWrap/>
            <w:vAlign w:val="center"/>
          </w:tcPr>
          <w:p w14:paraId="22716313"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3" w:type="pct"/>
            <w:vAlign w:val="center"/>
          </w:tcPr>
          <w:p w14:paraId="72F28CE4"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5E14017C"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noWrap/>
            <w:vAlign w:val="center"/>
          </w:tcPr>
          <w:p w14:paraId="4089D939" w14:textId="77777777" w:rsidR="00CC4100" w:rsidRPr="006D6338" w:rsidDel="00F37B93"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(61)</w:t>
            </w:r>
          </w:p>
        </w:tc>
      </w:tr>
      <w:tr w:rsidR="00CC4100" w:rsidRPr="006D6338" w14:paraId="38ADFEA2" w14:textId="77777777" w:rsidTr="00A44FCD">
        <w:trPr>
          <w:trHeight w:val="300"/>
        </w:trPr>
        <w:tc>
          <w:tcPr>
            <w:tcW w:w="1067" w:type="pct"/>
            <w:noWrap/>
            <w:vAlign w:val="bottom"/>
            <w:hideMark/>
          </w:tcPr>
          <w:p w14:paraId="77DED9A4"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Warrants lapsed</w:t>
            </w:r>
          </w:p>
        </w:tc>
        <w:tc>
          <w:tcPr>
            <w:tcW w:w="468" w:type="pct"/>
            <w:tcBorders>
              <w:top w:val="nil"/>
              <w:left w:val="nil"/>
              <w:bottom w:val="single" w:sz="4" w:space="0" w:color="auto"/>
              <w:right w:val="nil"/>
            </w:tcBorders>
            <w:noWrap/>
            <w:vAlign w:val="center"/>
            <w:hideMark/>
          </w:tcPr>
          <w:p w14:paraId="3B50532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bottom w:val="single" w:sz="4" w:space="0" w:color="auto"/>
              <w:right w:val="nil"/>
            </w:tcBorders>
            <w:noWrap/>
            <w:vAlign w:val="center"/>
            <w:hideMark/>
          </w:tcPr>
          <w:p w14:paraId="1391D7B5"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tcBorders>
              <w:top w:val="nil"/>
              <w:left w:val="nil"/>
              <w:bottom w:val="single" w:sz="4" w:space="0" w:color="auto"/>
              <w:right w:val="nil"/>
            </w:tcBorders>
            <w:noWrap/>
            <w:vAlign w:val="center"/>
            <w:hideMark/>
          </w:tcPr>
          <w:p w14:paraId="5D0CEF81"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color w:val="000000"/>
                <w:sz w:val="16"/>
                <w:szCs w:val="16"/>
                <w:lang w:eastAsia="en-GB"/>
              </w:rPr>
              <w:t>(128,761)</w:t>
            </w:r>
          </w:p>
        </w:tc>
        <w:tc>
          <w:tcPr>
            <w:tcW w:w="466" w:type="pct"/>
            <w:tcBorders>
              <w:top w:val="nil"/>
              <w:left w:val="nil"/>
              <w:bottom w:val="single" w:sz="4" w:space="0" w:color="auto"/>
              <w:right w:val="nil"/>
            </w:tcBorders>
            <w:vAlign w:val="center"/>
            <w:hideMark/>
          </w:tcPr>
          <w:p w14:paraId="544CFCE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sz w:val="16"/>
                <w:szCs w:val="16"/>
                <w:lang w:eastAsia="en-GB"/>
              </w:rPr>
              <w:t>-</w:t>
            </w:r>
          </w:p>
        </w:tc>
        <w:tc>
          <w:tcPr>
            <w:tcW w:w="466" w:type="pct"/>
            <w:tcBorders>
              <w:top w:val="nil"/>
              <w:left w:val="nil"/>
              <w:bottom w:val="single" w:sz="4" w:space="0" w:color="auto"/>
              <w:right w:val="nil"/>
            </w:tcBorders>
            <w:noWrap/>
            <w:vAlign w:val="center"/>
            <w:hideMark/>
          </w:tcPr>
          <w:p w14:paraId="288F305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(26,767)</w:t>
            </w:r>
          </w:p>
        </w:tc>
        <w:tc>
          <w:tcPr>
            <w:tcW w:w="533" w:type="pct"/>
            <w:tcBorders>
              <w:top w:val="nil"/>
              <w:left w:val="nil"/>
              <w:bottom w:val="single" w:sz="4" w:space="0" w:color="auto"/>
              <w:right w:val="nil"/>
            </w:tcBorders>
            <w:vAlign w:val="center"/>
            <w:hideMark/>
          </w:tcPr>
          <w:p w14:paraId="183E4E34"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tcBorders>
              <w:top w:val="nil"/>
              <w:left w:val="nil"/>
              <w:bottom w:val="single" w:sz="4" w:space="0" w:color="auto"/>
              <w:right w:val="nil"/>
            </w:tcBorders>
            <w:noWrap/>
            <w:vAlign w:val="center"/>
            <w:hideMark/>
          </w:tcPr>
          <w:p w14:paraId="294AD724"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155,528</w:t>
            </w:r>
          </w:p>
        </w:tc>
        <w:tc>
          <w:tcPr>
            <w:tcW w:w="534" w:type="pct"/>
            <w:tcBorders>
              <w:top w:val="nil"/>
              <w:left w:val="nil"/>
              <w:bottom w:val="single" w:sz="4" w:space="0" w:color="auto"/>
              <w:right w:val="nil"/>
            </w:tcBorders>
            <w:noWrap/>
            <w:vAlign w:val="center"/>
            <w:hideMark/>
          </w:tcPr>
          <w:p w14:paraId="372C4709"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r>
      <w:tr w:rsidR="00CC4100" w:rsidRPr="006D6338" w14:paraId="399D97B9" w14:textId="77777777" w:rsidTr="00A44FCD">
        <w:trPr>
          <w:trHeight w:val="300"/>
        </w:trPr>
        <w:tc>
          <w:tcPr>
            <w:tcW w:w="1067" w:type="pct"/>
            <w:noWrap/>
            <w:vAlign w:val="bottom"/>
            <w:hideMark/>
          </w:tcPr>
          <w:p w14:paraId="060E68F1"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Calibri" w:hAnsi="Calibri" w:cs="Calibri"/>
                <w:b/>
                <w:bCs/>
                <w:color w:val="000000"/>
                <w:sz w:val="16"/>
                <w:szCs w:val="16"/>
              </w:rPr>
              <w:t>Total transactions with owners</w:t>
            </w:r>
          </w:p>
        </w:tc>
        <w:tc>
          <w:tcPr>
            <w:tcW w:w="468" w:type="pct"/>
            <w:tcBorders>
              <w:top w:val="single" w:sz="4" w:space="0" w:color="auto"/>
              <w:left w:val="nil"/>
              <w:bottom w:val="nil"/>
              <w:right w:val="nil"/>
            </w:tcBorders>
            <w:noWrap/>
            <w:vAlign w:val="center"/>
            <w:hideMark/>
          </w:tcPr>
          <w:p w14:paraId="71DCA217"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625,016</w:t>
            </w:r>
          </w:p>
        </w:tc>
        <w:tc>
          <w:tcPr>
            <w:tcW w:w="466" w:type="pct"/>
            <w:tcBorders>
              <w:top w:val="single" w:sz="4" w:space="0" w:color="auto"/>
              <w:left w:val="nil"/>
              <w:bottom w:val="nil"/>
              <w:right w:val="nil"/>
            </w:tcBorders>
            <w:noWrap/>
            <w:vAlign w:val="center"/>
            <w:hideMark/>
          </w:tcPr>
          <w:p w14:paraId="38434391"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1,210,458</w:t>
            </w:r>
          </w:p>
        </w:tc>
        <w:tc>
          <w:tcPr>
            <w:tcW w:w="466" w:type="pct"/>
            <w:tcBorders>
              <w:top w:val="single" w:sz="4" w:space="0" w:color="auto"/>
              <w:left w:val="nil"/>
              <w:bottom w:val="nil"/>
              <w:right w:val="nil"/>
            </w:tcBorders>
            <w:noWrap/>
            <w:vAlign w:val="center"/>
            <w:hideMark/>
          </w:tcPr>
          <w:p w14:paraId="0783EB38"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color w:val="000000"/>
                <w:sz w:val="16"/>
                <w:szCs w:val="16"/>
                <w:lang w:eastAsia="en-GB"/>
              </w:rPr>
              <w:t>(28,959)</w:t>
            </w:r>
          </w:p>
        </w:tc>
        <w:tc>
          <w:tcPr>
            <w:tcW w:w="466" w:type="pct"/>
            <w:tcBorders>
              <w:top w:val="single" w:sz="4" w:space="0" w:color="auto"/>
              <w:left w:val="nil"/>
              <w:bottom w:val="nil"/>
              <w:right w:val="nil"/>
            </w:tcBorders>
            <w:vAlign w:val="center"/>
            <w:hideMark/>
          </w:tcPr>
          <w:p w14:paraId="6AE37924"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c>
          <w:tcPr>
            <w:tcW w:w="466" w:type="pct"/>
            <w:tcBorders>
              <w:top w:val="single" w:sz="4" w:space="0" w:color="auto"/>
              <w:left w:val="nil"/>
              <w:bottom w:val="nil"/>
              <w:right w:val="nil"/>
            </w:tcBorders>
            <w:noWrap/>
            <w:vAlign w:val="center"/>
            <w:hideMark/>
          </w:tcPr>
          <w:p w14:paraId="33AB43F4"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(26,767)</w:t>
            </w:r>
          </w:p>
        </w:tc>
        <w:tc>
          <w:tcPr>
            <w:tcW w:w="533" w:type="pct"/>
            <w:tcBorders>
              <w:top w:val="single" w:sz="4" w:space="0" w:color="auto"/>
              <w:left w:val="nil"/>
              <w:bottom w:val="nil"/>
              <w:right w:val="nil"/>
            </w:tcBorders>
            <w:vAlign w:val="center"/>
            <w:hideMark/>
          </w:tcPr>
          <w:p w14:paraId="4C5AB471"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color w:val="000000"/>
                <w:sz w:val="16"/>
                <w:szCs w:val="16"/>
                <w:lang w:eastAsia="en-GB"/>
              </w:rPr>
              <w:t>-</w:t>
            </w:r>
          </w:p>
        </w:tc>
        <w:tc>
          <w:tcPr>
            <w:tcW w:w="534" w:type="pct"/>
            <w:tcBorders>
              <w:top w:val="single" w:sz="4" w:space="0" w:color="auto"/>
              <w:left w:val="nil"/>
              <w:bottom w:val="nil"/>
              <w:right w:val="nil"/>
            </w:tcBorders>
            <w:noWrap/>
            <w:vAlign w:val="center"/>
            <w:hideMark/>
          </w:tcPr>
          <w:p w14:paraId="4EC933DC"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color w:val="000000"/>
                <w:sz w:val="16"/>
                <w:szCs w:val="16"/>
                <w:lang w:eastAsia="en-GB"/>
              </w:rPr>
              <w:t>155,528</w:t>
            </w:r>
          </w:p>
        </w:tc>
        <w:tc>
          <w:tcPr>
            <w:tcW w:w="534" w:type="pct"/>
            <w:tcBorders>
              <w:top w:val="single" w:sz="4" w:space="0" w:color="auto"/>
              <w:left w:val="nil"/>
              <w:bottom w:val="nil"/>
              <w:right w:val="nil"/>
            </w:tcBorders>
            <w:noWrap/>
            <w:vAlign w:val="center"/>
            <w:hideMark/>
          </w:tcPr>
          <w:p w14:paraId="17D74C7A"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1,935,276</w:t>
            </w:r>
          </w:p>
        </w:tc>
      </w:tr>
      <w:tr w:rsidR="00CC4100" w:rsidRPr="006D6338" w14:paraId="6349D880" w14:textId="77777777" w:rsidTr="00A44FCD">
        <w:trPr>
          <w:trHeight w:val="300"/>
        </w:trPr>
        <w:tc>
          <w:tcPr>
            <w:tcW w:w="1067" w:type="pct"/>
            <w:noWrap/>
            <w:vAlign w:val="bottom"/>
          </w:tcPr>
          <w:p w14:paraId="6DD25EE8" w14:textId="77777777" w:rsidR="00CC4100" w:rsidRPr="006D6338" w:rsidRDefault="00CC4100" w:rsidP="00A44FCD">
            <w:pPr>
              <w:rPr>
                <w:rFonts w:ascii="Calibri" w:eastAsia="Times New Roman" w:hAnsi="Calibri" w:cs="Calibri"/>
                <w:color w:val="000000"/>
                <w:sz w:val="16"/>
                <w:szCs w:val="16"/>
                <w:lang w:eastAsia="en-GB"/>
              </w:rPr>
            </w:pPr>
          </w:p>
        </w:tc>
        <w:tc>
          <w:tcPr>
            <w:tcW w:w="468" w:type="pct"/>
            <w:tcBorders>
              <w:top w:val="nil"/>
              <w:left w:val="nil"/>
              <w:bottom w:val="single" w:sz="4" w:space="0" w:color="auto"/>
              <w:right w:val="nil"/>
            </w:tcBorders>
            <w:noWrap/>
            <w:vAlign w:val="center"/>
          </w:tcPr>
          <w:p w14:paraId="3A8FEE28"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tcBorders>
              <w:top w:val="nil"/>
              <w:left w:val="nil"/>
              <w:bottom w:val="single" w:sz="4" w:space="0" w:color="auto"/>
              <w:right w:val="nil"/>
            </w:tcBorders>
            <w:noWrap/>
            <w:vAlign w:val="center"/>
          </w:tcPr>
          <w:p w14:paraId="3EB04262" w14:textId="77777777" w:rsidR="00CC4100" w:rsidRPr="006D6338" w:rsidRDefault="00CC4100" w:rsidP="00A44FCD">
            <w:pPr>
              <w:jc w:val="right"/>
              <w:rPr>
                <w:rFonts w:ascii="Calibri" w:eastAsia="Times New Roman" w:hAnsi="Calibri" w:cs="Calibri"/>
                <w:sz w:val="16"/>
                <w:szCs w:val="16"/>
                <w:lang w:eastAsia="en-GB"/>
              </w:rPr>
            </w:pPr>
          </w:p>
        </w:tc>
        <w:tc>
          <w:tcPr>
            <w:tcW w:w="466" w:type="pct"/>
            <w:tcBorders>
              <w:top w:val="nil"/>
              <w:left w:val="nil"/>
              <w:bottom w:val="single" w:sz="4" w:space="0" w:color="auto"/>
              <w:right w:val="nil"/>
            </w:tcBorders>
            <w:noWrap/>
            <w:vAlign w:val="center"/>
          </w:tcPr>
          <w:p w14:paraId="0AEF78E1" w14:textId="77777777" w:rsidR="00CC4100" w:rsidRPr="006D6338" w:rsidRDefault="00CC4100" w:rsidP="00A44FCD">
            <w:pPr>
              <w:jc w:val="right"/>
              <w:rPr>
                <w:rFonts w:ascii="Calibri" w:eastAsia="Times New Roman" w:hAnsi="Calibri" w:cs="Calibri"/>
                <w:sz w:val="16"/>
                <w:szCs w:val="16"/>
                <w:lang w:eastAsia="en-GB"/>
              </w:rPr>
            </w:pPr>
          </w:p>
        </w:tc>
        <w:tc>
          <w:tcPr>
            <w:tcW w:w="466" w:type="pct"/>
            <w:tcBorders>
              <w:top w:val="nil"/>
              <w:left w:val="nil"/>
              <w:bottom w:val="single" w:sz="4" w:space="0" w:color="auto"/>
              <w:right w:val="nil"/>
            </w:tcBorders>
            <w:vAlign w:val="center"/>
          </w:tcPr>
          <w:p w14:paraId="1FFD09F6"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tcBorders>
              <w:top w:val="nil"/>
              <w:left w:val="nil"/>
              <w:bottom w:val="single" w:sz="4" w:space="0" w:color="auto"/>
              <w:right w:val="nil"/>
            </w:tcBorders>
            <w:noWrap/>
            <w:vAlign w:val="center"/>
          </w:tcPr>
          <w:p w14:paraId="4973DB03"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533" w:type="pct"/>
            <w:tcBorders>
              <w:top w:val="nil"/>
              <w:left w:val="nil"/>
              <w:bottom w:val="single" w:sz="4" w:space="0" w:color="auto"/>
              <w:right w:val="nil"/>
            </w:tcBorders>
            <w:vAlign w:val="center"/>
          </w:tcPr>
          <w:p w14:paraId="7CA5E837" w14:textId="77777777" w:rsidR="00CC4100" w:rsidRPr="006D6338" w:rsidRDefault="00CC4100" w:rsidP="00A44FCD">
            <w:pPr>
              <w:jc w:val="right"/>
              <w:rPr>
                <w:rFonts w:ascii="Calibri" w:eastAsia="Times New Roman" w:hAnsi="Calibri" w:cs="Calibri"/>
                <w:sz w:val="16"/>
                <w:szCs w:val="16"/>
                <w:lang w:eastAsia="en-GB"/>
              </w:rPr>
            </w:pPr>
          </w:p>
        </w:tc>
        <w:tc>
          <w:tcPr>
            <w:tcW w:w="534" w:type="pct"/>
            <w:tcBorders>
              <w:top w:val="nil"/>
              <w:left w:val="nil"/>
              <w:bottom w:val="single" w:sz="4" w:space="0" w:color="auto"/>
              <w:right w:val="nil"/>
            </w:tcBorders>
            <w:noWrap/>
            <w:vAlign w:val="center"/>
          </w:tcPr>
          <w:p w14:paraId="03CA75ED" w14:textId="77777777" w:rsidR="00CC4100" w:rsidRPr="006D6338" w:rsidRDefault="00CC4100" w:rsidP="00A44FCD">
            <w:pPr>
              <w:jc w:val="right"/>
              <w:rPr>
                <w:rFonts w:ascii="Calibri" w:eastAsia="Times New Roman" w:hAnsi="Calibri" w:cs="Calibri"/>
                <w:sz w:val="16"/>
                <w:szCs w:val="16"/>
                <w:lang w:eastAsia="en-GB"/>
              </w:rPr>
            </w:pPr>
          </w:p>
        </w:tc>
        <w:tc>
          <w:tcPr>
            <w:tcW w:w="534" w:type="pct"/>
            <w:tcBorders>
              <w:top w:val="nil"/>
              <w:left w:val="nil"/>
              <w:bottom w:val="single" w:sz="4" w:space="0" w:color="auto"/>
              <w:right w:val="nil"/>
            </w:tcBorders>
            <w:noWrap/>
            <w:vAlign w:val="center"/>
          </w:tcPr>
          <w:p w14:paraId="091AC6D0" w14:textId="77777777" w:rsidR="00CC4100" w:rsidRPr="006D6338" w:rsidRDefault="00CC4100" w:rsidP="00A44FCD">
            <w:pPr>
              <w:jc w:val="right"/>
              <w:rPr>
                <w:rFonts w:ascii="Calibri" w:eastAsia="Calibri" w:hAnsi="Calibri" w:cs="Calibri"/>
                <w:color w:val="000000"/>
                <w:sz w:val="16"/>
                <w:szCs w:val="16"/>
              </w:rPr>
            </w:pPr>
          </w:p>
        </w:tc>
      </w:tr>
      <w:tr w:rsidR="00CC4100" w:rsidRPr="006D6338" w14:paraId="7BC9EB3E" w14:textId="77777777" w:rsidTr="00A44FCD">
        <w:trPr>
          <w:trHeight w:val="300"/>
        </w:trPr>
        <w:tc>
          <w:tcPr>
            <w:tcW w:w="1067" w:type="pct"/>
            <w:noWrap/>
            <w:vAlign w:val="bottom"/>
            <w:hideMark/>
          </w:tcPr>
          <w:p w14:paraId="23039685"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Balance at 31 December 2025</w:t>
            </w:r>
          </w:p>
        </w:tc>
        <w:tc>
          <w:tcPr>
            <w:tcW w:w="468" w:type="pct"/>
            <w:tcBorders>
              <w:top w:val="single" w:sz="4" w:space="0" w:color="auto"/>
              <w:left w:val="nil"/>
              <w:bottom w:val="double" w:sz="4" w:space="0" w:color="auto"/>
              <w:right w:val="nil"/>
            </w:tcBorders>
            <w:noWrap/>
            <w:vAlign w:val="center"/>
            <w:hideMark/>
          </w:tcPr>
          <w:p w14:paraId="5BB234FF"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1,243,275</w:t>
            </w:r>
          </w:p>
        </w:tc>
        <w:tc>
          <w:tcPr>
            <w:tcW w:w="466" w:type="pct"/>
            <w:tcBorders>
              <w:top w:val="single" w:sz="4" w:space="0" w:color="auto"/>
              <w:left w:val="nil"/>
              <w:bottom w:val="double" w:sz="4" w:space="0" w:color="auto"/>
              <w:right w:val="nil"/>
            </w:tcBorders>
            <w:noWrap/>
            <w:vAlign w:val="center"/>
            <w:hideMark/>
          </w:tcPr>
          <w:p w14:paraId="5EA7FBD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7,356,109</w:t>
            </w:r>
          </w:p>
        </w:tc>
        <w:tc>
          <w:tcPr>
            <w:tcW w:w="466" w:type="pct"/>
            <w:tcBorders>
              <w:top w:val="single" w:sz="4" w:space="0" w:color="auto"/>
              <w:left w:val="nil"/>
              <w:bottom w:val="double" w:sz="4" w:space="0" w:color="auto"/>
              <w:right w:val="nil"/>
            </w:tcBorders>
            <w:noWrap/>
            <w:vAlign w:val="center"/>
            <w:hideMark/>
          </w:tcPr>
          <w:p w14:paraId="6D74715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259,163</w:t>
            </w:r>
          </w:p>
        </w:tc>
        <w:tc>
          <w:tcPr>
            <w:tcW w:w="466" w:type="pct"/>
            <w:tcBorders>
              <w:top w:val="single" w:sz="4" w:space="0" w:color="auto"/>
              <w:left w:val="nil"/>
              <w:bottom w:val="double" w:sz="4" w:space="0" w:color="auto"/>
              <w:right w:val="nil"/>
            </w:tcBorders>
            <w:vAlign w:val="center"/>
            <w:hideMark/>
          </w:tcPr>
          <w:p w14:paraId="272C1BF3"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674,150</w:t>
            </w:r>
          </w:p>
        </w:tc>
        <w:tc>
          <w:tcPr>
            <w:tcW w:w="466" w:type="pct"/>
            <w:tcBorders>
              <w:top w:val="single" w:sz="4" w:space="0" w:color="auto"/>
              <w:left w:val="nil"/>
              <w:bottom w:val="double" w:sz="4" w:space="0" w:color="auto"/>
              <w:right w:val="nil"/>
            </w:tcBorders>
            <w:noWrap/>
            <w:vAlign w:val="center"/>
            <w:hideMark/>
          </w:tcPr>
          <w:p w14:paraId="623905E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(161,445) </w:t>
            </w:r>
          </w:p>
        </w:tc>
        <w:tc>
          <w:tcPr>
            <w:tcW w:w="533" w:type="pct"/>
            <w:tcBorders>
              <w:top w:val="single" w:sz="4" w:space="0" w:color="auto"/>
              <w:left w:val="nil"/>
              <w:bottom w:val="double" w:sz="4" w:space="0" w:color="auto"/>
              <w:right w:val="nil"/>
            </w:tcBorders>
            <w:vAlign w:val="center"/>
            <w:hideMark/>
          </w:tcPr>
          <w:p w14:paraId="40A54E5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(343,476)</w:t>
            </w:r>
          </w:p>
        </w:tc>
        <w:tc>
          <w:tcPr>
            <w:tcW w:w="534" w:type="pct"/>
            <w:tcBorders>
              <w:top w:val="single" w:sz="4" w:space="0" w:color="auto"/>
              <w:left w:val="nil"/>
              <w:bottom w:val="double" w:sz="4" w:space="0" w:color="auto"/>
              <w:right w:val="nil"/>
            </w:tcBorders>
            <w:noWrap/>
            <w:vAlign w:val="center"/>
            <w:hideMark/>
          </w:tcPr>
          <w:p w14:paraId="20BAE8A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(3,874,347)</w:t>
            </w:r>
          </w:p>
        </w:tc>
        <w:tc>
          <w:tcPr>
            <w:tcW w:w="534" w:type="pct"/>
            <w:tcBorders>
              <w:top w:val="single" w:sz="4" w:space="0" w:color="auto"/>
              <w:left w:val="nil"/>
              <w:bottom w:val="double" w:sz="4" w:space="0" w:color="auto"/>
              <w:right w:val="nil"/>
            </w:tcBorders>
            <w:noWrap/>
            <w:vAlign w:val="center"/>
            <w:hideMark/>
          </w:tcPr>
          <w:p w14:paraId="3D7CE78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5,153,429</w:t>
            </w:r>
          </w:p>
        </w:tc>
      </w:tr>
      <w:tr w:rsidR="00CC4100" w:rsidRPr="006D6338" w14:paraId="777221DB" w14:textId="77777777" w:rsidTr="00A44FCD">
        <w:trPr>
          <w:trHeight w:val="300"/>
        </w:trPr>
        <w:tc>
          <w:tcPr>
            <w:tcW w:w="1067" w:type="pct"/>
            <w:noWrap/>
            <w:vAlign w:val="bottom"/>
          </w:tcPr>
          <w:p w14:paraId="0C52B03F" w14:textId="77777777" w:rsidR="00CC4100" w:rsidRPr="006D6338" w:rsidRDefault="00CC4100" w:rsidP="00A44FCD">
            <w:pPr>
              <w:rPr>
                <w:rFonts w:ascii="Calibri" w:eastAsia="Times New Roman" w:hAnsi="Calibri" w:cs="Calibri"/>
                <w:b/>
                <w:bCs/>
                <w:color w:val="000000"/>
                <w:sz w:val="16"/>
                <w:szCs w:val="16"/>
                <w:lang w:eastAsia="en-GB"/>
              </w:rPr>
            </w:pPr>
          </w:p>
        </w:tc>
        <w:tc>
          <w:tcPr>
            <w:tcW w:w="468" w:type="pct"/>
            <w:tcBorders>
              <w:top w:val="double" w:sz="4" w:space="0" w:color="auto"/>
              <w:left w:val="nil"/>
              <w:bottom w:val="nil"/>
              <w:right w:val="nil"/>
            </w:tcBorders>
            <w:noWrap/>
            <w:vAlign w:val="center"/>
          </w:tcPr>
          <w:p w14:paraId="5B402AFD"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466" w:type="pct"/>
            <w:tcBorders>
              <w:top w:val="double" w:sz="4" w:space="0" w:color="auto"/>
              <w:left w:val="nil"/>
              <w:bottom w:val="nil"/>
              <w:right w:val="nil"/>
            </w:tcBorders>
            <w:noWrap/>
            <w:vAlign w:val="center"/>
          </w:tcPr>
          <w:p w14:paraId="47BE1E67"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466" w:type="pct"/>
            <w:tcBorders>
              <w:top w:val="double" w:sz="4" w:space="0" w:color="auto"/>
              <w:left w:val="nil"/>
              <w:bottom w:val="nil"/>
              <w:right w:val="nil"/>
            </w:tcBorders>
            <w:noWrap/>
            <w:vAlign w:val="center"/>
          </w:tcPr>
          <w:p w14:paraId="63A11DDF"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466" w:type="pct"/>
            <w:tcBorders>
              <w:top w:val="double" w:sz="4" w:space="0" w:color="auto"/>
              <w:left w:val="nil"/>
              <w:bottom w:val="nil"/>
              <w:right w:val="nil"/>
            </w:tcBorders>
            <w:vAlign w:val="center"/>
          </w:tcPr>
          <w:p w14:paraId="3703E6A7"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466" w:type="pct"/>
            <w:tcBorders>
              <w:top w:val="double" w:sz="4" w:space="0" w:color="auto"/>
              <w:left w:val="nil"/>
              <w:bottom w:val="nil"/>
              <w:right w:val="nil"/>
            </w:tcBorders>
            <w:noWrap/>
            <w:vAlign w:val="center"/>
          </w:tcPr>
          <w:p w14:paraId="2BB46B10"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533" w:type="pct"/>
            <w:tcBorders>
              <w:top w:val="double" w:sz="4" w:space="0" w:color="auto"/>
              <w:left w:val="nil"/>
              <w:bottom w:val="nil"/>
              <w:right w:val="nil"/>
            </w:tcBorders>
            <w:vAlign w:val="center"/>
          </w:tcPr>
          <w:p w14:paraId="437C08D9"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534" w:type="pct"/>
            <w:tcBorders>
              <w:top w:val="double" w:sz="4" w:space="0" w:color="auto"/>
              <w:left w:val="nil"/>
              <w:bottom w:val="nil"/>
              <w:right w:val="nil"/>
            </w:tcBorders>
            <w:noWrap/>
            <w:vAlign w:val="center"/>
          </w:tcPr>
          <w:p w14:paraId="086C43FA" w14:textId="77777777" w:rsidR="00CC4100" w:rsidRPr="006D6338" w:rsidRDefault="00CC4100" w:rsidP="00A44FCD">
            <w:pPr>
              <w:jc w:val="right"/>
              <w:rPr>
                <w:rFonts w:ascii="Calibri" w:eastAsia="Times New Roman" w:hAnsi="Calibri" w:cs="Calibri"/>
                <w:b/>
                <w:bCs/>
                <w:color w:val="000000"/>
                <w:sz w:val="16"/>
                <w:szCs w:val="16"/>
                <w:lang w:eastAsia="en-GB"/>
              </w:rPr>
            </w:pPr>
          </w:p>
        </w:tc>
        <w:tc>
          <w:tcPr>
            <w:tcW w:w="534" w:type="pct"/>
            <w:tcBorders>
              <w:top w:val="double" w:sz="4" w:space="0" w:color="auto"/>
              <w:left w:val="nil"/>
              <w:bottom w:val="nil"/>
              <w:right w:val="nil"/>
            </w:tcBorders>
            <w:noWrap/>
            <w:vAlign w:val="center"/>
          </w:tcPr>
          <w:p w14:paraId="3C788AD0" w14:textId="77777777" w:rsidR="00CC4100" w:rsidRPr="006D6338" w:rsidRDefault="00CC4100" w:rsidP="00A44FCD">
            <w:pPr>
              <w:jc w:val="right"/>
              <w:rPr>
                <w:rFonts w:ascii="Calibri" w:eastAsia="Times New Roman" w:hAnsi="Calibri" w:cs="Calibri"/>
                <w:b/>
                <w:bCs/>
                <w:color w:val="000000"/>
                <w:sz w:val="16"/>
                <w:szCs w:val="16"/>
                <w:lang w:eastAsia="en-GB"/>
              </w:rPr>
            </w:pPr>
          </w:p>
        </w:tc>
      </w:tr>
      <w:tr w:rsidR="00CC4100" w:rsidRPr="006D6338" w14:paraId="2F5C142B" w14:textId="77777777" w:rsidTr="00A44FCD">
        <w:trPr>
          <w:trHeight w:val="300"/>
        </w:trPr>
        <w:tc>
          <w:tcPr>
            <w:tcW w:w="1067" w:type="pct"/>
            <w:noWrap/>
            <w:vAlign w:val="bottom"/>
            <w:hideMark/>
          </w:tcPr>
          <w:p w14:paraId="7089B5A8"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Unaudited</w:t>
            </w:r>
          </w:p>
        </w:tc>
        <w:tc>
          <w:tcPr>
            <w:tcW w:w="468" w:type="pct"/>
            <w:noWrap/>
            <w:vAlign w:val="center"/>
            <w:hideMark/>
          </w:tcPr>
          <w:p w14:paraId="6E0AEBD5"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466" w:type="pct"/>
            <w:noWrap/>
            <w:vAlign w:val="center"/>
            <w:hideMark/>
          </w:tcPr>
          <w:p w14:paraId="340649AF"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noWrap/>
            <w:vAlign w:val="center"/>
            <w:hideMark/>
          </w:tcPr>
          <w:p w14:paraId="7045896D" w14:textId="77777777" w:rsidR="00CC4100" w:rsidRPr="006D6338" w:rsidRDefault="00CC4100" w:rsidP="00A44FCD">
            <w:pPr>
              <w:spacing w:line="256" w:lineRule="auto"/>
              <w:rPr>
                <w:rFonts w:ascii="Calibri" w:eastAsia="Calibri" w:hAnsi="Calibri" w:cs="Calibri"/>
                <w:sz w:val="20"/>
                <w:szCs w:val="20"/>
                <w:lang w:eastAsia="en-GB"/>
              </w:rPr>
            </w:pPr>
          </w:p>
        </w:tc>
        <w:tc>
          <w:tcPr>
            <w:tcW w:w="466" w:type="pct"/>
            <w:vAlign w:val="center"/>
          </w:tcPr>
          <w:p w14:paraId="36B6060C"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hideMark/>
          </w:tcPr>
          <w:p w14:paraId="0012BFF9"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3" w:type="pct"/>
            <w:vAlign w:val="center"/>
          </w:tcPr>
          <w:p w14:paraId="6A5B5D1D"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hideMark/>
          </w:tcPr>
          <w:p w14:paraId="4E102170"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534" w:type="pct"/>
            <w:noWrap/>
            <w:vAlign w:val="center"/>
            <w:hideMark/>
          </w:tcPr>
          <w:p w14:paraId="5BDFAF7C"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2AF30C71" w14:textId="77777777" w:rsidTr="00A44FCD">
        <w:trPr>
          <w:trHeight w:val="300"/>
        </w:trPr>
        <w:tc>
          <w:tcPr>
            <w:tcW w:w="1067" w:type="pct"/>
            <w:noWrap/>
            <w:vAlign w:val="bottom"/>
            <w:hideMark/>
          </w:tcPr>
          <w:p w14:paraId="7A7E9394"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Balance at 1 Jan 2026</w:t>
            </w:r>
          </w:p>
        </w:tc>
        <w:tc>
          <w:tcPr>
            <w:tcW w:w="468" w:type="pct"/>
            <w:noWrap/>
            <w:vAlign w:val="center"/>
            <w:hideMark/>
          </w:tcPr>
          <w:p w14:paraId="64F08C6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1,243,275</w:t>
            </w:r>
          </w:p>
        </w:tc>
        <w:tc>
          <w:tcPr>
            <w:tcW w:w="466" w:type="pct"/>
            <w:noWrap/>
            <w:vAlign w:val="center"/>
            <w:hideMark/>
          </w:tcPr>
          <w:p w14:paraId="7B480E95"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7,356,109</w:t>
            </w:r>
          </w:p>
        </w:tc>
        <w:tc>
          <w:tcPr>
            <w:tcW w:w="466" w:type="pct"/>
            <w:noWrap/>
            <w:vAlign w:val="center"/>
            <w:hideMark/>
          </w:tcPr>
          <w:p w14:paraId="166453EE"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259,163</w:t>
            </w:r>
          </w:p>
        </w:tc>
        <w:tc>
          <w:tcPr>
            <w:tcW w:w="466" w:type="pct"/>
            <w:vAlign w:val="center"/>
            <w:hideMark/>
          </w:tcPr>
          <w:p w14:paraId="21F49739"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674,150</w:t>
            </w:r>
          </w:p>
        </w:tc>
        <w:tc>
          <w:tcPr>
            <w:tcW w:w="466" w:type="pct"/>
            <w:noWrap/>
            <w:vAlign w:val="center"/>
            <w:hideMark/>
          </w:tcPr>
          <w:p w14:paraId="3F5A1D4E"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 xml:space="preserve">(161,445) </w:t>
            </w:r>
          </w:p>
        </w:tc>
        <w:tc>
          <w:tcPr>
            <w:tcW w:w="533" w:type="pct"/>
            <w:vAlign w:val="center"/>
            <w:hideMark/>
          </w:tcPr>
          <w:p w14:paraId="7F230AA1"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Times New Roman" w:hAnsi="Calibri" w:cs="Calibri"/>
                <w:b/>
                <w:bCs/>
                <w:color w:val="000000"/>
                <w:sz w:val="16"/>
                <w:szCs w:val="16"/>
                <w:lang w:eastAsia="en-GB"/>
              </w:rPr>
              <w:t>(343,476)</w:t>
            </w:r>
          </w:p>
        </w:tc>
        <w:tc>
          <w:tcPr>
            <w:tcW w:w="534" w:type="pct"/>
            <w:noWrap/>
            <w:vAlign w:val="center"/>
            <w:hideMark/>
          </w:tcPr>
          <w:p w14:paraId="7E5BC5C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(3,874,347)</w:t>
            </w:r>
          </w:p>
        </w:tc>
        <w:tc>
          <w:tcPr>
            <w:tcW w:w="534" w:type="pct"/>
            <w:noWrap/>
            <w:vAlign w:val="center"/>
            <w:hideMark/>
          </w:tcPr>
          <w:p w14:paraId="21BEACAC"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b/>
                <w:bCs/>
                <w:color w:val="000000"/>
                <w:sz w:val="16"/>
                <w:szCs w:val="16"/>
                <w:lang w:eastAsia="en-GB"/>
              </w:rPr>
              <w:t>5,153,429</w:t>
            </w:r>
          </w:p>
        </w:tc>
      </w:tr>
      <w:tr w:rsidR="00CC4100" w:rsidRPr="006D6338" w14:paraId="6DFEFC93" w14:textId="77777777" w:rsidTr="00A44FCD">
        <w:trPr>
          <w:trHeight w:val="300"/>
        </w:trPr>
        <w:tc>
          <w:tcPr>
            <w:tcW w:w="1067" w:type="pct"/>
            <w:noWrap/>
            <w:vAlign w:val="bottom"/>
            <w:hideMark/>
          </w:tcPr>
          <w:p w14:paraId="4931093E"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Loss for the period</w:t>
            </w:r>
          </w:p>
        </w:tc>
        <w:tc>
          <w:tcPr>
            <w:tcW w:w="468" w:type="pct"/>
            <w:noWrap/>
            <w:vAlign w:val="center"/>
            <w:hideMark/>
          </w:tcPr>
          <w:p w14:paraId="793C603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noWrap/>
            <w:vAlign w:val="center"/>
            <w:hideMark/>
          </w:tcPr>
          <w:p w14:paraId="1C44363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noWrap/>
            <w:vAlign w:val="center"/>
            <w:hideMark/>
          </w:tcPr>
          <w:p w14:paraId="7FE1793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 </w:t>
            </w:r>
          </w:p>
        </w:tc>
        <w:tc>
          <w:tcPr>
            <w:tcW w:w="466" w:type="pct"/>
            <w:vAlign w:val="center"/>
            <w:hideMark/>
          </w:tcPr>
          <w:p w14:paraId="07F4B9A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hideMark/>
          </w:tcPr>
          <w:p w14:paraId="52841B9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 </w:t>
            </w:r>
          </w:p>
        </w:tc>
        <w:tc>
          <w:tcPr>
            <w:tcW w:w="533" w:type="pct"/>
            <w:vAlign w:val="center"/>
            <w:hideMark/>
          </w:tcPr>
          <w:p w14:paraId="3123E985"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534" w:type="pct"/>
            <w:noWrap/>
            <w:vAlign w:val="center"/>
            <w:hideMark/>
          </w:tcPr>
          <w:p w14:paraId="49C24F7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(647,532)</w:t>
            </w:r>
          </w:p>
        </w:tc>
        <w:tc>
          <w:tcPr>
            <w:tcW w:w="534" w:type="pct"/>
            <w:noWrap/>
            <w:vAlign w:val="center"/>
            <w:hideMark/>
          </w:tcPr>
          <w:p w14:paraId="3E701C6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(647,532)</w:t>
            </w:r>
          </w:p>
        </w:tc>
      </w:tr>
      <w:tr w:rsidR="00CC4100" w:rsidRPr="006D6338" w14:paraId="5CBCF1FF" w14:textId="77777777" w:rsidTr="00A44FCD">
        <w:trPr>
          <w:trHeight w:val="300"/>
        </w:trPr>
        <w:tc>
          <w:tcPr>
            <w:tcW w:w="1067" w:type="pct"/>
            <w:noWrap/>
            <w:vAlign w:val="bottom"/>
            <w:hideMark/>
          </w:tcPr>
          <w:p w14:paraId="6A2C8D15"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val="en-IE" w:eastAsia="en-GB"/>
              </w:rPr>
              <w:t xml:space="preserve">Foreign currency translation of foreign subsidiaries </w:t>
            </w:r>
          </w:p>
        </w:tc>
        <w:tc>
          <w:tcPr>
            <w:tcW w:w="468" w:type="pct"/>
            <w:noWrap/>
            <w:vAlign w:val="center"/>
            <w:hideMark/>
          </w:tcPr>
          <w:p w14:paraId="4A2D5E3B"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w:t>
            </w:r>
          </w:p>
        </w:tc>
        <w:tc>
          <w:tcPr>
            <w:tcW w:w="466" w:type="pct"/>
            <w:noWrap/>
            <w:vAlign w:val="center"/>
            <w:hideMark/>
          </w:tcPr>
          <w:p w14:paraId="4984E416"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w:t>
            </w:r>
          </w:p>
        </w:tc>
        <w:tc>
          <w:tcPr>
            <w:tcW w:w="466" w:type="pct"/>
            <w:noWrap/>
            <w:vAlign w:val="center"/>
            <w:hideMark/>
          </w:tcPr>
          <w:p w14:paraId="0A2EF3FE"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 </w:t>
            </w:r>
          </w:p>
        </w:tc>
        <w:tc>
          <w:tcPr>
            <w:tcW w:w="466" w:type="pct"/>
            <w:vAlign w:val="center"/>
            <w:hideMark/>
          </w:tcPr>
          <w:p w14:paraId="4652FC2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noWrap/>
            <w:vAlign w:val="center"/>
            <w:hideMark/>
          </w:tcPr>
          <w:p w14:paraId="789FB2A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vAlign w:val="center"/>
            <w:hideMark/>
          </w:tcPr>
          <w:p w14:paraId="219514F2"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bCs/>
                <w:color w:val="000000"/>
                <w:sz w:val="16"/>
                <w:szCs w:val="16"/>
              </w:rPr>
              <w:t>(120,487)</w:t>
            </w:r>
          </w:p>
        </w:tc>
        <w:tc>
          <w:tcPr>
            <w:tcW w:w="534" w:type="pct"/>
            <w:noWrap/>
            <w:vAlign w:val="center"/>
            <w:hideMark/>
          </w:tcPr>
          <w:p w14:paraId="6F5159CF"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534" w:type="pct"/>
            <w:noWrap/>
            <w:vAlign w:val="center"/>
            <w:hideMark/>
          </w:tcPr>
          <w:p w14:paraId="1EEF487F"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bCs/>
                <w:color w:val="000000"/>
                <w:sz w:val="16"/>
                <w:szCs w:val="16"/>
              </w:rPr>
              <w:t>(120,487)</w:t>
            </w:r>
          </w:p>
        </w:tc>
      </w:tr>
      <w:tr w:rsidR="00CC4100" w:rsidRPr="006D6338" w14:paraId="78E84E47" w14:textId="77777777" w:rsidTr="00A44FCD">
        <w:trPr>
          <w:trHeight w:val="258"/>
        </w:trPr>
        <w:tc>
          <w:tcPr>
            <w:tcW w:w="1067" w:type="pct"/>
            <w:noWrap/>
            <w:vAlign w:val="bottom"/>
            <w:hideMark/>
          </w:tcPr>
          <w:p w14:paraId="579CB6E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FV gain/ (loss) on financial Investments</w:t>
            </w:r>
          </w:p>
        </w:tc>
        <w:tc>
          <w:tcPr>
            <w:tcW w:w="468" w:type="pct"/>
            <w:tcBorders>
              <w:top w:val="nil"/>
              <w:left w:val="nil"/>
              <w:bottom w:val="single" w:sz="4" w:space="0" w:color="auto"/>
              <w:right w:val="nil"/>
            </w:tcBorders>
            <w:noWrap/>
            <w:vAlign w:val="center"/>
            <w:hideMark/>
          </w:tcPr>
          <w:p w14:paraId="32209727"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bottom w:val="single" w:sz="4" w:space="0" w:color="auto"/>
              <w:right w:val="nil"/>
            </w:tcBorders>
            <w:noWrap/>
            <w:vAlign w:val="center"/>
            <w:hideMark/>
          </w:tcPr>
          <w:p w14:paraId="27537C99"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bottom w:val="single" w:sz="4" w:space="0" w:color="auto"/>
              <w:right w:val="nil"/>
            </w:tcBorders>
            <w:noWrap/>
            <w:vAlign w:val="center"/>
            <w:hideMark/>
          </w:tcPr>
          <w:p w14:paraId="48DFD3B8"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c>
          <w:tcPr>
            <w:tcW w:w="466" w:type="pct"/>
            <w:tcBorders>
              <w:top w:val="nil"/>
              <w:left w:val="nil"/>
              <w:bottom w:val="single" w:sz="4" w:space="0" w:color="auto"/>
              <w:right w:val="nil"/>
            </w:tcBorders>
            <w:vAlign w:val="center"/>
            <w:hideMark/>
          </w:tcPr>
          <w:p w14:paraId="4DCA276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7,990</w:t>
            </w:r>
          </w:p>
        </w:tc>
        <w:tc>
          <w:tcPr>
            <w:tcW w:w="466" w:type="pct"/>
            <w:tcBorders>
              <w:top w:val="nil"/>
              <w:left w:val="nil"/>
              <w:bottom w:val="single" w:sz="4" w:space="0" w:color="auto"/>
              <w:right w:val="nil"/>
            </w:tcBorders>
            <w:noWrap/>
            <w:vAlign w:val="center"/>
            <w:hideMark/>
          </w:tcPr>
          <w:p w14:paraId="5F55F03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top w:val="nil"/>
              <w:left w:val="nil"/>
              <w:bottom w:val="single" w:sz="4" w:space="0" w:color="auto"/>
              <w:right w:val="nil"/>
            </w:tcBorders>
            <w:vAlign w:val="center"/>
            <w:hideMark/>
          </w:tcPr>
          <w:p w14:paraId="7EEDFD84" w14:textId="77777777" w:rsidR="00CC4100" w:rsidRPr="006D6338" w:rsidRDefault="00CC4100" w:rsidP="00A44FCD">
            <w:pPr>
              <w:widowControl w:val="0"/>
              <w:autoSpaceDE w:val="0"/>
              <w:autoSpaceDN w:val="0"/>
              <w:spacing w:line="256" w:lineRule="auto"/>
              <w:ind w:left="720"/>
              <w:rPr>
                <w:rFonts w:ascii="Calibri" w:eastAsia="Arial" w:hAnsi="Calibri" w:cs="Calibri"/>
                <w:color w:val="000000"/>
                <w:sz w:val="16"/>
                <w:szCs w:val="16"/>
              </w:rPr>
            </w:pPr>
            <w:r w:rsidRPr="006D6338">
              <w:rPr>
                <w:rFonts w:ascii="Calibri" w:eastAsia="Arial" w:hAnsi="Calibri" w:cs="Calibri"/>
                <w:color w:val="000000"/>
                <w:sz w:val="16"/>
                <w:szCs w:val="16"/>
              </w:rPr>
              <w:t>-</w:t>
            </w:r>
          </w:p>
        </w:tc>
        <w:tc>
          <w:tcPr>
            <w:tcW w:w="534" w:type="pct"/>
            <w:tcBorders>
              <w:top w:val="nil"/>
              <w:left w:val="nil"/>
              <w:bottom w:val="single" w:sz="4" w:space="0" w:color="auto"/>
              <w:right w:val="nil"/>
            </w:tcBorders>
            <w:noWrap/>
            <w:vAlign w:val="center"/>
            <w:hideMark/>
          </w:tcPr>
          <w:p w14:paraId="0B23BB59" w14:textId="77777777" w:rsidR="00CC4100" w:rsidRPr="006D6338" w:rsidRDefault="00CC4100" w:rsidP="00A44FCD">
            <w:pPr>
              <w:widowControl w:val="0"/>
              <w:autoSpaceDE w:val="0"/>
              <w:autoSpaceDN w:val="0"/>
              <w:spacing w:line="256" w:lineRule="auto"/>
              <w:ind w:left="720"/>
              <w:jc w:val="right"/>
              <w:rPr>
                <w:rFonts w:ascii="Calibri" w:eastAsia="Arial" w:hAnsi="Calibri" w:cs="Calibri"/>
                <w:color w:val="000000"/>
                <w:sz w:val="16"/>
                <w:szCs w:val="16"/>
              </w:rPr>
            </w:pPr>
            <w:r w:rsidRPr="006D6338">
              <w:rPr>
                <w:rFonts w:ascii="Calibri" w:eastAsia="Arial" w:hAnsi="Calibri" w:cs="Calibri"/>
                <w:color w:val="000000"/>
                <w:sz w:val="16"/>
                <w:szCs w:val="16"/>
              </w:rPr>
              <w:t>-</w:t>
            </w:r>
          </w:p>
        </w:tc>
        <w:tc>
          <w:tcPr>
            <w:tcW w:w="534" w:type="pct"/>
            <w:tcBorders>
              <w:top w:val="nil"/>
              <w:left w:val="nil"/>
              <w:bottom w:val="single" w:sz="4" w:space="0" w:color="auto"/>
              <w:right w:val="nil"/>
            </w:tcBorders>
            <w:noWrap/>
            <w:vAlign w:val="center"/>
            <w:hideMark/>
          </w:tcPr>
          <w:p w14:paraId="74D70BB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7,990</w:t>
            </w:r>
          </w:p>
        </w:tc>
      </w:tr>
      <w:tr w:rsidR="00CC4100" w:rsidRPr="006D6338" w14:paraId="6C060153" w14:textId="77777777" w:rsidTr="00A44FCD">
        <w:trPr>
          <w:trHeight w:val="300"/>
        </w:trPr>
        <w:tc>
          <w:tcPr>
            <w:tcW w:w="1067" w:type="pct"/>
            <w:noWrap/>
            <w:vAlign w:val="bottom"/>
            <w:hideMark/>
          </w:tcPr>
          <w:p w14:paraId="030FF6DA"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Total comprehensive loss for the period</w:t>
            </w:r>
          </w:p>
        </w:tc>
        <w:tc>
          <w:tcPr>
            <w:tcW w:w="468" w:type="pct"/>
            <w:tcBorders>
              <w:top w:val="single" w:sz="4" w:space="0" w:color="auto"/>
              <w:left w:val="nil"/>
              <w:bottom w:val="nil"/>
              <w:right w:val="nil"/>
            </w:tcBorders>
            <w:noWrap/>
            <w:vAlign w:val="center"/>
            <w:hideMark/>
          </w:tcPr>
          <w:p w14:paraId="167DC2D1"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noWrap/>
            <w:vAlign w:val="center"/>
            <w:hideMark/>
          </w:tcPr>
          <w:p w14:paraId="71A7998D"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noWrap/>
            <w:vAlign w:val="center"/>
            <w:hideMark/>
          </w:tcPr>
          <w:p w14:paraId="45BAADF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w:t>
            </w:r>
          </w:p>
        </w:tc>
        <w:tc>
          <w:tcPr>
            <w:tcW w:w="466" w:type="pct"/>
            <w:tcBorders>
              <w:top w:val="single" w:sz="4" w:space="0" w:color="auto"/>
              <w:left w:val="nil"/>
              <w:bottom w:val="nil"/>
              <w:right w:val="nil"/>
            </w:tcBorders>
            <w:vAlign w:val="center"/>
            <w:hideMark/>
          </w:tcPr>
          <w:p w14:paraId="25B073E3"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7,990</w:t>
            </w:r>
          </w:p>
        </w:tc>
        <w:tc>
          <w:tcPr>
            <w:tcW w:w="466" w:type="pct"/>
            <w:tcBorders>
              <w:top w:val="single" w:sz="4" w:space="0" w:color="auto"/>
              <w:left w:val="nil"/>
              <w:bottom w:val="nil"/>
              <w:right w:val="nil"/>
            </w:tcBorders>
            <w:noWrap/>
            <w:vAlign w:val="center"/>
            <w:hideMark/>
          </w:tcPr>
          <w:p w14:paraId="7D5A83CF"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w:t>
            </w:r>
          </w:p>
        </w:tc>
        <w:tc>
          <w:tcPr>
            <w:tcW w:w="533" w:type="pct"/>
            <w:tcBorders>
              <w:top w:val="single" w:sz="4" w:space="0" w:color="auto"/>
              <w:left w:val="nil"/>
              <w:bottom w:val="nil"/>
              <w:right w:val="nil"/>
            </w:tcBorders>
            <w:vAlign w:val="center"/>
            <w:hideMark/>
          </w:tcPr>
          <w:p w14:paraId="147F8CD2"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(120,487)</w:t>
            </w:r>
          </w:p>
        </w:tc>
        <w:tc>
          <w:tcPr>
            <w:tcW w:w="534" w:type="pct"/>
            <w:tcBorders>
              <w:top w:val="single" w:sz="4" w:space="0" w:color="auto"/>
              <w:left w:val="nil"/>
              <w:bottom w:val="nil"/>
              <w:right w:val="nil"/>
            </w:tcBorders>
            <w:noWrap/>
            <w:vAlign w:val="center"/>
            <w:hideMark/>
          </w:tcPr>
          <w:p w14:paraId="7C4A081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(647,532)</w:t>
            </w:r>
          </w:p>
        </w:tc>
        <w:tc>
          <w:tcPr>
            <w:tcW w:w="534" w:type="pct"/>
            <w:tcBorders>
              <w:top w:val="single" w:sz="4" w:space="0" w:color="auto"/>
              <w:left w:val="nil"/>
              <w:bottom w:val="nil"/>
              <w:right w:val="nil"/>
            </w:tcBorders>
            <w:noWrap/>
            <w:vAlign w:val="center"/>
            <w:hideMark/>
          </w:tcPr>
          <w:p w14:paraId="3F243B5C"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Calibri" w:hAnsi="Calibri" w:cs="Calibri"/>
                <w:b/>
                <w:bCs/>
                <w:color w:val="000000"/>
                <w:sz w:val="16"/>
                <w:szCs w:val="16"/>
              </w:rPr>
              <w:t>(760,029)</w:t>
            </w:r>
          </w:p>
        </w:tc>
      </w:tr>
      <w:tr w:rsidR="00CC4100" w:rsidRPr="006D6338" w14:paraId="585010E9" w14:textId="77777777" w:rsidTr="00A44FCD">
        <w:trPr>
          <w:trHeight w:val="300"/>
        </w:trPr>
        <w:tc>
          <w:tcPr>
            <w:tcW w:w="1067" w:type="pct"/>
            <w:noWrap/>
            <w:vAlign w:val="bottom"/>
          </w:tcPr>
          <w:p w14:paraId="3D6DC33D" w14:textId="77777777" w:rsidR="00CC4100" w:rsidRPr="006D6338" w:rsidRDefault="00CC4100" w:rsidP="00A44FCD">
            <w:pPr>
              <w:rPr>
                <w:rFonts w:ascii="Calibri" w:eastAsia="Times New Roman" w:hAnsi="Calibri" w:cs="Calibri"/>
                <w:b/>
                <w:bCs/>
                <w:color w:val="000000"/>
                <w:sz w:val="16"/>
                <w:szCs w:val="16"/>
                <w:lang w:eastAsia="en-GB"/>
              </w:rPr>
            </w:pPr>
          </w:p>
        </w:tc>
        <w:tc>
          <w:tcPr>
            <w:tcW w:w="468" w:type="pct"/>
            <w:tcBorders>
              <w:top w:val="single" w:sz="4" w:space="0" w:color="auto"/>
              <w:left w:val="nil"/>
              <w:bottom w:val="nil"/>
              <w:right w:val="nil"/>
            </w:tcBorders>
            <w:noWrap/>
            <w:vAlign w:val="center"/>
          </w:tcPr>
          <w:p w14:paraId="36E7DF31"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bottom w:val="nil"/>
              <w:right w:val="nil"/>
            </w:tcBorders>
            <w:noWrap/>
            <w:vAlign w:val="center"/>
          </w:tcPr>
          <w:p w14:paraId="786A2115"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bottom w:val="nil"/>
              <w:right w:val="nil"/>
            </w:tcBorders>
            <w:noWrap/>
            <w:vAlign w:val="center"/>
          </w:tcPr>
          <w:p w14:paraId="1A840B02"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bottom w:val="nil"/>
              <w:right w:val="nil"/>
            </w:tcBorders>
            <w:vAlign w:val="center"/>
          </w:tcPr>
          <w:p w14:paraId="56A70040" w14:textId="77777777" w:rsidR="00CC4100" w:rsidRPr="006D6338" w:rsidRDefault="00CC4100" w:rsidP="00A44FCD">
            <w:pPr>
              <w:jc w:val="right"/>
              <w:rPr>
                <w:rFonts w:ascii="Calibri" w:eastAsia="Calibri" w:hAnsi="Calibri" w:cs="Calibri"/>
                <w:b/>
                <w:bCs/>
                <w:color w:val="000000"/>
                <w:sz w:val="16"/>
                <w:szCs w:val="16"/>
              </w:rPr>
            </w:pPr>
          </w:p>
        </w:tc>
        <w:tc>
          <w:tcPr>
            <w:tcW w:w="466" w:type="pct"/>
            <w:tcBorders>
              <w:top w:val="single" w:sz="4" w:space="0" w:color="auto"/>
              <w:left w:val="nil"/>
              <w:bottom w:val="nil"/>
              <w:right w:val="nil"/>
            </w:tcBorders>
            <w:noWrap/>
            <w:vAlign w:val="center"/>
          </w:tcPr>
          <w:p w14:paraId="5FC17DC0" w14:textId="77777777" w:rsidR="00CC4100" w:rsidRPr="006D6338" w:rsidRDefault="00CC4100" w:rsidP="00A44FCD">
            <w:pPr>
              <w:jc w:val="right"/>
              <w:rPr>
                <w:rFonts w:ascii="Calibri" w:eastAsia="Calibri" w:hAnsi="Calibri" w:cs="Calibri"/>
                <w:b/>
                <w:bCs/>
                <w:color w:val="000000"/>
                <w:sz w:val="16"/>
                <w:szCs w:val="16"/>
              </w:rPr>
            </w:pPr>
          </w:p>
        </w:tc>
        <w:tc>
          <w:tcPr>
            <w:tcW w:w="533" w:type="pct"/>
            <w:tcBorders>
              <w:top w:val="single" w:sz="4" w:space="0" w:color="auto"/>
              <w:left w:val="nil"/>
              <w:bottom w:val="nil"/>
              <w:right w:val="nil"/>
            </w:tcBorders>
            <w:vAlign w:val="center"/>
            <w:hideMark/>
          </w:tcPr>
          <w:p w14:paraId="1D021B2C"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top w:val="single" w:sz="4" w:space="0" w:color="auto"/>
              <w:left w:val="nil"/>
              <w:bottom w:val="nil"/>
              <w:right w:val="nil"/>
            </w:tcBorders>
            <w:noWrap/>
            <w:vAlign w:val="center"/>
          </w:tcPr>
          <w:p w14:paraId="74D93A74" w14:textId="77777777" w:rsidR="00CC4100" w:rsidRPr="006D6338" w:rsidRDefault="00CC4100" w:rsidP="00A44FCD">
            <w:pPr>
              <w:jc w:val="right"/>
              <w:rPr>
                <w:rFonts w:ascii="Calibri" w:eastAsia="Calibri" w:hAnsi="Calibri" w:cs="Calibri"/>
                <w:b/>
                <w:bCs/>
                <w:color w:val="000000"/>
                <w:sz w:val="16"/>
                <w:szCs w:val="16"/>
              </w:rPr>
            </w:pPr>
          </w:p>
        </w:tc>
        <w:tc>
          <w:tcPr>
            <w:tcW w:w="534" w:type="pct"/>
            <w:tcBorders>
              <w:top w:val="single" w:sz="4" w:space="0" w:color="auto"/>
              <w:left w:val="nil"/>
              <w:bottom w:val="nil"/>
              <w:right w:val="nil"/>
            </w:tcBorders>
            <w:noWrap/>
            <w:vAlign w:val="center"/>
          </w:tcPr>
          <w:p w14:paraId="4CA45B51" w14:textId="77777777" w:rsidR="00CC4100" w:rsidRPr="006D6338" w:rsidRDefault="00CC4100" w:rsidP="00A44FCD">
            <w:pPr>
              <w:jc w:val="right"/>
              <w:rPr>
                <w:rFonts w:ascii="Calibri" w:eastAsia="Calibri" w:hAnsi="Calibri" w:cs="Calibri"/>
                <w:b/>
                <w:bCs/>
                <w:color w:val="000000"/>
                <w:sz w:val="16"/>
                <w:szCs w:val="16"/>
              </w:rPr>
            </w:pPr>
          </w:p>
        </w:tc>
      </w:tr>
      <w:tr w:rsidR="00CC4100" w:rsidRPr="006D6338" w14:paraId="6F5D2ACB" w14:textId="77777777" w:rsidTr="00A44FCD">
        <w:trPr>
          <w:trHeight w:val="300"/>
        </w:trPr>
        <w:tc>
          <w:tcPr>
            <w:tcW w:w="1067" w:type="pct"/>
            <w:noWrap/>
            <w:vAlign w:val="bottom"/>
            <w:hideMark/>
          </w:tcPr>
          <w:p w14:paraId="12A5965C" w14:textId="77777777" w:rsidR="00CC4100" w:rsidRPr="006D6338" w:rsidRDefault="00CC4100" w:rsidP="00A44FCD">
            <w:pPr>
              <w:rPr>
                <w:rFonts w:ascii="Calibri" w:eastAsia="Times New Roman" w:hAnsi="Calibri" w:cs="Calibri"/>
                <w:b/>
                <w:bCs/>
                <w:color w:val="000000"/>
                <w:sz w:val="16"/>
                <w:szCs w:val="16"/>
                <w:lang w:eastAsia="en-GB"/>
              </w:rPr>
            </w:pPr>
          </w:p>
          <w:p w14:paraId="7586077C" w14:textId="77777777" w:rsidR="00CC4100" w:rsidRPr="006D6338" w:rsidRDefault="00CC4100" w:rsidP="00A44FCD">
            <w:pPr>
              <w:rPr>
                <w:rFonts w:ascii="Calibri" w:eastAsia="Times New Roman" w:hAnsi="Calibri" w:cs="Calibri"/>
                <w:b/>
                <w:bCs/>
                <w:color w:val="000000"/>
                <w:sz w:val="16"/>
                <w:szCs w:val="16"/>
                <w:lang w:eastAsia="en-GB"/>
              </w:rPr>
            </w:pPr>
          </w:p>
          <w:p w14:paraId="31DA0580" w14:textId="77777777" w:rsidR="00CC4100" w:rsidRPr="006D6338" w:rsidRDefault="00CC4100" w:rsidP="00A44FCD">
            <w:pPr>
              <w:rPr>
                <w:rFonts w:ascii="Calibri" w:eastAsia="Times New Roman" w:hAnsi="Calibri" w:cs="Calibri"/>
                <w:b/>
                <w:bCs/>
                <w:color w:val="000000"/>
                <w:sz w:val="16"/>
                <w:szCs w:val="16"/>
                <w:lang w:eastAsia="en-GB"/>
              </w:rPr>
            </w:pPr>
          </w:p>
          <w:p w14:paraId="1411D718"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Transactions with owners</w:t>
            </w:r>
          </w:p>
        </w:tc>
        <w:tc>
          <w:tcPr>
            <w:tcW w:w="468" w:type="pct"/>
            <w:noWrap/>
            <w:vAlign w:val="center"/>
          </w:tcPr>
          <w:p w14:paraId="0B757429" w14:textId="77777777" w:rsidR="00CC4100" w:rsidRPr="006D6338" w:rsidRDefault="00CC4100" w:rsidP="00A44FCD">
            <w:pPr>
              <w:jc w:val="right"/>
              <w:rPr>
                <w:rFonts w:ascii="Calibri" w:eastAsia="Calibri" w:hAnsi="Calibri" w:cs="Calibri"/>
                <w:b/>
                <w:bCs/>
                <w:color w:val="000000"/>
                <w:sz w:val="16"/>
                <w:szCs w:val="16"/>
              </w:rPr>
            </w:pPr>
          </w:p>
        </w:tc>
        <w:tc>
          <w:tcPr>
            <w:tcW w:w="466" w:type="pct"/>
            <w:noWrap/>
            <w:vAlign w:val="center"/>
          </w:tcPr>
          <w:p w14:paraId="33F60477" w14:textId="77777777" w:rsidR="00CC4100" w:rsidRPr="006D6338" w:rsidRDefault="00CC4100" w:rsidP="00A44FCD">
            <w:pPr>
              <w:jc w:val="right"/>
              <w:rPr>
                <w:rFonts w:ascii="Calibri" w:eastAsia="Calibri" w:hAnsi="Calibri" w:cs="Calibri"/>
                <w:b/>
                <w:bCs/>
                <w:color w:val="000000"/>
                <w:sz w:val="16"/>
                <w:szCs w:val="16"/>
              </w:rPr>
            </w:pPr>
          </w:p>
        </w:tc>
        <w:tc>
          <w:tcPr>
            <w:tcW w:w="466" w:type="pct"/>
            <w:noWrap/>
            <w:vAlign w:val="center"/>
          </w:tcPr>
          <w:p w14:paraId="00160C38" w14:textId="77777777" w:rsidR="00CC4100" w:rsidRPr="006D6338" w:rsidRDefault="00CC4100" w:rsidP="00A44FCD">
            <w:pPr>
              <w:jc w:val="right"/>
              <w:rPr>
                <w:rFonts w:ascii="Calibri" w:eastAsia="Calibri" w:hAnsi="Calibri" w:cs="Calibri"/>
                <w:b/>
                <w:bCs/>
                <w:color w:val="000000"/>
                <w:sz w:val="16"/>
                <w:szCs w:val="16"/>
              </w:rPr>
            </w:pPr>
          </w:p>
        </w:tc>
        <w:tc>
          <w:tcPr>
            <w:tcW w:w="466" w:type="pct"/>
            <w:vAlign w:val="center"/>
          </w:tcPr>
          <w:p w14:paraId="68DF82A7" w14:textId="77777777" w:rsidR="00CC4100" w:rsidRPr="006D6338" w:rsidRDefault="00CC4100" w:rsidP="00A44FCD">
            <w:pPr>
              <w:jc w:val="right"/>
              <w:rPr>
                <w:rFonts w:ascii="Calibri" w:eastAsia="Calibri" w:hAnsi="Calibri" w:cs="Calibri"/>
                <w:b/>
                <w:bCs/>
                <w:color w:val="000000"/>
                <w:sz w:val="16"/>
                <w:szCs w:val="16"/>
              </w:rPr>
            </w:pPr>
          </w:p>
        </w:tc>
        <w:tc>
          <w:tcPr>
            <w:tcW w:w="466" w:type="pct"/>
            <w:noWrap/>
            <w:vAlign w:val="center"/>
          </w:tcPr>
          <w:p w14:paraId="61A4375B" w14:textId="77777777" w:rsidR="00CC4100" w:rsidRPr="006D6338" w:rsidRDefault="00CC4100" w:rsidP="00A44FCD">
            <w:pPr>
              <w:jc w:val="right"/>
              <w:rPr>
                <w:rFonts w:ascii="Calibri" w:eastAsia="Calibri" w:hAnsi="Calibri" w:cs="Calibri"/>
                <w:b/>
                <w:bCs/>
                <w:color w:val="000000"/>
                <w:sz w:val="16"/>
                <w:szCs w:val="16"/>
              </w:rPr>
            </w:pPr>
          </w:p>
        </w:tc>
        <w:tc>
          <w:tcPr>
            <w:tcW w:w="533" w:type="pct"/>
            <w:vAlign w:val="center"/>
          </w:tcPr>
          <w:p w14:paraId="73EC7ABE" w14:textId="77777777" w:rsidR="00CC4100" w:rsidRPr="006D6338" w:rsidRDefault="00CC4100" w:rsidP="00A44FCD">
            <w:pPr>
              <w:jc w:val="right"/>
              <w:rPr>
                <w:rFonts w:ascii="Calibri" w:eastAsia="Calibri" w:hAnsi="Calibri" w:cs="Calibri"/>
                <w:b/>
                <w:bCs/>
                <w:color w:val="000000"/>
                <w:sz w:val="16"/>
                <w:szCs w:val="16"/>
              </w:rPr>
            </w:pPr>
          </w:p>
        </w:tc>
        <w:tc>
          <w:tcPr>
            <w:tcW w:w="534" w:type="pct"/>
            <w:noWrap/>
            <w:vAlign w:val="center"/>
          </w:tcPr>
          <w:p w14:paraId="522DBF50" w14:textId="77777777" w:rsidR="00CC4100" w:rsidRPr="006D6338" w:rsidRDefault="00CC4100" w:rsidP="00A44FCD">
            <w:pPr>
              <w:jc w:val="right"/>
              <w:rPr>
                <w:rFonts w:ascii="Calibri" w:eastAsia="Calibri" w:hAnsi="Calibri" w:cs="Calibri"/>
                <w:b/>
                <w:bCs/>
                <w:color w:val="000000"/>
                <w:sz w:val="16"/>
                <w:szCs w:val="16"/>
              </w:rPr>
            </w:pPr>
          </w:p>
        </w:tc>
        <w:tc>
          <w:tcPr>
            <w:tcW w:w="534" w:type="pct"/>
            <w:noWrap/>
            <w:vAlign w:val="center"/>
          </w:tcPr>
          <w:p w14:paraId="4011364E" w14:textId="77777777" w:rsidR="00CC4100" w:rsidRPr="006D6338" w:rsidRDefault="00CC4100" w:rsidP="00A44FCD">
            <w:pPr>
              <w:jc w:val="right"/>
              <w:rPr>
                <w:rFonts w:ascii="Calibri" w:eastAsia="Calibri" w:hAnsi="Calibri" w:cs="Calibri"/>
                <w:b/>
                <w:bCs/>
                <w:color w:val="000000"/>
                <w:sz w:val="16"/>
                <w:szCs w:val="16"/>
              </w:rPr>
            </w:pPr>
          </w:p>
        </w:tc>
      </w:tr>
      <w:tr w:rsidR="00CC4100" w:rsidRPr="006D6338" w14:paraId="397BDBAD" w14:textId="77777777" w:rsidTr="00A44FCD">
        <w:trPr>
          <w:trHeight w:val="300"/>
        </w:trPr>
        <w:tc>
          <w:tcPr>
            <w:tcW w:w="1067" w:type="pct"/>
            <w:noWrap/>
            <w:vAlign w:val="bottom"/>
            <w:hideMark/>
          </w:tcPr>
          <w:p w14:paraId="643FB37E"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Issue of new shares</w:t>
            </w:r>
          </w:p>
        </w:tc>
        <w:tc>
          <w:tcPr>
            <w:tcW w:w="468" w:type="pct"/>
            <w:noWrap/>
            <w:vAlign w:val="center"/>
            <w:hideMark/>
          </w:tcPr>
          <w:p w14:paraId="7AD5CB7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291,125</w:t>
            </w:r>
          </w:p>
        </w:tc>
        <w:tc>
          <w:tcPr>
            <w:tcW w:w="466" w:type="pct"/>
            <w:noWrap/>
            <w:vAlign w:val="center"/>
            <w:hideMark/>
          </w:tcPr>
          <w:p w14:paraId="76EB037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color w:val="000000"/>
                <w:sz w:val="16"/>
                <w:szCs w:val="16"/>
                <w:lang w:eastAsia="en-GB"/>
              </w:rPr>
              <w:t>1,672,438</w:t>
            </w:r>
          </w:p>
        </w:tc>
        <w:tc>
          <w:tcPr>
            <w:tcW w:w="466" w:type="pct"/>
            <w:noWrap/>
            <w:vAlign w:val="center"/>
            <w:hideMark/>
          </w:tcPr>
          <w:p w14:paraId="30F0123E"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Times New Roman" w:hAnsi="Calibri" w:cs="Calibri"/>
                <w:color w:val="000000"/>
                <w:sz w:val="16"/>
                <w:szCs w:val="16"/>
                <w:lang w:eastAsia="en-GB"/>
              </w:rPr>
              <w:t>-</w:t>
            </w:r>
          </w:p>
        </w:tc>
        <w:tc>
          <w:tcPr>
            <w:tcW w:w="466" w:type="pct"/>
            <w:vAlign w:val="center"/>
            <w:hideMark/>
          </w:tcPr>
          <w:p w14:paraId="04F8A8AC"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Times New Roman" w:hAnsi="Calibri" w:cs="Calibri"/>
                <w:sz w:val="16"/>
                <w:szCs w:val="16"/>
                <w:lang w:eastAsia="en-GB"/>
              </w:rPr>
              <w:t>-</w:t>
            </w:r>
          </w:p>
        </w:tc>
        <w:tc>
          <w:tcPr>
            <w:tcW w:w="466" w:type="pct"/>
            <w:noWrap/>
            <w:vAlign w:val="center"/>
            <w:hideMark/>
          </w:tcPr>
          <w:p w14:paraId="526B8149"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Times New Roman" w:hAnsi="Calibri" w:cs="Calibri"/>
                <w:sz w:val="16"/>
                <w:szCs w:val="16"/>
                <w:lang w:eastAsia="en-GB"/>
              </w:rPr>
              <w:t>-</w:t>
            </w:r>
          </w:p>
        </w:tc>
        <w:tc>
          <w:tcPr>
            <w:tcW w:w="533" w:type="pct"/>
            <w:vAlign w:val="center"/>
            <w:hideMark/>
          </w:tcPr>
          <w:p w14:paraId="014BAD35"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sz w:val="16"/>
                <w:szCs w:val="16"/>
                <w:lang w:eastAsia="en-GB"/>
              </w:rPr>
              <w:t>-</w:t>
            </w:r>
          </w:p>
        </w:tc>
        <w:tc>
          <w:tcPr>
            <w:tcW w:w="534" w:type="pct"/>
            <w:noWrap/>
            <w:vAlign w:val="center"/>
            <w:hideMark/>
          </w:tcPr>
          <w:p w14:paraId="4F407C0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sz w:val="16"/>
                <w:szCs w:val="16"/>
                <w:lang w:eastAsia="en-GB"/>
              </w:rPr>
              <w:t>-</w:t>
            </w:r>
          </w:p>
        </w:tc>
        <w:tc>
          <w:tcPr>
            <w:tcW w:w="534" w:type="pct"/>
            <w:noWrap/>
            <w:vAlign w:val="center"/>
            <w:hideMark/>
          </w:tcPr>
          <w:p w14:paraId="77E22394"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color w:val="000000"/>
                <w:sz w:val="16"/>
                <w:szCs w:val="16"/>
              </w:rPr>
              <w:t>1,963,563</w:t>
            </w:r>
          </w:p>
        </w:tc>
      </w:tr>
      <w:tr w:rsidR="00CC4100" w:rsidRPr="006D6338" w14:paraId="6D084C44" w14:textId="77777777" w:rsidTr="00A44FCD">
        <w:trPr>
          <w:trHeight w:val="300"/>
        </w:trPr>
        <w:tc>
          <w:tcPr>
            <w:tcW w:w="1067" w:type="pct"/>
            <w:noWrap/>
            <w:vAlign w:val="bottom"/>
          </w:tcPr>
          <w:p w14:paraId="5FA75FE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Equity component of convertible loan notes issued</w:t>
            </w:r>
          </w:p>
        </w:tc>
        <w:tc>
          <w:tcPr>
            <w:tcW w:w="468" w:type="pct"/>
            <w:tcBorders>
              <w:top w:val="nil"/>
              <w:left w:val="nil"/>
              <w:right w:val="nil"/>
            </w:tcBorders>
            <w:noWrap/>
            <w:vAlign w:val="center"/>
          </w:tcPr>
          <w:p w14:paraId="3316010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6E32053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0FFE039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vAlign w:val="center"/>
          </w:tcPr>
          <w:p w14:paraId="1EDD7D9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3227143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99,568</w:t>
            </w:r>
          </w:p>
        </w:tc>
        <w:tc>
          <w:tcPr>
            <w:tcW w:w="533" w:type="pct"/>
            <w:tcBorders>
              <w:top w:val="nil"/>
              <w:left w:val="nil"/>
              <w:right w:val="nil"/>
            </w:tcBorders>
            <w:vAlign w:val="center"/>
          </w:tcPr>
          <w:p w14:paraId="203F7B7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4" w:type="pct"/>
            <w:tcBorders>
              <w:top w:val="nil"/>
              <w:left w:val="nil"/>
              <w:right w:val="nil"/>
            </w:tcBorders>
            <w:noWrap/>
            <w:vAlign w:val="center"/>
          </w:tcPr>
          <w:p w14:paraId="3E6F626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4" w:type="pct"/>
            <w:tcBorders>
              <w:top w:val="nil"/>
              <w:left w:val="nil"/>
              <w:right w:val="nil"/>
            </w:tcBorders>
            <w:noWrap/>
            <w:vAlign w:val="center"/>
          </w:tcPr>
          <w:p w14:paraId="521E3C9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99,568</w:t>
            </w:r>
          </w:p>
        </w:tc>
      </w:tr>
      <w:tr w:rsidR="00CC4100" w:rsidRPr="006D6338" w14:paraId="290D9302" w14:textId="77777777" w:rsidTr="00A44FCD">
        <w:trPr>
          <w:trHeight w:val="300"/>
        </w:trPr>
        <w:tc>
          <w:tcPr>
            <w:tcW w:w="1067" w:type="pct"/>
            <w:noWrap/>
            <w:vAlign w:val="bottom"/>
          </w:tcPr>
          <w:p w14:paraId="7262C8DB"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Warrants issued</w:t>
            </w:r>
          </w:p>
        </w:tc>
        <w:tc>
          <w:tcPr>
            <w:tcW w:w="468" w:type="pct"/>
            <w:tcBorders>
              <w:top w:val="nil"/>
              <w:left w:val="nil"/>
              <w:right w:val="nil"/>
            </w:tcBorders>
            <w:noWrap/>
            <w:vAlign w:val="center"/>
          </w:tcPr>
          <w:p w14:paraId="52C0790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3CEF40E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4198DAF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164,084</w:t>
            </w:r>
          </w:p>
        </w:tc>
        <w:tc>
          <w:tcPr>
            <w:tcW w:w="466" w:type="pct"/>
            <w:tcBorders>
              <w:top w:val="nil"/>
              <w:left w:val="nil"/>
              <w:right w:val="nil"/>
            </w:tcBorders>
            <w:vAlign w:val="center"/>
          </w:tcPr>
          <w:p w14:paraId="20143C4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4359126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top w:val="nil"/>
              <w:left w:val="nil"/>
              <w:right w:val="nil"/>
            </w:tcBorders>
            <w:vAlign w:val="center"/>
          </w:tcPr>
          <w:p w14:paraId="4B241CD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4" w:type="pct"/>
            <w:tcBorders>
              <w:top w:val="nil"/>
              <w:left w:val="nil"/>
              <w:right w:val="nil"/>
            </w:tcBorders>
            <w:noWrap/>
            <w:vAlign w:val="center"/>
          </w:tcPr>
          <w:p w14:paraId="43731DA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4" w:type="pct"/>
            <w:tcBorders>
              <w:top w:val="nil"/>
              <w:left w:val="nil"/>
              <w:right w:val="nil"/>
            </w:tcBorders>
            <w:noWrap/>
            <w:vAlign w:val="center"/>
          </w:tcPr>
          <w:p w14:paraId="32455654"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164,084</w:t>
            </w:r>
          </w:p>
        </w:tc>
      </w:tr>
      <w:tr w:rsidR="00CC4100" w:rsidRPr="006D6338" w14:paraId="5E9247EB" w14:textId="77777777" w:rsidTr="00A44FCD">
        <w:trPr>
          <w:trHeight w:val="300"/>
        </w:trPr>
        <w:tc>
          <w:tcPr>
            <w:tcW w:w="1067" w:type="pct"/>
            <w:noWrap/>
            <w:vAlign w:val="bottom"/>
          </w:tcPr>
          <w:p w14:paraId="08CD79F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Warrants exercised</w:t>
            </w:r>
          </w:p>
        </w:tc>
        <w:tc>
          <w:tcPr>
            <w:tcW w:w="468" w:type="pct"/>
            <w:tcBorders>
              <w:top w:val="nil"/>
              <w:left w:val="nil"/>
              <w:right w:val="nil"/>
            </w:tcBorders>
            <w:noWrap/>
            <w:vAlign w:val="center"/>
          </w:tcPr>
          <w:p w14:paraId="4DCBA73B"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18DB615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3333324F" w14:textId="77777777" w:rsidR="00CC4100" w:rsidRPr="006D6338" w:rsidDel="00AF0840"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(147,730)</w:t>
            </w:r>
          </w:p>
        </w:tc>
        <w:tc>
          <w:tcPr>
            <w:tcW w:w="466" w:type="pct"/>
            <w:tcBorders>
              <w:top w:val="nil"/>
              <w:left w:val="nil"/>
              <w:right w:val="nil"/>
            </w:tcBorders>
            <w:vAlign w:val="center"/>
          </w:tcPr>
          <w:p w14:paraId="4E1DCE6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top w:val="nil"/>
              <w:left w:val="nil"/>
              <w:right w:val="nil"/>
            </w:tcBorders>
            <w:noWrap/>
            <w:vAlign w:val="center"/>
          </w:tcPr>
          <w:p w14:paraId="688406C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3" w:type="pct"/>
            <w:tcBorders>
              <w:top w:val="nil"/>
              <w:left w:val="nil"/>
              <w:right w:val="nil"/>
            </w:tcBorders>
            <w:vAlign w:val="center"/>
          </w:tcPr>
          <w:p w14:paraId="2C0402F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534" w:type="pct"/>
            <w:tcBorders>
              <w:top w:val="nil"/>
              <w:left w:val="nil"/>
              <w:right w:val="nil"/>
            </w:tcBorders>
            <w:noWrap/>
            <w:vAlign w:val="center"/>
          </w:tcPr>
          <w:p w14:paraId="30F18F73" w14:textId="77777777" w:rsidR="00CC4100" w:rsidRPr="006D6338" w:rsidDel="00AF0840"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147,730</w:t>
            </w:r>
          </w:p>
        </w:tc>
        <w:tc>
          <w:tcPr>
            <w:tcW w:w="534" w:type="pct"/>
            <w:tcBorders>
              <w:top w:val="nil"/>
              <w:left w:val="nil"/>
              <w:right w:val="nil"/>
            </w:tcBorders>
            <w:noWrap/>
            <w:vAlign w:val="center"/>
          </w:tcPr>
          <w:p w14:paraId="3E18F59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r>
      <w:tr w:rsidR="00CC4100" w:rsidRPr="006D6338" w14:paraId="1238BD9B" w14:textId="77777777" w:rsidTr="00A44FCD">
        <w:trPr>
          <w:trHeight w:val="300"/>
        </w:trPr>
        <w:tc>
          <w:tcPr>
            <w:tcW w:w="1067" w:type="pct"/>
            <w:noWrap/>
            <w:vAlign w:val="bottom"/>
            <w:hideMark/>
          </w:tcPr>
          <w:p w14:paraId="2CDDE6B4"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Warrants lapsed </w:t>
            </w:r>
          </w:p>
        </w:tc>
        <w:tc>
          <w:tcPr>
            <w:tcW w:w="468" w:type="pct"/>
            <w:tcBorders>
              <w:left w:val="nil"/>
              <w:bottom w:val="single" w:sz="4" w:space="0" w:color="auto"/>
              <w:right w:val="nil"/>
            </w:tcBorders>
            <w:noWrap/>
            <w:vAlign w:val="center"/>
            <w:hideMark/>
          </w:tcPr>
          <w:p w14:paraId="57E8432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left w:val="nil"/>
              <w:bottom w:val="single" w:sz="4" w:space="0" w:color="auto"/>
              <w:right w:val="nil"/>
            </w:tcBorders>
            <w:noWrap/>
            <w:vAlign w:val="center"/>
            <w:hideMark/>
          </w:tcPr>
          <w:p w14:paraId="046639F8"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466" w:type="pct"/>
            <w:tcBorders>
              <w:left w:val="nil"/>
              <w:bottom w:val="single" w:sz="4" w:space="0" w:color="auto"/>
              <w:right w:val="nil"/>
            </w:tcBorders>
            <w:noWrap/>
            <w:vAlign w:val="center"/>
            <w:hideMark/>
          </w:tcPr>
          <w:p w14:paraId="60CA950A"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(72,844)</w:t>
            </w:r>
          </w:p>
        </w:tc>
        <w:tc>
          <w:tcPr>
            <w:tcW w:w="466" w:type="pct"/>
            <w:tcBorders>
              <w:left w:val="nil"/>
              <w:bottom w:val="single" w:sz="4" w:space="0" w:color="auto"/>
              <w:right w:val="nil"/>
            </w:tcBorders>
            <w:vAlign w:val="center"/>
            <w:hideMark/>
          </w:tcPr>
          <w:p w14:paraId="56C49871"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466" w:type="pct"/>
            <w:tcBorders>
              <w:left w:val="nil"/>
              <w:bottom w:val="single" w:sz="4" w:space="0" w:color="auto"/>
              <w:right w:val="nil"/>
            </w:tcBorders>
            <w:noWrap/>
            <w:vAlign w:val="center"/>
            <w:hideMark/>
          </w:tcPr>
          <w:p w14:paraId="4F1911E6"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3" w:type="pct"/>
            <w:tcBorders>
              <w:left w:val="nil"/>
              <w:bottom w:val="single" w:sz="4" w:space="0" w:color="auto"/>
              <w:right w:val="nil"/>
            </w:tcBorders>
            <w:vAlign w:val="center"/>
            <w:hideMark/>
          </w:tcPr>
          <w:p w14:paraId="0FD07F25"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534" w:type="pct"/>
            <w:tcBorders>
              <w:left w:val="nil"/>
              <w:bottom w:val="single" w:sz="4" w:space="0" w:color="auto"/>
              <w:right w:val="nil"/>
            </w:tcBorders>
            <w:noWrap/>
            <w:vAlign w:val="center"/>
            <w:hideMark/>
          </w:tcPr>
          <w:p w14:paraId="4CAA7912"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72,844</w:t>
            </w:r>
          </w:p>
        </w:tc>
        <w:tc>
          <w:tcPr>
            <w:tcW w:w="534" w:type="pct"/>
            <w:tcBorders>
              <w:left w:val="nil"/>
              <w:bottom w:val="single" w:sz="4" w:space="0" w:color="auto"/>
              <w:right w:val="nil"/>
            </w:tcBorders>
            <w:noWrap/>
            <w:vAlign w:val="center"/>
            <w:hideMark/>
          </w:tcPr>
          <w:p w14:paraId="42F37E15" w14:textId="77777777" w:rsidR="00CC4100" w:rsidRPr="006D6338" w:rsidRDefault="00CC4100" w:rsidP="00A44FCD">
            <w:pPr>
              <w:jc w:val="right"/>
              <w:rPr>
                <w:rFonts w:ascii="Calibri" w:eastAsia="Calibri" w:hAnsi="Calibri" w:cs="Calibri"/>
                <w:color w:val="000000"/>
                <w:sz w:val="16"/>
                <w:szCs w:val="16"/>
              </w:rPr>
            </w:pPr>
            <w:r w:rsidRPr="006D6338">
              <w:rPr>
                <w:rFonts w:ascii="Calibri" w:eastAsia="Calibri" w:hAnsi="Calibri" w:cs="Calibri"/>
                <w:color w:val="000000"/>
                <w:sz w:val="16"/>
                <w:szCs w:val="16"/>
              </w:rPr>
              <w:t>-</w:t>
            </w:r>
          </w:p>
        </w:tc>
      </w:tr>
      <w:tr w:rsidR="00CC4100" w:rsidRPr="006D6338" w14:paraId="27A26F91" w14:textId="77777777" w:rsidTr="00A44FCD">
        <w:trPr>
          <w:trHeight w:val="300"/>
        </w:trPr>
        <w:tc>
          <w:tcPr>
            <w:tcW w:w="1067" w:type="pct"/>
            <w:noWrap/>
            <w:vAlign w:val="bottom"/>
            <w:hideMark/>
          </w:tcPr>
          <w:p w14:paraId="25CE8BD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Total transactions with owners</w:t>
            </w:r>
          </w:p>
        </w:tc>
        <w:tc>
          <w:tcPr>
            <w:tcW w:w="468" w:type="pct"/>
            <w:tcBorders>
              <w:top w:val="single" w:sz="4" w:space="0" w:color="auto"/>
              <w:left w:val="nil"/>
              <w:bottom w:val="nil"/>
              <w:right w:val="nil"/>
            </w:tcBorders>
            <w:noWrap/>
            <w:vAlign w:val="center"/>
            <w:hideMark/>
          </w:tcPr>
          <w:p w14:paraId="7FD7C192"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291,125</w:t>
            </w:r>
          </w:p>
        </w:tc>
        <w:tc>
          <w:tcPr>
            <w:tcW w:w="466" w:type="pct"/>
            <w:tcBorders>
              <w:top w:val="single" w:sz="4" w:space="0" w:color="auto"/>
              <w:left w:val="nil"/>
              <w:bottom w:val="nil"/>
              <w:right w:val="nil"/>
            </w:tcBorders>
            <w:noWrap/>
            <w:vAlign w:val="center"/>
            <w:hideMark/>
          </w:tcPr>
          <w:p w14:paraId="1329F1A8"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1,672,438</w:t>
            </w:r>
          </w:p>
        </w:tc>
        <w:tc>
          <w:tcPr>
            <w:tcW w:w="466" w:type="pct"/>
            <w:tcBorders>
              <w:top w:val="single" w:sz="4" w:space="0" w:color="auto"/>
              <w:left w:val="nil"/>
              <w:bottom w:val="nil"/>
              <w:right w:val="nil"/>
            </w:tcBorders>
            <w:noWrap/>
            <w:vAlign w:val="center"/>
            <w:hideMark/>
          </w:tcPr>
          <w:p w14:paraId="4B2877FF"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(56,490)</w:t>
            </w:r>
          </w:p>
        </w:tc>
        <w:tc>
          <w:tcPr>
            <w:tcW w:w="466" w:type="pct"/>
            <w:tcBorders>
              <w:top w:val="single" w:sz="4" w:space="0" w:color="auto"/>
              <w:left w:val="nil"/>
              <w:bottom w:val="nil"/>
              <w:right w:val="nil"/>
            </w:tcBorders>
            <w:vAlign w:val="center"/>
          </w:tcPr>
          <w:p w14:paraId="6A9053CA"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w:t>
            </w:r>
          </w:p>
        </w:tc>
        <w:tc>
          <w:tcPr>
            <w:tcW w:w="466" w:type="pct"/>
            <w:tcBorders>
              <w:top w:val="single" w:sz="4" w:space="0" w:color="auto"/>
              <w:left w:val="nil"/>
              <w:bottom w:val="nil"/>
              <w:right w:val="nil"/>
            </w:tcBorders>
            <w:noWrap/>
            <w:vAlign w:val="center"/>
          </w:tcPr>
          <w:p w14:paraId="3DEB6AA3"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99,568</w:t>
            </w:r>
          </w:p>
        </w:tc>
        <w:tc>
          <w:tcPr>
            <w:tcW w:w="533" w:type="pct"/>
            <w:tcBorders>
              <w:top w:val="single" w:sz="4" w:space="0" w:color="auto"/>
              <w:left w:val="nil"/>
              <w:bottom w:val="nil"/>
              <w:right w:val="nil"/>
            </w:tcBorders>
            <w:vAlign w:val="center"/>
          </w:tcPr>
          <w:p w14:paraId="0B66CB88"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w:t>
            </w:r>
          </w:p>
        </w:tc>
        <w:tc>
          <w:tcPr>
            <w:tcW w:w="534" w:type="pct"/>
            <w:tcBorders>
              <w:top w:val="single" w:sz="4" w:space="0" w:color="auto"/>
              <w:left w:val="nil"/>
              <w:bottom w:val="nil"/>
              <w:right w:val="nil"/>
            </w:tcBorders>
            <w:noWrap/>
            <w:vAlign w:val="center"/>
            <w:hideMark/>
          </w:tcPr>
          <w:p w14:paraId="019ACB7F"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220,574</w:t>
            </w:r>
          </w:p>
        </w:tc>
        <w:tc>
          <w:tcPr>
            <w:tcW w:w="534" w:type="pct"/>
            <w:tcBorders>
              <w:top w:val="single" w:sz="4" w:space="0" w:color="auto"/>
              <w:left w:val="nil"/>
              <w:bottom w:val="nil"/>
              <w:right w:val="nil"/>
            </w:tcBorders>
            <w:noWrap/>
            <w:vAlign w:val="center"/>
            <w:hideMark/>
          </w:tcPr>
          <w:p w14:paraId="2A7D6542"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2,227,215</w:t>
            </w:r>
          </w:p>
        </w:tc>
      </w:tr>
      <w:tr w:rsidR="00CC4100" w:rsidRPr="006D6338" w14:paraId="066216AD" w14:textId="77777777" w:rsidTr="00A44FCD">
        <w:trPr>
          <w:trHeight w:val="300"/>
        </w:trPr>
        <w:tc>
          <w:tcPr>
            <w:tcW w:w="1067" w:type="pct"/>
            <w:noWrap/>
            <w:vAlign w:val="bottom"/>
          </w:tcPr>
          <w:p w14:paraId="1D9EE3CF" w14:textId="77777777" w:rsidR="00CC4100" w:rsidRPr="006D6338" w:rsidRDefault="00CC4100" w:rsidP="00A44FCD">
            <w:pPr>
              <w:rPr>
                <w:rFonts w:ascii="Calibri" w:eastAsia="Times New Roman" w:hAnsi="Calibri" w:cs="Calibri"/>
                <w:b/>
                <w:bCs/>
                <w:color w:val="000000"/>
                <w:sz w:val="16"/>
                <w:szCs w:val="16"/>
                <w:lang w:eastAsia="en-GB"/>
              </w:rPr>
            </w:pPr>
          </w:p>
        </w:tc>
        <w:tc>
          <w:tcPr>
            <w:tcW w:w="468" w:type="pct"/>
            <w:noWrap/>
            <w:vAlign w:val="center"/>
          </w:tcPr>
          <w:p w14:paraId="73963B06"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noWrap/>
            <w:vAlign w:val="center"/>
          </w:tcPr>
          <w:p w14:paraId="65634DED"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noWrap/>
            <w:vAlign w:val="center"/>
          </w:tcPr>
          <w:p w14:paraId="2DB15F2E" w14:textId="77777777" w:rsidR="00CC4100" w:rsidRPr="006D6338" w:rsidRDefault="00CC4100" w:rsidP="00A44FCD">
            <w:pPr>
              <w:jc w:val="right"/>
              <w:rPr>
                <w:rFonts w:ascii="Calibri" w:eastAsia="Times New Roman" w:hAnsi="Calibri" w:cs="Calibri"/>
                <w:color w:val="000000"/>
                <w:sz w:val="16"/>
                <w:szCs w:val="16"/>
                <w:lang w:eastAsia="en-GB"/>
              </w:rPr>
            </w:pPr>
          </w:p>
        </w:tc>
        <w:tc>
          <w:tcPr>
            <w:tcW w:w="466" w:type="pct"/>
            <w:vAlign w:val="center"/>
          </w:tcPr>
          <w:p w14:paraId="089D38A3" w14:textId="77777777" w:rsidR="00CC4100" w:rsidRPr="006D6338" w:rsidRDefault="00CC4100" w:rsidP="00A44FCD">
            <w:pPr>
              <w:jc w:val="right"/>
              <w:rPr>
                <w:rFonts w:ascii="Calibri" w:eastAsia="Times New Roman" w:hAnsi="Calibri" w:cs="Calibri"/>
                <w:sz w:val="16"/>
                <w:szCs w:val="16"/>
                <w:lang w:eastAsia="en-GB"/>
              </w:rPr>
            </w:pPr>
          </w:p>
        </w:tc>
        <w:tc>
          <w:tcPr>
            <w:tcW w:w="466" w:type="pct"/>
            <w:noWrap/>
            <w:vAlign w:val="center"/>
          </w:tcPr>
          <w:p w14:paraId="12927F4A" w14:textId="77777777" w:rsidR="00CC4100" w:rsidRPr="006D6338" w:rsidRDefault="00CC4100" w:rsidP="00A44FCD">
            <w:pPr>
              <w:jc w:val="right"/>
              <w:rPr>
                <w:rFonts w:ascii="Calibri" w:eastAsia="Times New Roman" w:hAnsi="Calibri" w:cs="Calibri"/>
                <w:sz w:val="16"/>
                <w:szCs w:val="16"/>
                <w:lang w:eastAsia="en-GB"/>
              </w:rPr>
            </w:pPr>
          </w:p>
        </w:tc>
        <w:tc>
          <w:tcPr>
            <w:tcW w:w="533" w:type="pct"/>
            <w:vAlign w:val="center"/>
          </w:tcPr>
          <w:p w14:paraId="1929E498"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tcPr>
          <w:p w14:paraId="77336339" w14:textId="77777777" w:rsidR="00CC4100" w:rsidRPr="006D6338" w:rsidRDefault="00CC4100" w:rsidP="00A44FCD">
            <w:pPr>
              <w:jc w:val="right"/>
              <w:rPr>
                <w:rFonts w:ascii="Calibri" w:eastAsia="Times New Roman" w:hAnsi="Calibri" w:cs="Calibri"/>
                <w:sz w:val="16"/>
                <w:szCs w:val="16"/>
                <w:lang w:eastAsia="en-GB"/>
              </w:rPr>
            </w:pPr>
          </w:p>
        </w:tc>
        <w:tc>
          <w:tcPr>
            <w:tcW w:w="534" w:type="pct"/>
            <w:noWrap/>
            <w:vAlign w:val="center"/>
          </w:tcPr>
          <w:p w14:paraId="097270E7" w14:textId="77777777" w:rsidR="00CC4100" w:rsidRPr="006D6338" w:rsidRDefault="00CC4100" w:rsidP="00A44FCD">
            <w:pPr>
              <w:jc w:val="right"/>
              <w:rPr>
                <w:rFonts w:ascii="Calibri" w:eastAsia="Calibri" w:hAnsi="Calibri" w:cs="Calibri"/>
                <w:color w:val="000000"/>
                <w:sz w:val="16"/>
                <w:szCs w:val="16"/>
              </w:rPr>
            </w:pPr>
          </w:p>
        </w:tc>
      </w:tr>
      <w:tr w:rsidR="00CC4100" w:rsidRPr="006D6338" w14:paraId="57C7FE4C" w14:textId="77777777" w:rsidTr="00A44FCD">
        <w:trPr>
          <w:trHeight w:val="300"/>
        </w:trPr>
        <w:tc>
          <w:tcPr>
            <w:tcW w:w="1067" w:type="pct"/>
            <w:noWrap/>
            <w:vAlign w:val="bottom"/>
            <w:hideMark/>
          </w:tcPr>
          <w:p w14:paraId="7C0CACA2"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Balance at 30 June 2026 (unaudited)</w:t>
            </w:r>
          </w:p>
        </w:tc>
        <w:tc>
          <w:tcPr>
            <w:tcW w:w="468" w:type="pct"/>
            <w:tcBorders>
              <w:top w:val="single" w:sz="4" w:space="0" w:color="auto"/>
              <w:left w:val="nil"/>
              <w:bottom w:val="double" w:sz="4" w:space="0" w:color="auto"/>
              <w:right w:val="nil"/>
            </w:tcBorders>
            <w:noWrap/>
            <w:vAlign w:val="center"/>
            <w:hideMark/>
          </w:tcPr>
          <w:p w14:paraId="0D47AF20"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1,534,400</w:t>
            </w:r>
          </w:p>
        </w:tc>
        <w:tc>
          <w:tcPr>
            <w:tcW w:w="466" w:type="pct"/>
            <w:tcBorders>
              <w:top w:val="single" w:sz="4" w:space="0" w:color="auto"/>
              <w:left w:val="nil"/>
              <w:bottom w:val="double" w:sz="4" w:space="0" w:color="auto"/>
              <w:right w:val="nil"/>
            </w:tcBorders>
            <w:noWrap/>
            <w:vAlign w:val="center"/>
            <w:hideMark/>
          </w:tcPr>
          <w:p w14:paraId="1216243D"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9,028,547</w:t>
            </w:r>
          </w:p>
        </w:tc>
        <w:tc>
          <w:tcPr>
            <w:tcW w:w="466" w:type="pct"/>
            <w:tcBorders>
              <w:top w:val="single" w:sz="4" w:space="0" w:color="auto"/>
              <w:left w:val="nil"/>
              <w:bottom w:val="double" w:sz="4" w:space="0" w:color="auto"/>
              <w:right w:val="nil"/>
            </w:tcBorders>
            <w:noWrap/>
            <w:vAlign w:val="center"/>
            <w:hideMark/>
          </w:tcPr>
          <w:p w14:paraId="7678E1D1"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b/>
                <w:bCs/>
                <w:color w:val="000000"/>
                <w:sz w:val="16"/>
                <w:szCs w:val="16"/>
              </w:rPr>
              <w:t>202,673</w:t>
            </w:r>
          </w:p>
        </w:tc>
        <w:tc>
          <w:tcPr>
            <w:tcW w:w="466" w:type="pct"/>
            <w:tcBorders>
              <w:top w:val="single" w:sz="4" w:space="0" w:color="auto"/>
              <w:left w:val="nil"/>
              <w:bottom w:val="double" w:sz="4" w:space="0" w:color="auto"/>
              <w:right w:val="nil"/>
            </w:tcBorders>
            <w:vAlign w:val="center"/>
            <w:hideMark/>
          </w:tcPr>
          <w:p w14:paraId="167C0ED5"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682,140</w:t>
            </w:r>
          </w:p>
        </w:tc>
        <w:tc>
          <w:tcPr>
            <w:tcW w:w="466" w:type="pct"/>
            <w:tcBorders>
              <w:top w:val="single" w:sz="4" w:space="0" w:color="auto"/>
              <w:left w:val="nil"/>
              <w:bottom w:val="double" w:sz="4" w:space="0" w:color="auto"/>
              <w:right w:val="nil"/>
            </w:tcBorders>
            <w:noWrap/>
            <w:vAlign w:val="center"/>
            <w:hideMark/>
          </w:tcPr>
          <w:p w14:paraId="3051B741"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(61,877)</w:t>
            </w:r>
          </w:p>
        </w:tc>
        <w:tc>
          <w:tcPr>
            <w:tcW w:w="533" w:type="pct"/>
            <w:tcBorders>
              <w:top w:val="single" w:sz="4" w:space="0" w:color="auto"/>
              <w:left w:val="nil"/>
              <w:bottom w:val="double" w:sz="4" w:space="0" w:color="auto"/>
              <w:right w:val="nil"/>
            </w:tcBorders>
            <w:vAlign w:val="center"/>
            <w:hideMark/>
          </w:tcPr>
          <w:p w14:paraId="49F00317" w14:textId="77777777" w:rsidR="00CC4100" w:rsidRPr="006D6338" w:rsidRDefault="00CC4100" w:rsidP="00A44FCD">
            <w:pPr>
              <w:jc w:val="right"/>
              <w:rPr>
                <w:rFonts w:ascii="Calibri" w:eastAsia="Calibri" w:hAnsi="Calibri" w:cs="Calibri"/>
                <w:b/>
                <w:bCs/>
                <w:color w:val="000000"/>
                <w:sz w:val="16"/>
                <w:szCs w:val="16"/>
              </w:rPr>
            </w:pPr>
            <w:r w:rsidRPr="006D6338">
              <w:rPr>
                <w:rFonts w:ascii="Calibri" w:eastAsia="Calibri" w:hAnsi="Calibri" w:cs="Calibri"/>
                <w:b/>
                <w:bCs/>
                <w:color w:val="000000"/>
                <w:sz w:val="16"/>
                <w:szCs w:val="16"/>
              </w:rPr>
              <w:t>(463,963)</w:t>
            </w:r>
          </w:p>
        </w:tc>
        <w:tc>
          <w:tcPr>
            <w:tcW w:w="534" w:type="pct"/>
            <w:tcBorders>
              <w:top w:val="single" w:sz="4" w:space="0" w:color="auto"/>
              <w:left w:val="nil"/>
              <w:bottom w:val="double" w:sz="4" w:space="0" w:color="auto"/>
              <w:right w:val="nil"/>
            </w:tcBorders>
            <w:noWrap/>
            <w:vAlign w:val="center"/>
            <w:hideMark/>
          </w:tcPr>
          <w:p w14:paraId="17B37854"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Calibri" w:hAnsi="Calibri" w:cs="Calibri"/>
                <w:b/>
                <w:bCs/>
                <w:color w:val="000000"/>
                <w:sz w:val="16"/>
                <w:szCs w:val="16"/>
              </w:rPr>
              <w:t>(4,301,305)</w:t>
            </w:r>
          </w:p>
        </w:tc>
        <w:tc>
          <w:tcPr>
            <w:tcW w:w="534" w:type="pct"/>
            <w:tcBorders>
              <w:top w:val="single" w:sz="4" w:space="0" w:color="auto"/>
              <w:left w:val="nil"/>
              <w:bottom w:val="double" w:sz="4" w:space="0" w:color="auto"/>
              <w:right w:val="nil"/>
            </w:tcBorders>
            <w:noWrap/>
            <w:vAlign w:val="center"/>
            <w:hideMark/>
          </w:tcPr>
          <w:p w14:paraId="5B1BE25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Calibri" w:hAnsi="Calibri" w:cs="Calibri"/>
                <w:b/>
                <w:bCs/>
                <w:color w:val="000000"/>
                <w:sz w:val="16"/>
                <w:szCs w:val="16"/>
              </w:rPr>
              <w:t>6,620,615</w:t>
            </w:r>
          </w:p>
        </w:tc>
      </w:tr>
    </w:tbl>
    <w:p w14:paraId="2E7394C2" w14:textId="77777777" w:rsidR="00CC4100" w:rsidRPr="006D6338" w:rsidRDefault="00CC4100" w:rsidP="00CC4100">
      <w:pPr>
        <w:spacing w:line="256" w:lineRule="auto"/>
        <w:rPr>
          <w:rFonts w:ascii="Calibri" w:eastAsia="Calibri" w:hAnsi="Calibri" w:cs="Calibri"/>
          <w:b/>
          <w:sz w:val="16"/>
          <w:szCs w:val="16"/>
        </w:rPr>
      </w:pPr>
    </w:p>
    <w:p w14:paraId="231EA694" w14:textId="77777777" w:rsidR="00CC4100" w:rsidRPr="006D6338" w:rsidRDefault="00CC4100" w:rsidP="00CC4100">
      <w:pPr>
        <w:spacing w:line="256" w:lineRule="auto"/>
        <w:rPr>
          <w:rFonts w:ascii="Calibri" w:eastAsia="Calibri" w:hAnsi="Calibri" w:cs="Calibri"/>
          <w:b/>
          <w:sz w:val="16"/>
          <w:szCs w:val="16"/>
        </w:rPr>
      </w:pPr>
      <w:r w:rsidRPr="006D6338">
        <w:rPr>
          <w:rFonts w:ascii="Calibri" w:eastAsia="Calibri" w:hAnsi="Calibri" w:cs="Calibri"/>
          <w:b/>
          <w:sz w:val="16"/>
          <w:szCs w:val="16"/>
        </w:rPr>
        <w:t xml:space="preserve">Other Reserves </w:t>
      </w:r>
    </w:p>
    <w:p w14:paraId="69E935E8" w14:textId="77777777" w:rsidR="00CC4100" w:rsidRPr="006D6338" w:rsidRDefault="00CC4100" w:rsidP="00CC4100">
      <w:pPr>
        <w:spacing w:line="256" w:lineRule="auto"/>
        <w:jc w:val="both"/>
        <w:rPr>
          <w:rFonts w:ascii="Calibri" w:eastAsia="Calibri" w:hAnsi="Calibri" w:cs="Calibri"/>
          <w:b/>
          <w:sz w:val="16"/>
          <w:szCs w:val="16"/>
        </w:rPr>
      </w:pPr>
      <w:r w:rsidRPr="006D6338">
        <w:rPr>
          <w:rFonts w:ascii="Calibri" w:eastAsia="Calibri" w:hAnsi="Calibri" w:cs="Calibri"/>
          <w:bCs/>
          <w:sz w:val="16"/>
          <w:szCs w:val="16"/>
        </w:rPr>
        <w:t xml:space="preserve">Other reserves represents all other reserve balances, including the equity component of the Convertible loan notes issued by the Group (see note 7), and the Merger Reserve which represents the difference between the nominal value of consideration paid for shares acquired in entities under common control and the nominal value of those shares. </w:t>
      </w:r>
      <w:r w:rsidRPr="006D6338">
        <w:rPr>
          <w:rFonts w:ascii="Calibri" w:eastAsia="Calibri" w:hAnsi="Calibri" w:cs="Calibri"/>
          <w:b/>
          <w:sz w:val="16"/>
          <w:szCs w:val="16"/>
        </w:rPr>
        <w:br w:type="page"/>
        <w:t>Notes to the interim financial information</w:t>
      </w:r>
    </w:p>
    <w:p w14:paraId="32C603B0" w14:textId="77777777" w:rsidR="00CC4100" w:rsidRPr="006D6338" w:rsidRDefault="00CC4100" w:rsidP="00CC4100">
      <w:pPr>
        <w:spacing w:before="12" w:line="276" w:lineRule="auto"/>
        <w:ind w:left="423" w:right="-6" w:hanging="404"/>
        <w:jc w:val="both"/>
        <w:rPr>
          <w:rFonts w:ascii="Calibri" w:eastAsia="Calibri" w:hAnsi="Calibri" w:cs="Calibri"/>
          <w:bCs/>
          <w:i/>
          <w:iCs/>
          <w:sz w:val="16"/>
          <w:szCs w:val="16"/>
        </w:rPr>
      </w:pPr>
      <w:r w:rsidRPr="006D6338">
        <w:rPr>
          <w:rFonts w:ascii="Calibri" w:eastAsia="Calibri" w:hAnsi="Calibri" w:cs="Calibri"/>
          <w:bCs/>
          <w:i/>
          <w:iCs/>
          <w:sz w:val="16"/>
          <w:szCs w:val="16"/>
        </w:rPr>
        <w:t>for the six months ended 30 June 2026</w:t>
      </w:r>
    </w:p>
    <w:p w14:paraId="71883AD2" w14:textId="77777777" w:rsidR="00CC4100" w:rsidRPr="006D6338" w:rsidRDefault="00CC4100" w:rsidP="00CC4100">
      <w:pPr>
        <w:widowControl w:val="0"/>
        <w:autoSpaceDE w:val="0"/>
        <w:autoSpaceDN w:val="0"/>
        <w:rPr>
          <w:rFonts w:ascii="Calibri" w:eastAsia="Arial" w:hAnsi="Calibri" w:cs="Calibri"/>
          <w:sz w:val="16"/>
          <w:szCs w:val="16"/>
        </w:rPr>
      </w:pPr>
    </w:p>
    <w:p w14:paraId="124579DC"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sz w:val="16"/>
          <w:szCs w:val="16"/>
        </w:rPr>
      </w:pPr>
      <w:r w:rsidRPr="006D6338">
        <w:rPr>
          <w:rFonts w:ascii="Calibri" w:eastAsia="Arial" w:hAnsi="Calibri" w:cs="Calibri"/>
          <w:b/>
          <w:bCs/>
          <w:sz w:val="16"/>
          <w:szCs w:val="16"/>
        </w:rPr>
        <w:t>Presentation of accounts and accounting</w:t>
      </w:r>
      <w:r w:rsidRPr="006D6338">
        <w:rPr>
          <w:rFonts w:ascii="Calibri" w:eastAsia="Arial" w:hAnsi="Calibri" w:cs="Calibri"/>
          <w:b/>
          <w:bCs/>
          <w:spacing w:val="-6"/>
          <w:sz w:val="16"/>
          <w:szCs w:val="16"/>
        </w:rPr>
        <w:t xml:space="preserve"> </w:t>
      </w:r>
      <w:r w:rsidRPr="006D6338">
        <w:rPr>
          <w:rFonts w:ascii="Calibri" w:eastAsia="Arial" w:hAnsi="Calibri" w:cs="Calibri"/>
          <w:b/>
          <w:bCs/>
          <w:sz w:val="16"/>
          <w:szCs w:val="16"/>
        </w:rPr>
        <w:t>policies</w:t>
      </w:r>
    </w:p>
    <w:p w14:paraId="0E60B23C" w14:textId="77777777" w:rsidR="00CC4100" w:rsidRPr="006D6338" w:rsidRDefault="00CC4100" w:rsidP="00CC4100">
      <w:pPr>
        <w:widowControl w:val="0"/>
        <w:autoSpaceDE w:val="0"/>
        <w:autoSpaceDN w:val="0"/>
        <w:rPr>
          <w:rFonts w:ascii="Calibri" w:eastAsia="Arial" w:hAnsi="Calibri" w:cs="Calibri"/>
          <w:sz w:val="16"/>
          <w:szCs w:val="16"/>
        </w:rPr>
      </w:pPr>
    </w:p>
    <w:p w14:paraId="2EA25BF3" w14:textId="77777777" w:rsidR="00CC4100" w:rsidRPr="006D6338" w:rsidRDefault="00CC4100" w:rsidP="00CC4100">
      <w:pPr>
        <w:widowControl w:val="0"/>
        <w:autoSpaceDE w:val="0"/>
        <w:autoSpaceDN w:val="0"/>
        <w:rPr>
          <w:rFonts w:ascii="Calibri" w:eastAsia="Arial" w:hAnsi="Calibri" w:cs="Calibri"/>
          <w:b/>
          <w:bCs/>
          <w:sz w:val="16"/>
          <w:szCs w:val="16"/>
        </w:rPr>
      </w:pPr>
      <w:r w:rsidRPr="006D6338">
        <w:rPr>
          <w:rFonts w:ascii="Calibri" w:eastAsia="Arial" w:hAnsi="Calibri" w:cs="Calibri"/>
          <w:b/>
          <w:bCs/>
          <w:sz w:val="16"/>
          <w:szCs w:val="16"/>
        </w:rPr>
        <w:t>(a) Reporting Entity</w:t>
      </w:r>
    </w:p>
    <w:p w14:paraId="25AE3CF1" w14:textId="1AAD8E3D"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16"/>
          <w:szCs w:val="16"/>
        </w:rPr>
        <w:t xml:space="preserve">Fulcrum Metals </w:t>
      </w:r>
      <w:r w:rsidR="00C11396">
        <w:rPr>
          <w:rFonts w:ascii="Calibri" w:eastAsia="Arial" w:hAnsi="Calibri" w:cs="Calibri"/>
          <w:sz w:val="16"/>
          <w:szCs w:val="16"/>
        </w:rPr>
        <w:t>Plc</w:t>
      </w:r>
      <w:r w:rsidRPr="006D6338">
        <w:rPr>
          <w:rFonts w:ascii="Calibri" w:eastAsia="Arial" w:hAnsi="Calibri" w:cs="Calibri"/>
          <w:sz w:val="16"/>
          <w:szCs w:val="16"/>
        </w:rPr>
        <w:t xml:space="preserve"> (the “Company”) and its subsidiaries (together, the “Group”) have a portfolio of highly prospective assets at different stages of development but it’s strategic focus is on the reprocessing of tailings (mine waste) at its Teck-Hughes and Sylvanite gold tailings projects, located in Kirkland Lake, Ontario, Canada.</w:t>
      </w:r>
    </w:p>
    <w:p w14:paraId="28649DDA" w14:textId="77777777" w:rsidR="00CC4100" w:rsidRPr="006D6338" w:rsidRDefault="00CC4100" w:rsidP="00CC4100">
      <w:pPr>
        <w:widowControl w:val="0"/>
        <w:tabs>
          <w:tab w:val="left" w:pos="0"/>
        </w:tabs>
        <w:autoSpaceDE w:val="0"/>
        <w:autoSpaceDN w:val="0"/>
        <w:spacing w:before="5"/>
        <w:ind w:right="-24"/>
        <w:jc w:val="both"/>
        <w:rPr>
          <w:rFonts w:ascii="Calibri" w:eastAsia="Arial" w:hAnsi="Calibri" w:cs="Calibri"/>
          <w:sz w:val="16"/>
          <w:szCs w:val="16"/>
        </w:rPr>
      </w:pPr>
    </w:p>
    <w:p w14:paraId="370885CB" w14:textId="77777777" w:rsidR="00CC4100" w:rsidRPr="006D6338" w:rsidRDefault="00CC4100" w:rsidP="00CC4100">
      <w:pPr>
        <w:widowControl w:val="0"/>
        <w:tabs>
          <w:tab w:val="left" w:pos="0"/>
        </w:tabs>
        <w:autoSpaceDE w:val="0"/>
        <w:autoSpaceDN w:val="0"/>
        <w:spacing w:before="1"/>
        <w:ind w:right="-24"/>
        <w:jc w:val="both"/>
        <w:rPr>
          <w:rFonts w:ascii="Calibri" w:eastAsia="Arial" w:hAnsi="Calibri" w:cs="Calibri"/>
          <w:sz w:val="16"/>
          <w:szCs w:val="16"/>
        </w:rPr>
      </w:pPr>
      <w:r w:rsidRPr="006D6338">
        <w:rPr>
          <w:rFonts w:ascii="Calibri" w:eastAsia="Arial" w:hAnsi="Calibri" w:cs="Calibri"/>
          <w:sz w:val="16"/>
          <w:szCs w:val="16"/>
        </w:rPr>
        <w:t>The Company is a public limited company, incorporated, domiciled, and registered in England and Wales. The registered number</w:t>
      </w:r>
      <w:r w:rsidRPr="006D6338">
        <w:rPr>
          <w:rFonts w:ascii="Calibri" w:eastAsia="Arial" w:hAnsi="Calibri" w:cs="Calibri"/>
          <w:spacing w:val="-7"/>
          <w:sz w:val="16"/>
          <w:szCs w:val="16"/>
        </w:rPr>
        <w:t xml:space="preserve"> </w:t>
      </w:r>
      <w:r w:rsidRPr="006D6338">
        <w:rPr>
          <w:rFonts w:ascii="Calibri" w:eastAsia="Arial" w:hAnsi="Calibri" w:cs="Calibri"/>
          <w:sz w:val="16"/>
          <w:szCs w:val="16"/>
        </w:rPr>
        <w:t>is</w:t>
      </w:r>
      <w:r w:rsidRPr="006D6338">
        <w:rPr>
          <w:rFonts w:ascii="Calibri" w:eastAsia="Arial" w:hAnsi="Calibri" w:cs="Calibri"/>
          <w:spacing w:val="-4"/>
          <w:sz w:val="16"/>
          <w:szCs w:val="16"/>
        </w:rPr>
        <w:t xml:space="preserve"> </w:t>
      </w:r>
      <w:r w:rsidRPr="006D6338">
        <w:rPr>
          <w:rFonts w:ascii="Calibri" w:eastAsia="Arial" w:hAnsi="Calibri" w:cs="Calibri"/>
          <w:sz w:val="16"/>
          <w:szCs w:val="16"/>
        </w:rPr>
        <w:t>14409193.</w:t>
      </w:r>
      <w:r w:rsidRPr="006D6338">
        <w:rPr>
          <w:rFonts w:ascii="Calibri" w:eastAsia="Arial" w:hAnsi="Calibri" w:cs="Calibri"/>
          <w:spacing w:val="-6"/>
          <w:sz w:val="16"/>
          <w:szCs w:val="16"/>
        </w:rPr>
        <w:t xml:space="preserve"> </w:t>
      </w:r>
      <w:r w:rsidRPr="006D6338">
        <w:rPr>
          <w:rFonts w:ascii="Calibri" w:eastAsia="Arial" w:hAnsi="Calibri" w:cs="Calibri"/>
          <w:sz w:val="16"/>
          <w:szCs w:val="16"/>
        </w:rPr>
        <w:t>The</w:t>
      </w:r>
      <w:r w:rsidRPr="006D6338">
        <w:rPr>
          <w:rFonts w:ascii="Calibri" w:eastAsia="Arial" w:hAnsi="Calibri" w:cs="Calibri"/>
          <w:spacing w:val="-6"/>
          <w:sz w:val="16"/>
          <w:szCs w:val="16"/>
        </w:rPr>
        <w:t xml:space="preserve"> </w:t>
      </w:r>
      <w:r w:rsidRPr="006D6338">
        <w:rPr>
          <w:rFonts w:ascii="Calibri" w:eastAsia="Arial" w:hAnsi="Calibri" w:cs="Calibri"/>
          <w:sz w:val="16"/>
          <w:szCs w:val="16"/>
        </w:rPr>
        <w:t>company’s</w:t>
      </w:r>
      <w:r w:rsidRPr="006D6338">
        <w:rPr>
          <w:rFonts w:ascii="Calibri" w:eastAsia="Arial" w:hAnsi="Calibri" w:cs="Calibri"/>
          <w:spacing w:val="-5"/>
          <w:sz w:val="16"/>
          <w:szCs w:val="16"/>
        </w:rPr>
        <w:t xml:space="preserve"> </w:t>
      </w:r>
      <w:r w:rsidRPr="006D6338">
        <w:rPr>
          <w:rFonts w:ascii="Calibri" w:eastAsia="Arial" w:hAnsi="Calibri" w:cs="Calibri"/>
          <w:sz w:val="16"/>
          <w:szCs w:val="16"/>
        </w:rPr>
        <w:t>registered</w:t>
      </w:r>
      <w:r w:rsidRPr="006D6338">
        <w:rPr>
          <w:rFonts w:ascii="Calibri" w:eastAsia="Arial" w:hAnsi="Calibri" w:cs="Calibri"/>
          <w:spacing w:val="-4"/>
          <w:sz w:val="16"/>
          <w:szCs w:val="16"/>
        </w:rPr>
        <w:t xml:space="preserve"> </w:t>
      </w:r>
      <w:r w:rsidRPr="006D6338">
        <w:rPr>
          <w:rFonts w:ascii="Calibri" w:eastAsia="Arial" w:hAnsi="Calibri" w:cs="Calibri"/>
          <w:sz w:val="16"/>
          <w:szCs w:val="16"/>
        </w:rPr>
        <w:t>office</w:t>
      </w:r>
      <w:r w:rsidRPr="006D6338">
        <w:rPr>
          <w:rFonts w:ascii="Calibri" w:eastAsia="Arial" w:hAnsi="Calibri" w:cs="Calibri"/>
          <w:spacing w:val="-6"/>
          <w:sz w:val="16"/>
          <w:szCs w:val="16"/>
        </w:rPr>
        <w:t xml:space="preserve"> </w:t>
      </w:r>
      <w:r w:rsidRPr="006D6338">
        <w:rPr>
          <w:rFonts w:ascii="Calibri" w:eastAsia="Arial" w:hAnsi="Calibri" w:cs="Calibri"/>
          <w:sz w:val="16"/>
          <w:szCs w:val="16"/>
        </w:rPr>
        <w:t>and</w:t>
      </w:r>
      <w:r w:rsidRPr="006D6338">
        <w:rPr>
          <w:rFonts w:ascii="Calibri" w:eastAsia="Arial" w:hAnsi="Calibri" w:cs="Calibri"/>
          <w:spacing w:val="-3"/>
          <w:sz w:val="16"/>
          <w:szCs w:val="16"/>
        </w:rPr>
        <w:t xml:space="preserve"> </w:t>
      </w:r>
      <w:r w:rsidRPr="006D6338">
        <w:rPr>
          <w:rFonts w:ascii="Calibri" w:eastAsia="Arial" w:hAnsi="Calibri" w:cs="Calibri"/>
          <w:sz w:val="16"/>
          <w:szCs w:val="16"/>
        </w:rPr>
        <w:t>principal</w:t>
      </w:r>
      <w:r w:rsidRPr="006D6338">
        <w:rPr>
          <w:rFonts w:ascii="Calibri" w:eastAsia="Arial" w:hAnsi="Calibri" w:cs="Calibri"/>
          <w:spacing w:val="-8"/>
          <w:sz w:val="16"/>
          <w:szCs w:val="16"/>
        </w:rPr>
        <w:t xml:space="preserve"> </w:t>
      </w:r>
      <w:r w:rsidRPr="006D6338">
        <w:rPr>
          <w:rFonts w:ascii="Calibri" w:eastAsia="Arial" w:hAnsi="Calibri" w:cs="Calibri"/>
          <w:sz w:val="16"/>
          <w:szCs w:val="16"/>
        </w:rPr>
        <w:t>place</w:t>
      </w:r>
      <w:r w:rsidRPr="006D6338">
        <w:rPr>
          <w:rFonts w:ascii="Calibri" w:eastAsia="Arial" w:hAnsi="Calibri" w:cs="Calibri"/>
          <w:spacing w:val="-3"/>
          <w:sz w:val="16"/>
          <w:szCs w:val="16"/>
        </w:rPr>
        <w:t xml:space="preserve"> </w:t>
      </w:r>
      <w:r w:rsidRPr="006D6338">
        <w:rPr>
          <w:rFonts w:ascii="Calibri" w:eastAsia="Arial" w:hAnsi="Calibri" w:cs="Calibri"/>
          <w:sz w:val="16"/>
          <w:szCs w:val="16"/>
        </w:rPr>
        <w:t>of</w:t>
      </w:r>
      <w:r w:rsidRPr="006D6338">
        <w:rPr>
          <w:rFonts w:ascii="Calibri" w:eastAsia="Arial" w:hAnsi="Calibri" w:cs="Calibri"/>
          <w:spacing w:val="-4"/>
          <w:sz w:val="16"/>
          <w:szCs w:val="16"/>
        </w:rPr>
        <w:t xml:space="preserve"> </w:t>
      </w:r>
      <w:r w:rsidRPr="006D6338">
        <w:rPr>
          <w:rFonts w:ascii="Calibri" w:eastAsia="Arial" w:hAnsi="Calibri" w:cs="Calibri"/>
          <w:sz w:val="16"/>
          <w:szCs w:val="16"/>
        </w:rPr>
        <w:t>business</w:t>
      </w:r>
      <w:r w:rsidRPr="006D6338">
        <w:rPr>
          <w:rFonts w:ascii="Calibri" w:eastAsia="Arial" w:hAnsi="Calibri" w:cs="Calibri"/>
          <w:spacing w:val="-3"/>
          <w:sz w:val="16"/>
          <w:szCs w:val="16"/>
        </w:rPr>
        <w:t xml:space="preserve"> </w:t>
      </w:r>
      <w:r w:rsidRPr="006D6338">
        <w:rPr>
          <w:rFonts w:ascii="Calibri" w:eastAsia="Arial" w:hAnsi="Calibri" w:cs="Calibri"/>
          <w:sz w:val="16"/>
          <w:szCs w:val="16"/>
        </w:rPr>
        <w:t>is</w:t>
      </w:r>
      <w:r w:rsidRPr="006D6338">
        <w:rPr>
          <w:rFonts w:ascii="Calibri" w:eastAsia="Arial" w:hAnsi="Calibri" w:cs="Calibri"/>
          <w:spacing w:val="-7"/>
          <w:sz w:val="16"/>
          <w:szCs w:val="16"/>
        </w:rPr>
        <w:t xml:space="preserve"> </w:t>
      </w:r>
      <w:r w:rsidRPr="006D6338">
        <w:rPr>
          <w:rFonts w:ascii="Calibri" w:eastAsia="Arial" w:hAnsi="Calibri" w:cs="Calibri"/>
          <w:sz w:val="16"/>
          <w:szCs w:val="16"/>
        </w:rPr>
        <w:t>Unit 58, Basepoint Business Centre Isidore Road, Bromsgrove Enterprise Park, Bromsgrove, Worcestershire, B60 3ET, England.</w:t>
      </w:r>
    </w:p>
    <w:p w14:paraId="5D018F2A" w14:textId="77777777" w:rsidR="00CC4100" w:rsidRPr="006D6338" w:rsidRDefault="00CC4100" w:rsidP="00CC4100">
      <w:pPr>
        <w:widowControl w:val="0"/>
        <w:tabs>
          <w:tab w:val="left" w:pos="0"/>
        </w:tabs>
        <w:autoSpaceDE w:val="0"/>
        <w:autoSpaceDN w:val="0"/>
        <w:spacing w:before="1"/>
        <w:ind w:right="-24"/>
        <w:jc w:val="both"/>
        <w:rPr>
          <w:rFonts w:ascii="Calibri" w:eastAsia="Arial" w:hAnsi="Calibri" w:cs="Calibri"/>
          <w:sz w:val="16"/>
          <w:szCs w:val="16"/>
        </w:rPr>
      </w:pPr>
    </w:p>
    <w:p w14:paraId="1FDE36F8" w14:textId="77777777" w:rsidR="00CC4100" w:rsidRPr="006D6338" w:rsidRDefault="00CC4100" w:rsidP="00CC4100">
      <w:pPr>
        <w:widowControl w:val="0"/>
        <w:autoSpaceDE w:val="0"/>
        <w:autoSpaceDN w:val="0"/>
        <w:rPr>
          <w:rFonts w:ascii="Calibri" w:eastAsia="Arial" w:hAnsi="Calibri" w:cs="Calibri"/>
          <w:sz w:val="16"/>
          <w:szCs w:val="16"/>
        </w:rPr>
      </w:pPr>
      <w:r w:rsidRPr="006D6338">
        <w:rPr>
          <w:rFonts w:ascii="Calibri" w:eastAsia="Arial" w:hAnsi="Calibri" w:cs="Calibri"/>
          <w:b/>
          <w:bCs/>
          <w:sz w:val="16"/>
          <w:szCs w:val="16"/>
        </w:rPr>
        <w:t>(b) Basis of</w:t>
      </w:r>
      <w:r w:rsidRPr="006D6338">
        <w:rPr>
          <w:rFonts w:ascii="Calibri" w:eastAsia="Arial" w:hAnsi="Calibri" w:cs="Calibri"/>
          <w:b/>
          <w:bCs/>
          <w:spacing w:val="-4"/>
          <w:sz w:val="16"/>
          <w:szCs w:val="16"/>
        </w:rPr>
        <w:t xml:space="preserve"> </w:t>
      </w:r>
      <w:r w:rsidRPr="006D6338">
        <w:rPr>
          <w:rFonts w:ascii="Calibri" w:eastAsia="Arial" w:hAnsi="Calibri" w:cs="Calibri"/>
          <w:b/>
          <w:bCs/>
          <w:sz w:val="16"/>
          <w:szCs w:val="16"/>
        </w:rPr>
        <w:t>preparation</w:t>
      </w:r>
    </w:p>
    <w:p w14:paraId="2AEF9379" w14:textId="379166F2" w:rsidR="00CC4100"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 xml:space="preserve">The interim financial statements of Fulcrum Metals </w:t>
      </w:r>
      <w:r w:rsidR="00C11396">
        <w:rPr>
          <w:rFonts w:ascii="Calibri" w:eastAsia="Calibri" w:hAnsi="Calibri" w:cs="Calibri"/>
          <w:sz w:val="16"/>
          <w:szCs w:val="16"/>
        </w:rPr>
        <w:t>Plc</w:t>
      </w:r>
      <w:r w:rsidRPr="006D6338">
        <w:rPr>
          <w:rFonts w:ascii="Calibri" w:eastAsia="Calibri" w:hAnsi="Calibri" w:cs="Calibri"/>
          <w:sz w:val="16"/>
          <w:szCs w:val="16"/>
        </w:rPr>
        <w:t xml:space="preserve"> are unaudited consolidated financial statements for the six months ended 30 June 2026 which have been prepared in accordance with UK adopted international accounting standards. They include unaudited comparatives for the six months ended 30 June 2025 together with audited comparatives for the year ended 31 December 2025.</w:t>
      </w:r>
    </w:p>
    <w:p w14:paraId="04AEB905" w14:textId="77777777" w:rsidR="0029675B" w:rsidRPr="006D6338" w:rsidRDefault="0029675B" w:rsidP="00CC4100">
      <w:pPr>
        <w:spacing w:line="256" w:lineRule="auto"/>
        <w:jc w:val="both"/>
        <w:rPr>
          <w:rFonts w:ascii="Calibri" w:eastAsia="Calibri" w:hAnsi="Calibri" w:cs="Calibri"/>
          <w:sz w:val="16"/>
          <w:szCs w:val="16"/>
        </w:rPr>
      </w:pPr>
    </w:p>
    <w:p w14:paraId="43F95875" w14:textId="77777777" w:rsidR="00CC4100" w:rsidRPr="006D6338"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The interim financial information does not include all notes of the type normally included in the annual financial report and therefore cannot be expected to provide as full an understanding of the financial performance, financial position and financing and investing activities of the group as the full financial report.</w:t>
      </w:r>
    </w:p>
    <w:p w14:paraId="579EDE60" w14:textId="77777777" w:rsidR="00CC4100" w:rsidRPr="006D6338" w:rsidRDefault="00CC4100" w:rsidP="00CC4100">
      <w:pPr>
        <w:spacing w:line="256" w:lineRule="auto"/>
        <w:jc w:val="both"/>
        <w:rPr>
          <w:rFonts w:ascii="Calibri" w:eastAsia="Calibri" w:hAnsi="Calibri" w:cs="Calibri"/>
          <w:sz w:val="16"/>
          <w:szCs w:val="16"/>
        </w:rPr>
      </w:pPr>
    </w:p>
    <w:p w14:paraId="4FC34FA1" w14:textId="77777777" w:rsidR="00CC4100" w:rsidRPr="006D6338"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 xml:space="preserve">The interim financial statements do not constitute statutory accounts within the meaning of section 434 of the Companies Act 2006. The statutory accounts for the year ended 31 December 2025 have been reported on by the company’s auditors and have been filed with the Registrar of Companies. The auditor’s report on those statutory accounts was unmodified and did not contain any statement under section 498(2) or section 498(3) of the Companies Act 2006. </w:t>
      </w:r>
    </w:p>
    <w:p w14:paraId="38970122" w14:textId="77777777" w:rsidR="00CC4100" w:rsidRPr="006D6338" w:rsidRDefault="00CC4100" w:rsidP="00CC4100">
      <w:pPr>
        <w:spacing w:line="256" w:lineRule="auto"/>
        <w:jc w:val="both"/>
        <w:rPr>
          <w:rFonts w:ascii="Calibri" w:eastAsia="Calibri" w:hAnsi="Calibri" w:cs="Calibri"/>
          <w:sz w:val="16"/>
          <w:szCs w:val="16"/>
        </w:rPr>
      </w:pPr>
    </w:p>
    <w:p w14:paraId="12D2A623" w14:textId="77777777" w:rsidR="00CC4100" w:rsidRPr="006D6338"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The interim financial statements for the six months ended 30 June 2026 have been prepared on the basis of accounting policies expected to be adopted for the year ended 31 December 2026. These are anticipated to be consistent with those set out in the Group’s latest financial statements for the year ended 31 December 2025. These accounting policies are drawn up in accordance with adopted International Accounting Standards (“IAS”) and International Financial Reporting Standards (“IFRS”) as issued by the International Accounting Standards Board.</w:t>
      </w:r>
    </w:p>
    <w:p w14:paraId="363C4D9B" w14:textId="77777777" w:rsidR="00CC4100" w:rsidRPr="006D6338" w:rsidRDefault="00CC4100" w:rsidP="00CC4100">
      <w:pPr>
        <w:widowControl w:val="0"/>
        <w:autoSpaceDE w:val="0"/>
        <w:autoSpaceDN w:val="0"/>
        <w:spacing w:before="240"/>
        <w:rPr>
          <w:rFonts w:ascii="Calibri" w:eastAsia="Arial" w:hAnsi="Calibri" w:cs="Calibri"/>
          <w:b/>
          <w:bCs/>
          <w:sz w:val="16"/>
          <w:szCs w:val="16"/>
        </w:rPr>
      </w:pPr>
      <w:r w:rsidRPr="006D6338">
        <w:rPr>
          <w:rFonts w:ascii="Calibri" w:eastAsia="Arial" w:hAnsi="Calibri" w:cs="Calibri"/>
          <w:b/>
          <w:bCs/>
          <w:sz w:val="16"/>
          <w:szCs w:val="16"/>
        </w:rPr>
        <w:t>(c) Going concern</w:t>
      </w:r>
    </w:p>
    <w:p w14:paraId="4279F253" w14:textId="77777777" w:rsidR="00CC4100" w:rsidRPr="006D6338" w:rsidRDefault="00CC4100" w:rsidP="00CC4100">
      <w:pPr>
        <w:spacing w:after="160" w:line="256" w:lineRule="auto"/>
        <w:jc w:val="both"/>
        <w:rPr>
          <w:rFonts w:ascii="Calibri" w:eastAsia="Calibri" w:hAnsi="Calibri" w:cs="Calibri"/>
          <w:sz w:val="16"/>
          <w:szCs w:val="16"/>
          <w:lang w:val="en-GB"/>
        </w:rPr>
      </w:pPr>
      <w:r w:rsidRPr="006D6338">
        <w:rPr>
          <w:rFonts w:ascii="Calibri" w:eastAsia="Calibri" w:hAnsi="Calibri" w:cs="Calibri"/>
          <w:sz w:val="16"/>
          <w:szCs w:val="16"/>
        </w:rPr>
        <w:t>The directors have considered the Group’s cash-flow forecasts, available funding and planned expenditure for a period of at least 12 months from the date of approval of this interim financial information. Based on this assessment, the directors have a reasonable expectation that the Group has adequate resources to continue in operational existence for the foreseeable future. Accordingly, the interim financial information has been prepared on a going concern basis. The directors have not identified a material uncertainty that may cast significant doubt on the Group’s ability to continue as a going concern.</w:t>
      </w:r>
    </w:p>
    <w:p w14:paraId="5B522AC6" w14:textId="77777777" w:rsidR="00CC4100" w:rsidRPr="006D6338" w:rsidRDefault="00CC4100" w:rsidP="00CC4100">
      <w:pPr>
        <w:widowControl w:val="0"/>
        <w:autoSpaceDE w:val="0"/>
        <w:autoSpaceDN w:val="0"/>
        <w:spacing w:before="240"/>
        <w:rPr>
          <w:rFonts w:ascii="Calibri" w:eastAsia="Arial" w:hAnsi="Calibri" w:cs="Calibri"/>
          <w:sz w:val="16"/>
          <w:szCs w:val="16"/>
        </w:rPr>
      </w:pPr>
      <w:r w:rsidRPr="006D6338">
        <w:rPr>
          <w:rFonts w:ascii="Calibri" w:eastAsia="Arial" w:hAnsi="Calibri" w:cs="Calibri"/>
          <w:b/>
          <w:bCs/>
          <w:sz w:val="16"/>
          <w:szCs w:val="16"/>
        </w:rPr>
        <w:t>(d) Basis of</w:t>
      </w:r>
      <w:r w:rsidRPr="006D6338">
        <w:rPr>
          <w:rFonts w:ascii="Calibri" w:eastAsia="Arial" w:hAnsi="Calibri" w:cs="Calibri"/>
          <w:b/>
          <w:bCs/>
          <w:spacing w:val="-4"/>
          <w:sz w:val="16"/>
          <w:szCs w:val="16"/>
        </w:rPr>
        <w:t xml:space="preserve"> </w:t>
      </w:r>
      <w:r w:rsidRPr="006D6338">
        <w:rPr>
          <w:rFonts w:ascii="Calibri" w:eastAsia="Arial" w:hAnsi="Calibri" w:cs="Calibri"/>
          <w:b/>
          <w:bCs/>
          <w:sz w:val="16"/>
          <w:szCs w:val="16"/>
        </w:rPr>
        <w:t>consolidation</w:t>
      </w:r>
    </w:p>
    <w:p w14:paraId="7A3FD8D9" w14:textId="60272888" w:rsidR="00CC4100" w:rsidRPr="006D6338" w:rsidRDefault="00CC4100" w:rsidP="00CC4100">
      <w:pPr>
        <w:widowControl w:val="0"/>
        <w:tabs>
          <w:tab w:val="left" w:pos="0"/>
        </w:tabs>
        <w:autoSpaceDE w:val="0"/>
        <w:autoSpaceDN w:val="0"/>
        <w:spacing w:before="29"/>
        <w:ind w:right="-24"/>
        <w:jc w:val="both"/>
        <w:rPr>
          <w:rFonts w:ascii="Calibri" w:eastAsia="Calibri" w:hAnsi="Calibri" w:cs="Calibri"/>
          <w:sz w:val="16"/>
          <w:szCs w:val="16"/>
        </w:rPr>
      </w:pPr>
      <w:r w:rsidRPr="006D6338">
        <w:rPr>
          <w:rFonts w:ascii="Calibri" w:eastAsia="Calibri" w:hAnsi="Calibri" w:cs="Calibri"/>
          <w:sz w:val="16"/>
          <w:szCs w:val="16"/>
        </w:rPr>
        <w:t xml:space="preserve">The consolidated interim financial information includes the results of Fulcrum Metals </w:t>
      </w:r>
      <w:r w:rsidR="00C11396">
        <w:rPr>
          <w:rFonts w:ascii="Calibri" w:eastAsia="Calibri" w:hAnsi="Calibri" w:cs="Calibri"/>
          <w:sz w:val="16"/>
          <w:szCs w:val="16"/>
        </w:rPr>
        <w:t>Plc</w:t>
      </w:r>
      <w:r w:rsidRPr="006D6338">
        <w:rPr>
          <w:rFonts w:ascii="Calibri" w:eastAsia="Calibri" w:hAnsi="Calibri" w:cs="Calibri"/>
          <w:sz w:val="16"/>
          <w:szCs w:val="16"/>
        </w:rPr>
        <w:t xml:space="preserve"> and its subsidiary undertakings. </w:t>
      </w:r>
    </w:p>
    <w:p w14:paraId="7E6F04C0" w14:textId="77777777" w:rsidR="00CC4100" w:rsidRPr="006D6338" w:rsidRDefault="00CC4100" w:rsidP="00CC4100">
      <w:pPr>
        <w:widowControl w:val="0"/>
        <w:tabs>
          <w:tab w:val="left" w:pos="0"/>
        </w:tabs>
        <w:autoSpaceDE w:val="0"/>
        <w:autoSpaceDN w:val="0"/>
        <w:spacing w:before="29"/>
        <w:ind w:right="-24"/>
        <w:jc w:val="both"/>
        <w:rPr>
          <w:rFonts w:ascii="Calibri" w:eastAsia="Calibri" w:hAnsi="Calibri" w:cs="Calibri"/>
          <w:sz w:val="16"/>
          <w:szCs w:val="16"/>
        </w:rPr>
      </w:pPr>
    </w:p>
    <w:p w14:paraId="041626A0" w14:textId="77777777" w:rsidR="00CC4100" w:rsidRPr="006D6338" w:rsidRDefault="00CC4100" w:rsidP="00CC4100">
      <w:pPr>
        <w:widowControl w:val="0"/>
        <w:tabs>
          <w:tab w:val="left" w:pos="0"/>
        </w:tabs>
        <w:autoSpaceDE w:val="0"/>
        <w:autoSpaceDN w:val="0"/>
        <w:spacing w:before="29"/>
        <w:ind w:right="-24"/>
        <w:jc w:val="both"/>
        <w:rPr>
          <w:rFonts w:ascii="Calibri" w:eastAsia="Calibri" w:hAnsi="Calibri" w:cs="Calibri"/>
          <w:sz w:val="16"/>
          <w:szCs w:val="16"/>
        </w:rPr>
      </w:pPr>
      <w:r w:rsidRPr="006D6338">
        <w:rPr>
          <w:rFonts w:ascii="Calibri" w:eastAsia="Calibri" w:hAnsi="Calibri" w:cs="Calibri"/>
          <w:sz w:val="16"/>
          <w:szCs w:val="16"/>
        </w:rPr>
        <w:t xml:space="preserve">The financial statements of all group companies are adjusted, where necessary, to ensure the use of consistent accounting policies. All intra-group transactions, balances, income and expenses are eliminated in full on consolidation. </w:t>
      </w:r>
    </w:p>
    <w:p w14:paraId="60D478C0" w14:textId="77777777" w:rsidR="00CC4100" w:rsidRPr="006D6338" w:rsidRDefault="00CC4100" w:rsidP="00CC4100">
      <w:pPr>
        <w:widowControl w:val="0"/>
        <w:tabs>
          <w:tab w:val="left" w:pos="0"/>
        </w:tabs>
        <w:autoSpaceDE w:val="0"/>
        <w:autoSpaceDN w:val="0"/>
        <w:spacing w:before="2"/>
        <w:ind w:right="-24"/>
        <w:jc w:val="both"/>
        <w:rPr>
          <w:rFonts w:ascii="Calibri" w:eastAsia="Calibri" w:hAnsi="Calibri" w:cs="Calibri"/>
          <w:sz w:val="16"/>
          <w:szCs w:val="16"/>
        </w:rPr>
      </w:pPr>
    </w:p>
    <w:p w14:paraId="52295988" w14:textId="77777777" w:rsidR="00CC4100" w:rsidRPr="006D6338" w:rsidRDefault="00CC4100" w:rsidP="00CC4100">
      <w:pPr>
        <w:widowControl w:val="0"/>
        <w:autoSpaceDE w:val="0"/>
        <w:autoSpaceDN w:val="0"/>
        <w:rPr>
          <w:rFonts w:ascii="Calibri" w:eastAsia="Arial" w:hAnsi="Calibri" w:cs="Calibri"/>
          <w:sz w:val="16"/>
          <w:szCs w:val="16"/>
        </w:rPr>
      </w:pPr>
      <w:r w:rsidRPr="006D6338">
        <w:rPr>
          <w:rFonts w:ascii="Calibri" w:eastAsia="Arial" w:hAnsi="Calibri" w:cs="Calibri"/>
          <w:b/>
          <w:bCs/>
          <w:sz w:val="16"/>
          <w:szCs w:val="16"/>
        </w:rPr>
        <w:t xml:space="preserve">(e) Significant accounting </w:t>
      </w:r>
      <w:commentRangeStart w:id="1"/>
      <w:commentRangeStart w:id="2"/>
      <w:r w:rsidRPr="006D6338">
        <w:rPr>
          <w:rFonts w:ascii="Calibri" w:eastAsia="Arial" w:hAnsi="Calibri" w:cs="Calibri"/>
          <w:b/>
          <w:bCs/>
          <w:sz w:val="16"/>
          <w:szCs w:val="16"/>
        </w:rPr>
        <w:t>policies</w:t>
      </w:r>
      <w:commentRangeEnd w:id="1"/>
      <w:r w:rsidR="00C11396" w:rsidRPr="006D6338">
        <w:rPr>
          <w:rStyle w:val="CommentReference"/>
          <w:rFonts w:ascii="Calibri" w:eastAsia="Arial" w:hAnsi="Calibri" w:cs="Calibri"/>
        </w:rPr>
        <w:commentReference w:id="1"/>
      </w:r>
      <w:commentRangeEnd w:id="2"/>
      <w:r w:rsidRPr="006D6338">
        <w:rPr>
          <w:rStyle w:val="CommentReference"/>
          <w:rFonts w:ascii="Calibri" w:eastAsia="Arial" w:hAnsi="Calibri" w:cs="Calibri"/>
        </w:rPr>
        <w:commentReference w:id="2"/>
      </w:r>
    </w:p>
    <w:p w14:paraId="175C92F2" w14:textId="77777777" w:rsidR="00CC4100" w:rsidRPr="006D6338" w:rsidRDefault="00CC4100" w:rsidP="00CC4100">
      <w:pPr>
        <w:widowControl w:val="0"/>
        <w:tabs>
          <w:tab w:val="left" w:pos="0"/>
          <w:tab w:val="left" w:pos="1080"/>
        </w:tabs>
        <w:autoSpaceDE w:val="0"/>
        <w:autoSpaceDN w:val="0"/>
        <w:jc w:val="both"/>
        <w:outlineLvl w:val="0"/>
        <w:rPr>
          <w:rFonts w:ascii="Calibri" w:eastAsia="Arial" w:hAnsi="Calibri" w:cs="Calibri"/>
          <w:b/>
          <w:bCs/>
          <w:sz w:val="16"/>
          <w:szCs w:val="16"/>
        </w:rPr>
      </w:pPr>
    </w:p>
    <w:p w14:paraId="557E0DE7" w14:textId="77777777" w:rsidR="00CC4100" w:rsidRPr="006D6338" w:rsidRDefault="00CC4100" w:rsidP="00CC4100">
      <w:pPr>
        <w:widowControl w:val="0"/>
        <w:tabs>
          <w:tab w:val="left" w:pos="0"/>
        </w:tabs>
        <w:autoSpaceDE w:val="0"/>
        <w:autoSpaceDN w:val="0"/>
        <w:spacing w:before="1"/>
        <w:ind w:right="533"/>
        <w:jc w:val="both"/>
        <w:rPr>
          <w:rFonts w:ascii="Calibri" w:eastAsia="Arial" w:hAnsi="Calibri" w:cs="Calibri"/>
          <w:sz w:val="16"/>
          <w:szCs w:val="16"/>
        </w:rPr>
      </w:pPr>
      <w:r w:rsidRPr="006D6338">
        <w:rPr>
          <w:rFonts w:ascii="Calibri" w:eastAsia="Arial" w:hAnsi="Calibri" w:cs="Calibri"/>
          <w:sz w:val="16"/>
          <w:szCs w:val="16"/>
        </w:rPr>
        <w:t xml:space="preserve">The Group has presented below key extracts of its accounting policies. </w:t>
      </w:r>
    </w:p>
    <w:p w14:paraId="5FE83567" w14:textId="77777777" w:rsidR="00CC4100" w:rsidRPr="006D6338" w:rsidRDefault="00CC4100" w:rsidP="00CC4100">
      <w:pPr>
        <w:widowControl w:val="0"/>
        <w:tabs>
          <w:tab w:val="left" w:pos="0"/>
          <w:tab w:val="left" w:pos="1080"/>
        </w:tabs>
        <w:autoSpaceDE w:val="0"/>
        <w:autoSpaceDN w:val="0"/>
        <w:jc w:val="both"/>
        <w:outlineLvl w:val="0"/>
        <w:rPr>
          <w:rFonts w:ascii="Calibri" w:eastAsia="Arial" w:hAnsi="Calibri" w:cs="Calibri"/>
          <w:b/>
          <w:bCs/>
          <w:sz w:val="16"/>
          <w:szCs w:val="16"/>
        </w:rPr>
      </w:pPr>
    </w:p>
    <w:p w14:paraId="6A558C21" w14:textId="77777777" w:rsidR="00CC4100" w:rsidRPr="006D6338" w:rsidRDefault="00CC4100" w:rsidP="00CC4100">
      <w:pPr>
        <w:tabs>
          <w:tab w:val="left" w:pos="0"/>
        </w:tabs>
        <w:autoSpaceDE w:val="0"/>
        <w:autoSpaceDN w:val="0"/>
        <w:adjustRightInd w:val="0"/>
        <w:jc w:val="both"/>
        <w:rPr>
          <w:rFonts w:ascii="Calibri" w:eastAsia="Calibri" w:hAnsi="Calibri" w:cs="Calibri"/>
          <w:b/>
          <w:bCs/>
          <w:sz w:val="16"/>
          <w:szCs w:val="16"/>
        </w:rPr>
      </w:pPr>
      <w:r w:rsidRPr="006D6338">
        <w:rPr>
          <w:rFonts w:ascii="Calibri" w:eastAsia="Calibri" w:hAnsi="Calibri" w:cs="Calibri"/>
          <w:b/>
          <w:bCs/>
          <w:sz w:val="16"/>
          <w:szCs w:val="16"/>
        </w:rPr>
        <w:t>(f) Intangible Assets</w:t>
      </w:r>
    </w:p>
    <w:p w14:paraId="6EEDB46A" w14:textId="77777777" w:rsidR="00CC4100" w:rsidRPr="006D6338" w:rsidRDefault="00CC4100" w:rsidP="00CC4100">
      <w:pPr>
        <w:tabs>
          <w:tab w:val="left" w:pos="0"/>
        </w:tabs>
        <w:autoSpaceDE w:val="0"/>
        <w:autoSpaceDN w:val="0"/>
        <w:adjustRightInd w:val="0"/>
        <w:jc w:val="both"/>
        <w:rPr>
          <w:rFonts w:ascii="Calibri" w:eastAsia="Calibri" w:hAnsi="Calibri" w:cs="Calibri"/>
          <w:i/>
          <w:iCs/>
          <w:sz w:val="16"/>
          <w:szCs w:val="16"/>
        </w:rPr>
      </w:pPr>
      <w:r w:rsidRPr="006D6338">
        <w:rPr>
          <w:rFonts w:ascii="Calibri" w:eastAsia="Calibri" w:hAnsi="Calibri" w:cs="Calibri"/>
          <w:i/>
          <w:iCs/>
          <w:sz w:val="16"/>
          <w:szCs w:val="16"/>
        </w:rPr>
        <w:t>Exploration and evaluation assets</w:t>
      </w:r>
    </w:p>
    <w:p w14:paraId="302F2BF6"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r w:rsidRPr="006D6338">
        <w:rPr>
          <w:rFonts w:ascii="Calibri" w:eastAsia="Calibri" w:hAnsi="Calibri" w:cs="Calibri"/>
          <w:sz w:val="16"/>
          <w:szCs w:val="16"/>
        </w:rPr>
        <w:t>The Group recognises expenditure as exploration and evaluation assets when it determines that those assets will be successful in finding specific mineral resources. Expenditure included in the initial measurement of exploration and evaluation assets and which are classified as intangible assets, relate to the acquisition of rights to explore, topographical, geological, geochemical and geophysical studies, exploratory drilling, trenching, sampling and activities to evaluate the technical feasibility and commercial viability of extracting a mineral resource. Capitalisation of pre-production expenditure ceases when the mining property is capable of commercial production.</w:t>
      </w:r>
    </w:p>
    <w:p w14:paraId="1CB653F6"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p>
    <w:p w14:paraId="19BFC4CF"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r w:rsidRPr="006D6338">
        <w:rPr>
          <w:rFonts w:ascii="Calibri" w:eastAsia="Calibri" w:hAnsi="Calibri" w:cs="Calibri"/>
          <w:sz w:val="16"/>
          <w:szCs w:val="16"/>
        </w:rPr>
        <w:t>Exploration and evaluation assets are recorded and held at cost. Exploration and evaluation assets are assessed for impairment annually or when facts and circumstances suggest that the carrying amount of an asset may exceed its recoverable amount. The assessment is carried out by allocating exploration and evaluation assets to cash generating units, which are based on specific projects or geographical areas. IFRS 6 permits impairments of exploration and evaluation expenditure to be reversed should the conditions which led to the impairment improve. The Group continually monitors the position of the projects capitalised and impaired.</w:t>
      </w:r>
    </w:p>
    <w:p w14:paraId="6CEDF4C4" w14:textId="77777777" w:rsidR="00CC4100" w:rsidRPr="006D6338" w:rsidRDefault="00CC4100" w:rsidP="00CC4100">
      <w:pPr>
        <w:tabs>
          <w:tab w:val="left" w:pos="0"/>
        </w:tabs>
        <w:autoSpaceDE w:val="0"/>
        <w:autoSpaceDN w:val="0"/>
        <w:adjustRightInd w:val="0"/>
        <w:ind w:right="-24"/>
        <w:jc w:val="both"/>
        <w:rPr>
          <w:rFonts w:ascii="Calibri" w:eastAsia="Arial" w:hAnsi="Calibri" w:cs="Calibri"/>
          <w:sz w:val="16"/>
          <w:szCs w:val="16"/>
        </w:rPr>
      </w:pPr>
    </w:p>
    <w:p w14:paraId="7FD3EC8C"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r w:rsidRPr="006D6338">
        <w:rPr>
          <w:rFonts w:ascii="Calibri" w:eastAsia="Calibri" w:hAnsi="Calibri" w:cs="Calibri"/>
          <w:sz w:val="16"/>
          <w:szCs w:val="16"/>
        </w:rPr>
        <w:t>Whenever the exploration for and evaluation of mineral resources in cash generating units does not lead to the discovery of commercially viable quantities of mineral resources and the Group has decided to discontinue such activities of that unit, the associated expenditures are written off to the Income Statement.</w:t>
      </w:r>
    </w:p>
    <w:p w14:paraId="0026C5E7"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p>
    <w:p w14:paraId="6A82D8F3"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i/>
          <w:iCs/>
          <w:sz w:val="16"/>
          <w:szCs w:val="16"/>
        </w:rPr>
      </w:pPr>
      <w:r w:rsidRPr="006D6338">
        <w:rPr>
          <w:rFonts w:ascii="Calibri" w:eastAsia="Calibri" w:hAnsi="Calibri" w:cs="Calibri"/>
          <w:i/>
          <w:iCs/>
          <w:sz w:val="16"/>
          <w:szCs w:val="16"/>
        </w:rPr>
        <w:t>Impairment</w:t>
      </w:r>
    </w:p>
    <w:p w14:paraId="38C9DEA9" w14:textId="77777777" w:rsidR="00CC4100" w:rsidRPr="006D6338" w:rsidRDefault="00CC4100" w:rsidP="00CC4100">
      <w:pPr>
        <w:tabs>
          <w:tab w:val="left" w:pos="0"/>
        </w:tabs>
        <w:autoSpaceDE w:val="0"/>
        <w:autoSpaceDN w:val="0"/>
        <w:adjustRightInd w:val="0"/>
        <w:ind w:right="-24"/>
        <w:jc w:val="both"/>
        <w:rPr>
          <w:rFonts w:ascii="Calibri" w:eastAsia="Calibri" w:hAnsi="Calibri" w:cs="Calibri"/>
          <w:sz w:val="16"/>
          <w:szCs w:val="16"/>
        </w:rPr>
      </w:pPr>
      <w:r w:rsidRPr="006D6338">
        <w:rPr>
          <w:rFonts w:ascii="Calibri" w:eastAsia="Calibri" w:hAnsi="Calibri" w:cs="Calibri"/>
          <w:sz w:val="16"/>
          <w:szCs w:val="16"/>
        </w:rPr>
        <w:t>Exploration and evaluation assets are reviewed regularly for indicators of impairment and costs are written off where circumstances indicate that the carrying value might not be recoverable. In such circumstances, the exploration and evaluation asset is allocated to development and production assets within the same cash generating unit and tested for impairment. Any such impairment arising is recognised in the income statement for the period. Where there are no development and production assets, the impaired costs of exploration and evaluation are charged immediately to the income statement.</w:t>
      </w:r>
    </w:p>
    <w:p w14:paraId="336FCF57" w14:textId="77777777" w:rsidR="00CC4100" w:rsidRPr="006D6338" w:rsidRDefault="00CC4100" w:rsidP="00CC4100">
      <w:pPr>
        <w:tabs>
          <w:tab w:val="left" w:pos="0"/>
        </w:tabs>
        <w:autoSpaceDE w:val="0"/>
        <w:autoSpaceDN w:val="0"/>
        <w:adjustRightInd w:val="0"/>
        <w:jc w:val="both"/>
        <w:rPr>
          <w:rFonts w:ascii="Calibri" w:eastAsia="Calibri" w:hAnsi="Calibri" w:cs="Calibri"/>
          <w:color w:val="000000"/>
          <w:sz w:val="16"/>
          <w:szCs w:val="16"/>
        </w:rPr>
      </w:pPr>
    </w:p>
    <w:p w14:paraId="6371FD31" w14:textId="77777777" w:rsidR="00CC4100" w:rsidRPr="006D6338" w:rsidRDefault="00CC4100" w:rsidP="00CC4100">
      <w:pPr>
        <w:widowControl w:val="0"/>
        <w:tabs>
          <w:tab w:val="left" w:pos="0"/>
          <w:tab w:val="left" w:pos="1080"/>
        </w:tabs>
        <w:autoSpaceDE w:val="0"/>
        <w:autoSpaceDN w:val="0"/>
        <w:jc w:val="both"/>
        <w:outlineLvl w:val="0"/>
        <w:rPr>
          <w:rFonts w:ascii="Calibri" w:eastAsia="Arial" w:hAnsi="Calibri" w:cs="Calibri"/>
          <w:b/>
          <w:bCs/>
          <w:sz w:val="16"/>
          <w:szCs w:val="16"/>
        </w:rPr>
      </w:pPr>
      <w:r w:rsidRPr="006D6338">
        <w:rPr>
          <w:rFonts w:ascii="Calibri" w:eastAsia="Arial" w:hAnsi="Calibri" w:cs="Calibri"/>
          <w:b/>
          <w:bCs/>
          <w:sz w:val="16"/>
          <w:szCs w:val="16"/>
        </w:rPr>
        <w:t>(g) Judgements and key sources of estimation</w:t>
      </w:r>
      <w:r w:rsidRPr="006D6338">
        <w:rPr>
          <w:rFonts w:ascii="Calibri" w:eastAsia="Arial" w:hAnsi="Calibri" w:cs="Calibri"/>
          <w:b/>
          <w:bCs/>
          <w:spacing w:val="-12"/>
          <w:sz w:val="16"/>
          <w:szCs w:val="16"/>
        </w:rPr>
        <w:t xml:space="preserve"> </w:t>
      </w:r>
      <w:r w:rsidRPr="006D6338">
        <w:rPr>
          <w:rFonts w:ascii="Calibri" w:eastAsia="Arial" w:hAnsi="Calibri" w:cs="Calibri"/>
          <w:b/>
          <w:bCs/>
          <w:sz w:val="16"/>
          <w:szCs w:val="16"/>
        </w:rPr>
        <w:t>uncertainty</w:t>
      </w:r>
    </w:p>
    <w:p w14:paraId="270B30AC"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16"/>
          <w:szCs w:val="16"/>
        </w:rPr>
        <w:t>The preparation of the Group Financial Statements in conformity with IFRSs requires Management to make estimates and assumptions that affect the reported amounts of assets and liabilities and disclosure of contingent assets and liabilities at the date of the financial statements and the reported amount of expenses during the year. Actual results may vary from the estimates used to produce these Financial Statements.</w:t>
      </w:r>
    </w:p>
    <w:p w14:paraId="7356F13A" w14:textId="77777777" w:rsidR="00CC4100" w:rsidRPr="006D6338" w:rsidRDefault="00CC4100" w:rsidP="00CC4100">
      <w:pPr>
        <w:widowControl w:val="0"/>
        <w:tabs>
          <w:tab w:val="left" w:pos="0"/>
        </w:tabs>
        <w:autoSpaceDE w:val="0"/>
        <w:autoSpaceDN w:val="0"/>
        <w:spacing w:before="8"/>
        <w:jc w:val="both"/>
        <w:rPr>
          <w:rFonts w:ascii="Calibri" w:eastAsia="Arial" w:hAnsi="Calibri" w:cs="Calibri"/>
          <w:sz w:val="16"/>
          <w:szCs w:val="16"/>
        </w:rPr>
      </w:pPr>
    </w:p>
    <w:p w14:paraId="6971277E" w14:textId="77777777" w:rsidR="00CC4100" w:rsidRPr="006D6338" w:rsidRDefault="00CC4100" w:rsidP="00CC4100">
      <w:pPr>
        <w:widowControl w:val="0"/>
        <w:tabs>
          <w:tab w:val="left" w:pos="0"/>
        </w:tabs>
        <w:autoSpaceDE w:val="0"/>
        <w:autoSpaceDN w:val="0"/>
        <w:ind w:right="-24"/>
        <w:jc w:val="both"/>
        <w:rPr>
          <w:rFonts w:ascii="Calibri" w:eastAsia="Arial" w:hAnsi="Calibri" w:cs="Calibri"/>
          <w:sz w:val="16"/>
          <w:szCs w:val="16"/>
        </w:rPr>
      </w:pPr>
      <w:r w:rsidRPr="006D6338">
        <w:rPr>
          <w:rFonts w:ascii="Calibri" w:eastAsia="Arial" w:hAnsi="Calibri" w:cs="Calibri"/>
          <w:sz w:val="16"/>
          <w:szCs w:val="16"/>
        </w:rPr>
        <w:t>Estimates and judgements are continually evaluated and are based on historical experience and other factors, including expectations of future events that are believed to be reasonable under the circumstances.</w:t>
      </w:r>
    </w:p>
    <w:p w14:paraId="3504FC7E" w14:textId="77777777" w:rsidR="00CC4100" w:rsidRPr="006D6338" w:rsidRDefault="00CC4100" w:rsidP="00CC4100">
      <w:pPr>
        <w:spacing w:line="256" w:lineRule="auto"/>
        <w:rPr>
          <w:rFonts w:ascii="Calibri" w:eastAsia="Arial" w:hAnsi="Calibri" w:cs="Calibri"/>
          <w:sz w:val="16"/>
          <w:szCs w:val="16"/>
        </w:rPr>
      </w:pPr>
    </w:p>
    <w:p w14:paraId="1B5740F2" w14:textId="77777777" w:rsidR="00CC4100" w:rsidRPr="006D6338" w:rsidRDefault="00CC4100" w:rsidP="00CC4100">
      <w:pPr>
        <w:widowControl w:val="0"/>
        <w:tabs>
          <w:tab w:val="left" w:pos="0"/>
        </w:tabs>
        <w:autoSpaceDE w:val="0"/>
        <w:autoSpaceDN w:val="0"/>
        <w:jc w:val="both"/>
        <w:rPr>
          <w:rFonts w:ascii="Calibri" w:eastAsia="Arial" w:hAnsi="Calibri" w:cs="Calibri"/>
          <w:sz w:val="16"/>
          <w:szCs w:val="16"/>
        </w:rPr>
      </w:pPr>
      <w:r w:rsidRPr="006D6338">
        <w:rPr>
          <w:rFonts w:ascii="Calibri" w:eastAsia="Arial" w:hAnsi="Calibri" w:cs="Calibri"/>
          <w:sz w:val="16"/>
          <w:szCs w:val="16"/>
        </w:rPr>
        <w:t>Significant items subject to such estimates and assumptions include, but are not limited to:</w:t>
      </w:r>
    </w:p>
    <w:p w14:paraId="7D634F37" w14:textId="77777777" w:rsidR="00CC4100" w:rsidRPr="006D6338" w:rsidRDefault="00CC4100" w:rsidP="00CC4100">
      <w:pPr>
        <w:widowControl w:val="0"/>
        <w:tabs>
          <w:tab w:val="left" w:pos="0"/>
        </w:tabs>
        <w:autoSpaceDE w:val="0"/>
        <w:autoSpaceDN w:val="0"/>
        <w:jc w:val="both"/>
        <w:rPr>
          <w:rFonts w:ascii="Calibri" w:eastAsia="Arial" w:hAnsi="Calibri" w:cs="Calibri"/>
          <w:sz w:val="16"/>
          <w:szCs w:val="16"/>
        </w:rPr>
      </w:pPr>
    </w:p>
    <w:p w14:paraId="65E2DFDF" w14:textId="77777777" w:rsidR="00CC4100" w:rsidRPr="006D6338" w:rsidRDefault="00CC4100" w:rsidP="00CC4100">
      <w:pPr>
        <w:tabs>
          <w:tab w:val="left" w:pos="0"/>
        </w:tabs>
        <w:spacing w:before="37" w:line="256" w:lineRule="auto"/>
        <w:jc w:val="both"/>
        <w:rPr>
          <w:rFonts w:ascii="Calibri" w:eastAsia="Calibri" w:hAnsi="Calibri" w:cs="Calibri"/>
          <w:i/>
          <w:sz w:val="16"/>
          <w:szCs w:val="16"/>
        </w:rPr>
      </w:pPr>
      <w:r w:rsidRPr="006D6338">
        <w:rPr>
          <w:rFonts w:ascii="Calibri" w:eastAsia="Calibri" w:hAnsi="Calibri" w:cs="Calibri"/>
          <w:i/>
          <w:sz w:val="16"/>
          <w:szCs w:val="16"/>
        </w:rPr>
        <w:t>Impairment of exploration and evaluation costs</w:t>
      </w:r>
    </w:p>
    <w:p w14:paraId="4BB3679F"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16"/>
          <w:szCs w:val="16"/>
        </w:rPr>
        <w:t xml:space="preserve">Exploration and evaluation costs have a carrying value at 30 June 2026 of £4,350,059 (30 June 2025: £3,546,303; 31 December 2025: £3,691,280). The Group has a right to renew exploration permits and the asset is only amortised once the extraction of the resource commences. Management tests annually whether exploration projects have future economic value in accordance with the Intangible Assets accounting policy stated in Note (f). Each exploration project is subject to an annual review by either a consultant or senior company geologist to determine if the exploration results returned during the year warrant further exploration expenditure and have the potential to result in an economic discovery. This review takes into consideration the expected costs of extraction, long term metal prices, anticipated resource volumes and supply and demand outlook. In the event that a project does not represent an economic exploration target and results indicate there is no additional upside, a decision will be made to discontinue exploration. The Directors concluded that no impairment charge was required as of 30 June 2026. </w:t>
      </w:r>
    </w:p>
    <w:p w14:paraId="3C9B1109" w14:textId="77777777" w:rsidR="00CC4100" w:rsidRPr="006D6338" w:rsidRDefault="00CC4100" w:rsidP="00CC4100">
      <w:pPr>
        <w:widowControl w:val="0"/>
        <w:tabs>
          <w:tab w:val="left" w:pos="0"/>
        </w:tabs>
        <w:autoSpaceDE w:val="0"/>
        <w:autoSpaceDN w:val="0"/>
        <w:spacing w:before="36"/>
        <w:ind w:right="-24"/>
        <w:jc w:val="both"/>
        <w:rPr>
          <w:rFonts w:ascii="Calibri" w:eastAsia="Arial" w:hAnsi="Calibri" w:cs="Calibri"/>
          <w:sz w:val="16"/>
          <w:szCs w:val="16"/>
        </w:rPr>
      </w:pPr>
    </w:p>
    <w:p w14:paraId="23E94AAE" w14:textId="77777777" w:rsidR="00CC4100" w:rsidRPr="006D6338" w:rsidRDefault="00CC4100" w:rsidP="00CC4100">
      <w:pPr>
        <w:widowControl w:val="0"/>
        <w:tabs>
          <w:tab w:val="left" w:pos="0"/>
        </w:tabs>
        <w:autoSpaceDE w:val="0"/>
        <w:autoSpaceDN w:val="0"/>
        <w:spacing w:before="36"/>
        <w:ind w:right="-24"/>
        <w:jc w:val="both"/>
        <w:rPr>
          <w:rFonts w:ascii="Calibri" w:eastAsia="Arial" w:hAnsi="Calibri" w:cs="Calibri"/>
          <w:sz w:val="16"/>
          <w:szCs w:val="16"/>
        </w:rPr>
      </w:pPr>
    </w:p>
    <w:p w14:paraId="47E2C8D5" w14:textId="77777777" w:rsidR="00CC4100" w:rsidRPr="006D6338" w:rsidRDefault="00CC4100" w:rsidP="00CC4100">
      <w:pPr>
        <w:spacing w:line="256" w:lineRule="auto"/>
        <w:rPr>
          <w:rFonts w:ascii="Calibri" w:eastAsia="Arial" w:hAnsi="Calibri" w:cs="Calibri"/>
          <w:b/>
          <w:bCs/>
          <w:sz w:val="16"/>
          <w:szCs w:val="16"/>
        </w:rPr>
      </w:pPr>
      <w:r w:rsidRPr="006D6338">
        <w:rPr>
          <w:rFonts w:ascii="Calibri" w:eastAsia="Calibri" w:hAnsi="Calibri" w:cs="Calibri"/>
          <w:b/>
          <w:bCs/>
          <w:sz w:val="16"/>
          <w:szCs w:val="16"/>
        </w:rPr>
        <w:br w:type="page"/>
      </w:r>
    </w:p>
    <w:p w14:paraId="623F6220"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Exploration &amp; Evaluation Assets</w:t>
      </w:r>
    </w:p>
    <w:p w14:paraId="34A46228" w14:textId="77777777" w:rsidR="00CC4100" w:rsidRPr="006D6338" w:rsidRDefault="00CC4100" w:rsidP="00CC4100">
      <w:pPr>
        <w:widowControl w:val="0"/>
        <w:tabs>
          <w:tab w:val="left" w:pos="0"/>
        </w:tabs>
        <w:autoSpaceDE w:val="0"/>
        <w:autoSpaceDN w:val="0"/>
        <w:spacing w:before="36"/>
        <w:ind w:right="-24"/>
        <w:jc w:val="both"/>
        <w:rPr>
          <w:rFonts w:ascii="Calibri" w:eastAsia="Arial" w:hAnsi="Calibri" w:cs="Calibri"/>
          <w:sz w:val="16"/>
          <w:szCs w:val="16"/>
        </w:rPr>
      </w:pPr>
      <w:r w:rsidRPr="006D6338">
        <w:rPr>
          <w:rFonts w:ascii="Calibri" w:eastAsia="Arial" w:hAnsi="Calibri" w:cs="Calibri"/>
          <w:sz w:val="16"/>
          <w:szCs w:val="16"/>
        </w:rPr>
        <w:t>Intangible assets comprise acquisition, exploration and evaluation costs. Exploration and evaluation assets are all internally generated. These are measured at cost and have an indefinite asset life. Once the pre-production phase has been entered into, the exploration and evaluation assets will be capitalised under intangible assets and commence amortisation.</w:t>
      </w:r>
    </w:p>
    <w:p w14:paraId="21566E07" w14:textId="77777777" w:rsidR="00CC4100" w:rsidRPr="006D6338" w:rsidRDefault="00CC4100" w:rsidP="00CC4100">
      <w:pPr>
        <w:widowControl w:val="0"/>
        <w:tabs>
          <w:tab w:val="left" w:pos="0"/>
        </w:tabs>
        <w:autoSpaceDE w:val="0"/>
        <w:autoSpaceDN w:val="0"/>
        <w:spacing w:before="36"/>
        <w:ind w:right="-24"/>
        <w:jc w:val="both"/>
        <w:rPr>
          <w:rFonts w:ascii="Calibri" w:eastAsia="Arial" w:hAnsi="Calibri" w:cs="Calibri"/>
          <w:sz w:val="16"/>
          <w:szCs w:val="16"/>
        </w:rPr>
      </w:pPr>
    </w:p>
    <w:tbl>
      <w:tblPr>
        <w:tblW w:w="10065" w:type="dxa"/>
        <w:tblLook w:val="04A0" w:firstRow="1" w:lastRow="0" w:firstColumn="1" w:lastColumn="0" w:noHBand="0" w:noVBand="1"/>
      </w:tblPr>
      <w:tblGrid>
        <w:gridCol w:w="8505"/>
        <w:gridCol w:w="1560"/>
      </w:tblGrid>
      <w:tr w:rsidR="00CC4100" w:rsidRPr="006D6338" w14:paraId="7F3A83B1" w14:textId="77777777" w:rsidTr="006D6338">
        <w:trPr>
          <w:trHeight w:val="20"/>
        </w:trPr>
        <w:tc>
          <w:tcPr>
            <w:tcW w:w="8505" w:type="dxa"/>
            <w:noWrap/>
            <w:vAlign w:val="center"/>
            <w:hideMark/>
          </w:tcPr>
          <w:p w14:paraId="0BC7BFB0"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Exploration &amp; Evaluation Assets - Cost and Net Book Value</w:t>
            </w:r>
          </w:p>
        </w:tc>
        <w:tc>
          <w:tcPr>
            <w:tcW w:w="1560" w:type="dxa"/>
            <w:noWrap/>
            <w:vAlign w:val="bottom"/>
            <w:hideMark/>
          </w:tcPr>
          <w:p w14:paraId="09117ECF"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r>
      <w:tr w:rsidR="00CC4100" w:rsidRPr="006D6338" w14:paraId="66DBBA6F" w14:textId="77777777" w:rsidTr="006D6338">
        <w:trPr>
          <w:trHeight w:val="20"/>
        </w:trPr>
        <w:tc>
          <w:tcPr>
            <w:tcW w:w="8505" w:type="dxa"/>
            <w:noWrap/>
            <w:vAlign w:val="bottom"/>
            <w:hideMark/>
          </w:tcPr>
          <w:p w14:paraId="02DB1BDC" w14:textId="77777777" w:rsidR="00CC4100" w:rsidRPr="006D6338" w:rsidRDefault="00CC4100" w:rsidP="00A44FCD">
            <w:pPr>
              <w:spacing w:line="256" w:lineRule="auto"/>
              <w:rPr>
                <w:rFonts w:ascii="Calibri" w:eastAsia="Calibri" w:hAnsi="Calibri" w:cs="Calibri"/>
                <w:sz w:val="20"/>
                <w:szCs w:val="20"/>
                <w:lang w:eastAsia="en-GB"/>
              </w:rPr>
            </w:pPr>
          </w:p>
        </w:tc>
        <w:tc>
          <w:tcPr>
            <w:tcW w:w="1560" w:type="dxa"/>
            <w:vAlign w:val="center"/>
            <w:hideMark/>
          </w:tcPr>
          <w:p w14:paraId="2AC8727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Mineral licence </w:t>
            </w:r>
          </w:p>
        </w:tc>
      </w:tr>
      <w:tr w:rsidR="00CC4100" w:rsidRPr="006D6338" w14:paraId="46D7154B" w14:textId="77777777" w:rsidTr="006D6338">
        <w:trPr>
          <w:trHeight w:val="20"/>
        </w:trPr>
        <w:tc>
          <w:tcPr>
            <w:tcW w:w="8505" w:type="dxa"/>
            <w:noWrap/>
            <w:vAlign w:val="center"/>
            <w:hideMark/>
          </w:tcPr>
          <w:p w14:paraId="168C338E"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Cost</w:t>
            </w:r>
          </w:p>
        </w:tc>
        <w:tc>
          <w:tcPr>
            <w:tcW w:w="1560" w:type="dxa"/>
            <w:noWrap/>
            <w:vAlign w:val="center"/>
            <w:hideMark/>
          </w:tcPr>
          <w:p w14:paraId="1BA29266" w14:textId="77777777" w:rsidR="00CC4100" w:rsidRPr="006D6338" w:rsidRDefault="00CC4100" w:rsidP="00A44FCD">
            <w:pPr>
              <w:jc w:val="right"/>
              <w:rPr>
                <w:rFonts w:ascii="Calibri" w:eastAsia="Times New Roman" w:hAnsi="Calibri" w:cs="Calibri"/>
                <w:b/>
                <w:bCs/>
                <w:color w:val="000000"/>
                <w:sz w:val="16"/>
                <w:szCs w:val="16"/>
                <w:lang w:eastAsia="en-GB"/>
              </w:rPr>
            </w:pPr>
          </w:p>
        </w:tc>
      </w:tr>
      <w:tr w:rsidR="00CC4100" w:rsidRPr="006D6338" w14:paraId="014C5435" w14:textId="77777777" w:rsidTr="006D6338">
        <w:trPr>
          <w:trHeight w:val="20"/>
        </w:trPr>
        <w:tc>
          <w:tcPr>
            <w:tcW w:w="8505" w:type="dxa"/>
            <w:noWrap/>
            <w:vAlign w:val="center"/>
            <w:hideMark/>
          </w:tcPr>
          <w:p w14:paraId="4458A79A"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At 1 January 2025</w:t>
            </w:r>
          </w:p>
        </w:tc>
        <w:tc>
          <w:tcPr>
            <w:tcW w:w="1560" w:type="dxa"/>
            <w:vAlign w:val="center"/>
            <w:hideMark/>
          </w:tcPr>
          <w:p w14:paraId="1822921E"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3,824,880</w:t>
            </w:r>
          </w:p>
        </w:tc>
      </w:tr>
      <w:tr w:rsidR="00CC4100" w:rsidRPr="006D6338" w14:paraId="47C1156B" w14:textId="77777777" w:rsidTr="006D6338">
        <w:trPr>
          <w:trHeight w:val="20"/>
        </w:trPr>
        <w:tc>
          <w:tcPr>
            <w:tcW w:w="8505" w:type="dxa"/>
            <w:noWrap/>
            <w:vAlign w:val="center"/>
            <w:hideMark/>
          </w:tcPr>
          <w:p w14:paraId="6847176B"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60" w:type="dxa"/>
            <w:vAlign w:val="center"/>
            <w:hideMark/>
          </w:tcPr>
          <w:p w14:paraId="0A5A5D7C"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(137,903)</w:t>
            </w:r>
          </w:p>
        </w:tc>
      </w:tr>
      <w:tr w:rsidR="00CC4100" w:rsidRPr="006D6338" w14:paraId="77958DC2" w14:textId="77777777" w:rsidTr="006D6338">
        <w:trPr>
          <w:trHeight w:val="20"/>
        </w:trPr>
        <w:tc>
          <w:tcPr>
            <w:tcW w:w="8505" w:type="dxa"/>
            <w:noWrap/>
            <w:vAlign w:val="center"/>
            <w:hideMark/>
          </w:tcPr>
          <w:p w14:paraId="555F8CA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Additions </w:t>
            </w:r>
          </w:p>
        </w:tc>
        <w:tc>
          <w:tcPr>
            <w:tcW w:w="1560" w:type="dxa"/>
            <w:tcBorders>
              <w:top w:val="nil"/>
              <w:left w:val="nil"/>
              <w:right w:val="nil"/>
            </w:tcBorders>
            <w:noWrap/>
            <w:vAlign w:val="center"/>
            <w:hideMark/>
          </w:tcPr>
          <w:p w14:paraId="4DA2BF66"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269,973</w:t>
            </w:r>
          </w:p>
        </w:tc>
      </w:tr>
      <w:tr w:rsidR="00CC4100" w:rsidRPr="006D6338" w14:paraId="6EC2863B" w14:textId="77777777" w:rsidTr="006D6338">
        <w:trPr>
          <w:trHeight w:val="20"/>
        </w:trPr>
        <w:tc>
          <w:tcPr>
            <w:tcW w:w="8505" w:type="dxa"/>
            <w:noWrap/>
            <w:vAlign w:val="center"/>
          </w:tcPr>
          <w:p w14:paraId="3F6C464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Adjustments </w:t>
            </w:r>
          </w:p>
        </w:tc>
        <w:tc>
          <w:tcPr>
            <w:tcW w:w="1560" w:type="dxa"/>
            <w:tcBorders>
              <w:left w:val="nil"/>
              <w:bottom w:val="single" w:sz="4" w:space="0" w:color="auto"/>
              <w:right w:val="nil"/>
            </w:tcBorders>
            <w:noWrap/>
            <w:vAlign w:val="center"/>
          </w:tcPr>
          <w:p w14:paraId="37D12D4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(763)</w:t>
            </w:r>
          </w:p>
        </w:tc>
      </w:tr>
      <w:tr w:rsidR="00CC4100" w:rsidRPr="006D6338" w14:paraId="6456B311" w14:textId="77777777" w:rsidTr="006D6338">
        <w:trPr>
          <w:trHeight w:val="20"/>
        </w:trPr>
        <w:tc>
          <w:tcPr>
            <w:tcW w:w="8505" w:type="dxa"/>
            <w:noWrap/>
            <w:vAlign w:val="center"/>
            <w:hideMark/>
          </w:tcPr>
          <w:p w14:paraId="37A4814A"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 xml:space="preserve">At 30 June 2025 </w:t>
            </w:r>
          </w:p>
        </w:tc>
        <w:tc>
          <w:tcPr>
            <w:tcW w:w="1560" w:type="dxa"/>
            <w:tcBorders>
              <w:top w:val="single" w:sz="4" w:space="0" w:color="auto"/>
              <w:left w:val="nil"/>
              <w:bottom w:val="double" w:sz="4" w:space="0" w:color="auto"/>
              <w:right w:val="nil"/>
            </w:tcBorders>
            <w:noWrap/>
            <w:vAlign w:val="center"/>
            <w:hideMark/>
          </w:tcPr>
          <w:p w14:paraId="3D00D77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3,956,187</w:t>
            </w:r>
          </w:p>
        </w:tc>
      </w:tr>
      <w:tr w:rsidR="00CC4100" w:rsidRPr="006D6338" w14:paraId="0A0F0FB5" w14:textId="77777777" w:rsidTr="006D6338">
        <w:trPr>
          <w:trHeight w:val="20"/>
        </w:trPr>
        <w:tc>
          <w:tcPr>
            <w:tcW w:w="8505" w:type="dxa"/>
            <w:noWrap/>
            <w:vAlign w:val="center"/>
          </w:tcPr>
          <w:p w14:paraId="6D206DE9" w14:textId="77777777" w:rsidR="00CC4100" w:rsidRPr="006D6338" w:rsidRDefault="00CC4100" w:rsidP="00A44FCD">
            <w:pPr>
              <w:rPr>
                <w:rFonts w:ascii="Calibri" w:eastAsia="Times New Roman" w:hAnsi="Calibri" w:cs="Calibri"/>
                <w:b/>
                <w:bCs/>
                <w:color w:val="000000"/>
                <w:sz w:val="16"/>
                <w:szCs w:val="16"/>
                <w:lang w:eastAsia="en-GB"/>
              </w:rPr>
            </w:pPr>
          </w:p>
        </w:tc>
        <w:tc>
          <w:tcPr>
            <w:tcW w:w="1560" w:type="dxa"/>
            <w:tcBorders>
              <w:top w:val="double" w:sz="4" w:space="0" w:color="auto"/>
              <w:left w:val="nil"/>
              <w:bottom w:val="nil"/>
              <w:right w:val="nil"/>
            </w:tcBorders>
            <w:noWrap/>
            <w:vAlign w:val="center"/>
          </w:tcPr>
          <w:p w14:paraId="10258294" w14:textId="77777777" w:rsidR="00CC4100" w:rsidRPr="006D6338" w:rsidRDefault="00CC4100" w:rsidP="00A44FCD">
            <w:pPr>
              <w:jc w:val="right"/>
              <w:rPr>
                <w:rFonts w:ascii="Calibri" w:eastAsia="Times New Roman" w:hAnsi="Calibri" w:cs="Calibri"/>
                <w:b/>
                <w:bCs/>
                <w:color w:val="000000"/>
                <w:sz w:val="16"/>
                <w:szCs w:val="16"/>
                <w:lang w:eastAsia="en-GB"/>
              </w:rPr>
            </w:pPr>
          </w:p>
        </w:tc>
      </w:tr>
      <w:tr w:rsidR="00CC4100" w:rsidRPr="006D6338" w14:paraId="35F2F4A9" w14:textId="77777777" w:rsidTr="006D6338">
        <w:trPr>
          <w:trHeight w:val="20"/>
        </w:trPr>
        <w:tc>
          <w:tcPr>
            <w:tcW w:w="8505" w:type="dxa"/>
            <w:noWrap/>
            <w:vAlign w:val="center"/>
            <w:hideMark/>
          </w:tcPr>
          <w:p w14:paraId="7EDA3F1C"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Amortisation and impairment</w:t>
            </w:r>
          </w:p>
        </w:tc>
        <w:tc>
          <w:tcPr>
            <w:tcW w:w="1560" w:type="dxa"/>
            <w:noWrap/>
            <w:vAlign w:val="center"/>
          </w:tcPr>
          <w:p w14:paraId="15B40365"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7575C9B7" w14:textId="77777777" w:rsidTr="006D6338">
        <w:trPr>
          <w:trHeight w:val="20"/>
        </w:trPr>
        <w:tc>
          <w:tcPr>
            <w:tcW w:w="8505" w:type="dxa"/>
            <w:noWrap/>
            <w:vAlign w:val="center"/>
            <w:hideMark/>
          </w:tcPr>
          <w:p w14:paraId="44A0CF5C"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At 1 January 2025</w:t>
            </w:r>
          </w:p>
        </w:tc>
        <w:tc>
          <w:tcPr>
            <w:tcW w:w="1560" w:type="dxa"/>
            <w:noWrap/>
            <w:vAlign w:val="center"/>
            <w:hideMark/>
          </w:tcPr>
          <w:p w14:paraId="683FDFB3"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423,165</w:t>
            </w:r>
          </w:p>
        </w:tc>
      </w:tr>
      <w:tr w:rsidR="00CC4100" w:rsidRPr="006D6338" w14:paraId="60B410C2" w14:textId="77777777" w:rsidTr="006D6338">
        <w:trPr>
          <w:trHeight w:val="20"/>
        </w:trPr>
        <w:tc>
          <w:tcPr>
            <w:tcW w:w="8505" w:type="dxa"/>
            <w:noWrap/>
            <w:vAlign w:val="center"/>
            <w:hideMark/>
          </w:tcPr>
          <w:p w14:paraId="42C85CB4"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60" w:type="dxa"/>
            <w:tcBorders>
              <w:top w:val="nil"/>
              <w:left w:val="nil"/>
              <w:bottom w:val="single" w:sz="4" w:space="0" w:color="auto"/>
              <w:right w:val="nil"/>
            </w:tcBorders>
            <w:noWrap/>
            <w:vAlign w:val="center"/>
            <w:hideMark/>
          </w:tcPr>
          <w:p w14:paraId="1B993C8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(13,281)</w:t>
            </w:r>
          </w:p>
        </w:tc>
      </w:tr>
      <w:tr w:rsidR="00CC4100" w:rsidRPr="006D6338" w14:paraId="6F236194" w14:textId="77777777" w:rsidTr="006D6338">
        <w:trPr>
          <w:trHeight w:val="20"/>
        </w:trPr>
        <w:tc>
          <w:tcPr>
            <w:tcW w:w="8505" w:type="dxa"/>
            <w:noWrap/>
            <w:vAlign w:val="center"/>
            <w:hideMark/>
          </w:tcPr>
          <w:p w14:paraId="76F3DD22"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At 30 June 2025</w:t>
            </w:r>
          </w:p>
        </w:tc>
        <w:tc>
          <w:tcPr>
            <w:tcW w:w="1560" w:type="dxa"/>
            <w:tcBorders>
              <w:top w:val="nil"/>
              <w:left w:val="nil"/>
              <w:bottom w:val="double" w:sz="4" w:space="0" w:color="auto"/>
              <w:right w:val="nil"/>
            </w:tcBorders>
            <w:noWrap/>
            <w:vAlign w:val="center"/>
            <w:hideMark/>
          </w:tcPr>
          <w:p w14:paraId="04774875"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409,884</w:t>
            </w:r>
          </w:p>
        </w:tc>
      </w:tr>
      <w:tr w:rsidR="00CC4100" w:rsidRPr="006D6338" w14:paraId="6A514103" w14:textId="77777777" w:rsidTr="006D6338">
        <w:trPr>
          <w:trHeight w:val="20"/>
        </w:trPr>
        <w:tc>
          <w:tcPr>
            <w:tcW w:w="8505" w:type="dxa"/>
            <w:noWrap/>
            <w:vAlign w:val="center"/>
          </w:tcPr>
          <w:p w14:paraId="3B6369FF" w14:textId="77777777" w:rsidR="00CC4100" w:rsidRPr="006D6338" w:rsidRDefault="00CC4100" w:rsidP="00A44FCD">
            <w:pPr>
              <w:rPr>
                <w:rFonts w:ascii="Calibri" w:eastAsia="Times New Roman" w:hAnsi="Calibri" w:cs="Calibri"/>
                <w:b/>
                <w:bCs/>
                <w:color w:val="000000"/>
                <w:sz w:val="16"/>
                <w:szCs w:val="16"/>
                <w:lang w:eastAsia="en-GB"/>
              </w:rPr>
            </w:pPr>
          </w:p>
        </w:tc>
        <w:tc>
          <w:tcPr>
            <w:tcW w:w="1560" w:type="dxa"/>
            <w:tcBorders>
              <w:top w:val="double" w:sz="4" w:space="0" w:color="auto"/>
              <w:left w:val="nil"/>
              <w:bottom w:val="single" w:sz="4" w:space="0" w:color="auto"/>
              <w:right w:val="nil"/>
            </w:tcBorders>
            <w:noWrap/>
            <w:vAlign w:val="center"/>
          </w:tcPr>
          <w:p w14:paraId="6FE61F72" w14:textId="77777777" w:rsidR="00CC4100" w:rsidRPr="006D6338" w:rsidRDefault="00CC4100" w:rsidP="00A44FCD">
            <w:pPr>
              <w:jc w:val="right"/>
              <w:rPr>
                <w:rFonts w:ascii="Calibri" w:eastAsia="Times New Roman" w:hAnsi="Calibri" w:cs="Calibri"/>
                <w:b/>
                <w:bCs/>
                <w:color w:val="000000"/>
                <w:sz w:val="16"/>
                <w:szCs w:val="16"/>
                <w:lang w:eastAsia="en-GB"/>
              </w:rPr>
            </w:pPr>
          </w:p>
        </w:tc>
      </w:tr>
      <w:tr w:rsidR="00CC4100" w:rsidRPr="006D6338" w14:paraId="5A52B6D0" w14:textId="77777777" w:rsidTr="006D6338">
        <w:trPr>
          <w:trHeight w:val="20"/>
        </w:trPr>
        <w:tc>
          <w:tcPr>
            <w:tcW w:w="8505" w:type="dxa"/>
            <w:noWrap/>
            <w:vAlign w:val="center"/>
            <w:hideMark/>
          </w:tcPr>
          <w:p w14:paraId="4A37FFCF"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Carrying amount at 30 June 2025</w:t>
            </w:r>
          </w:p>
        </w:tc>
        <w:tc>
          <w:tcPr>
            <w:tcW w:w="1560" w:type="dxa"/>
            <w:tcBorders>
              <w:top w:val="single" w:sz="4" w:space="0" w:color="auto"/>
              <w:left w:val="nil"/>
              <w:bottom w:val="double" w:sz="4" w:space="0" w:color="auto"/>
              <w:right w:val="nil"/>
            </w:tcBorders>
            <w:noWrap/>
            <w:vAlign w:val="center"/>
            <w:hideMark/>
          </w:tcPr>
          <w:p w14:paraId="615D7B5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3,546,303</w:t>
            </w:r>
          </w:p>
        </w:tc>
      </w:tr>
    </w:tbl>
    <w:p w14:paraId="323C3875" w14:textId="77777777" w:rsidR="00CC4100" w:rsidRPr="006D6338" w:rsidRDefault="00CC4100" w:rsidP="00CC4100">
      <w:pPr>
        <w:spacing w:line="256" w:lineRule="auto"/>
        <w:rPr>
          <w:rFonts w:ascii="Calibri" w:eastAsia="Calibri" w:hAnsi="Calibri" w:cs="Calibri"/>
        </w:rPr>
      </w:pPr>
    </w:p>
    <w:tbl>
      <w:tblPr>
        <w:tblW w:w="10065" w:type="dxa"/>
        <w:tblLook w:val="04A0" w:firstRow="1" w:lastRow="0" w:firstColumn="1" w:lastColumn="0" w:noHBand="0" w:noVBand="1"/>
      </w:tblPr>
      <w:tblGrid>
        <w:gridCol w:w="8505"/>
        <w:gridCol w:w="1560"/>
      </w:tblGrid>
      <w:tr w:rsidR="00CC4100" w:rsidRPr="006D6338" w14:paraId="6DAB6D96" w14:textId="77777777" w:rsidTr="006D6338">
        <w:trPr>
          <w:trHeight w:val="113"/>
        </w:trPr>
        <w:tc>
          <w:tcPr>
            <w:tcW w:w="8505" w:type="dxa"/>
            <w:noWrap/>
            <w:vAlign w:val="center"/>
            <w:hideMark/>
          </w:tcPr>
          <w:p w14:paraId="4B4EB3C0" w14:textId="77777777" w:rsidR="00CC4100" w:rsidRPr="006D6338" w:rsidRDefault="00CC4100" w:rsidP="00A44FCD">
            <w:pPr>
              <w:rPr>
                <w:rFonts w:ascii="Calibri" w:eastAsia="Times New Roman" w:hAnsi="Calibri" w:cs="Calibri"/>
                <w:b/>
                <w:bCs/>
                <w:sz w:val="16"/>
                <w:szCs w:val="16"/>
                <w:lang w:eastAsia="en-GB"/>
              </w:rPr>
            </w:pPr>
            <w:r w:rsidRPr="006D6338">
              <w:rPr>
                <w:rFonts w:ascii="Calibri" w:eastAsia="Times New Roman" w:hAnsi="Calibri" w:cs="Calibri"/>
                <w:b/>
                <w:bCs/>
                <w:color w:val="000000"/>
                <w:sz w:val="16"/>
                <w:szCs w:val="16"/>
                <w:lang w:eastAsia="en-GB"/>
              </w:rPr>
              <w:t xml:space="preserve">Cost </w:t>
            </w:r>
          </w:p>
        </w:tc>
        <w:tc>
          <w:tcPr>
            <w:tcW w:w="1560" w:type="dxa"/>
            <w:noWrap/>
            <w:vAlign w:val="center"/>
            <w:hideMark/>
          </w:tcPr>
          <w:p w14:paraId="25529F06" w14:textId="77777777" w:rsidR="00CC4100" w:rsidRPr="006D6338" w:rsidRDefault="00CC4100" w:rsidP="00A44FCD">
            <w:pPr>
              <w:spacing w:line="256" w:lineRule="auto"/>
              <w:rPr>
                <w:rFonts w:ascii="Calibri" w:eastAsia="Times New Roman" w:hAnsi="Calibri" w:cs="Calibri"/>
                <w:b/>
                <w:bCs/>
                <w:sz w:val="16"/>
                <w:szCs w:val="16"/>
                <w:lang w:eastAsia="en-GB"/>
              </w:rPr>
            </w:pPr>
          </w:p>
        </w:tc>
      </w:tr>
      <w:tr w:rsidR="00CC4100" w:rsidRPr="006D6338" w14:paraId="02C018B6" w14:textId="77777777" w:rsidTr="006D6338">
        <w:trPr>
          <w:trHeight w:val="113"/>
        </w:trPr>
        <w:tc>
          <w:tcPr>
            <w:tcW w:w="8505" w:type="dxa"/>
            <w:noWrap/>
            <w:vAlign w:val="bottom"/>
            <w:hideMark/>
          </w:tcPr>
          <w:p w14:paraId="64980D79"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1 January 2025</w:t>
            </w:r>
          </w:p>
        </w:tc>
        <w:tc>
          <w:tcPr>
            <w:tcW w:w="1560" w:type="dxa"/>
            <w:noWrap/>
            <w:vAlign w:val="bottom"/>
            <w:hideMark/>
          </w:tcPr>
          <w:p w14:paraId="3849D012"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3,824,880 </w:t>
            </w:r>
          </w:p>
        </w:tc>
      </w:tr>
      <w:tr w:rsidR="00CC4100" w:rsidRPr="006D6338" w14:paraId="48714E90" w14:textId="77777777" w:rsidTr="006D6338">
        <w:trPr>
          <w:trHeight w:val="113"/>
        </w:trPr>
        <w:tc>
          <w:tcPr>
            <w:tcW w:w="8505" w:type="dxa"/>
            <w:noWrap/>
            <w:vAlign w:val="center"/>
            <w:hideMark/>
          </w:tcPr>
          <w:p w14:paraId="1E80AD4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60" w:type="dxa"/>
            <w:noWrap/>
            <w:vAlign w:val="center"/>
            <w:hideMark/>
          </w:tcPr>
          <w:p w14:paraId="49832D65"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(109,957)</w:t>
            </w:r>
          </w:p>
        </w:tc>
      </w:tr>
      <w:tr w:rsidR="00CC4100" w:rsidRPr="006D6338" w14:paraId="77950465" w14:textId="77777777" w:rsidTr="006D6338">
        <w:trPr>
          <w:trHeight w:val="113"/>
        </w:trPr>
        <w:tc>
          <w:tcPr>
            <w:tcW w:w="8505" w:type="dxa"/>
            <w:noWrap/>
            <w:vAlign w:val="center"/>
            <w:hideMark/>
          </w:tcPr>
          <w:p w14:paraId="3DDFC01B"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Additions</w:t>
            </w:r>
          </w:p>
        </w:tc>
        <w:tc>
          <w:tcPr>
            <w:tcW w:w="1560" w:type="dxa"/>
            <w:noWrap/>
            <w:vAlign w:val="center"/>
            <w:hideMark/>
          </w:tcPr>
          <w:p w14:paraId="4BD9A4D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1,050,709</w:t>
            </w:r>
          </w:p>
        </w:tc>
      </w:tr>
      <w:tr w:rsidR="00CC4100" w:rsidRPr="006D6338" w14:paraId="6D811429" w14:textId="77777777" w:rsidTr="006D6338">
        <w:trPr>
          <w:trHeight w:val="113"/>
        </w:trPr>
        <w:tc>
          <w:tcPr>
            <w:tcW w:w="8505" w:type="dxa"/>
            <w:noWrap/>
            <w:vAlign w:val="center"/>
            <w:hideMark/>
          </w:tcPr>
          <w:p w14:paraId="2AD69D6A"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Reclassified to held for sale</w:t>
            </w:r>
          </w:p>
        </w:tc>
        <w:tc>
          <w:tcPr>
            <w:tcW w:w="1560" w:type="dxa"/>
            <w:noWrap/>
            <w:vAlign w:val="center"/>
            <w:hideMark/>
          </w:tcPr>
          <w:p w14:paraId="0661B59E"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 xml:space="preserve">(518,092) </w:t>
            </w:r>
          </w:p>
        </w:tc>
      </w:tr>
      <w:tr w:rsidR="00CC4100" w:rsidRPr="006D6338" w14:paraId="6C3F6FBD" w14:textId="77777777" w:rsidTr="006D6338">
        <w:trPr>
          <w:trHeight w:val="113"/>
        </w:trPr>
        <w:tc>
          <w:tcPr>
            <w:tcW w:w="8505" w:type="dxa"/>
            <w:noWrap/>
            <w:vAlign w:val="center"/>
            <w:hideMark/>
          </w:tcPr>
          <w:p w14:paraId="0BEF57B8"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31 December 2025</w:t>
            </w:r>
          </w:p>
        </w:tc>
        <w:tc>
          <w:tcPr>
            <w:tcW w:w="1560" w:type="dxa"/>
            <w:tcBorders>
              <w:top w:val="single" w:sz="4" w:space="0" w:color="auto"/>
              <w:left w:val="nil"/>
              <w:bottom w:val="double" w:sz="4" w:space="0" w:color="auto"/>
              <w:right w:val="nil"/>
            </w:tcBorders>
            <w:noWrap/>
            <w:vAlign w:val="center"/>
            <w:hideMark/>
          </w:tcPr>
          <w:p w14:paraId="7804D3D4"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4,247,540</w:t>
            </w:r>
          </w:p>
        </w:tc>
      </w:tr>
      <w:tr w:rsidR="00CC4100" w:rsidRPr="006D6338" w14:paraId="0D7424A7" w14:textId="77777777" w:rsidTr="006D6338">
        <w:trPr>
          <w:trHeight w:val="113"/>
        </w:trPr>
        <w:tc>
          <w:tcPr>
            <w:tcW w:w="8505" w:type="dxa"/>
            <w:noWrap/>
            <w:vAlign w:val="center"/>
          </w:tcPr>
          <w:p w14:paraId="58AE8BF0" w14:textId="77777777" w:rsidR="00CC4100" w:rsidRPr="006D6338" w:rsidRDefault="00CC4100" w:rsidP="00A44FCD">
            <w:pPr>
              <w:rPr>
                <w:rFonts w:ascii="Calibri" w:eastAsia="Times New Roman" w:hAnsi="Calibri" w:cs="Calibri"/>
                <w:color w:val="000000"/>
                <w:sz w:val="16"/>
                <w:szCs w:val="16"/>
                <w:lang w:eastAsia="en-GB"/>
              </w:rPr>
            </w:pPr>
          </w:p>
          <w:p w14:paraId="3B3B4DC7" w14:textId="77777777" w:rsidR="00CC4100" w:rsidRPr="006D6338" w:rsidRDefault="00CC4100" w:rsidP="00A44FCD">
            <w:pPr>
              <w:rPr>
                <w:rFonts w:ascii="Calibri" w:eastAsia="Times New Roman" w:hAnsi="Calibri" w:cs="Calibri"/>
                <w:color w:val="000000"/>
                <w:sz w:val="16"/>
                <w:szCs w:val="16"/>
                <w:lang w:eastAsia="en-GB"/>
              </w:rPr>
            </w:pPr>
          </w:p>
        </w:tc>
        <w:tc>
          <w:tcPr>
            <w:tcW w:w="1560" w:type="dxa"/>
            <w:tcBorders>
              <w:top w:val="double" w:sz="4" w:space="0" w:color="auto"/>
              <w:left w:val="nil"/>
              <w:bottom w:val="nil"/>
              <w:right w:val="nil"/>
            </w:tcBorders>
            <w:noWrap/>
            <w:vAlign w:val="center"/>
          </w:tcPr>
          <w:p w14:paraId="6D23B218"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6016C22E" w14:textId="77777777" w:rsidTr="006D6338">
        <w:trPr>
          <w:trHeight w:val="113"/>
        </w:trPr>
        <w:tc>
          <w:tcPr>
            <w:tcW w:w="8505" w:type="dxa"/>
            <w:noWrap/>
            <w:vAlign w:val="center"/>
            <w:hideMark/>
          </w:tcPr>
          <w:p w14:paraId="3BAEDDBB"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Amortisation and impairment</w:t>
            </w:r>
          </w:p>
        </w:tc>
        <w:tc>
          <w:tcPr>
            <w:tcW w:w="1560" w:type="dxa"/>
            <w:noWrap/>
            <w:vAlign w:val="center"/>
          </w:tcPr>
          <w:p w14:paraId="3E7D1837"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52D055CC" w14:textId="77777777" w:rsidTr="006D6338">
        <w:trPr>
          <w:trHeight w:val="113"/>
        </w:trPr>
        <w:tc>
          <w:tcPr>
            <w:tcW w:w="8505" w:type="dxa"/>
            <w:noWrap/>
            <w:vAlign w:val="center"/>
            <w:hideMark/>
          </w:tcPr>
          <w:p w14:paraId="6424547F"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1 January 2025</w:t>
            </w:r>
          </w:p>
        </w:tc>
        <w:tc>
          <w:tcPr>
            <w:tcW w:w="1560" w:type="dxa"/>
            <w:noWrap/>
            <w:vAlign w:val="center"/>
            <w:hideMark/>
          </w:tcPr>
          <w:p w14:paraId="60CA7AA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423,165</w:t>
            </w:r>
          </w:p>
        </w:tc>
      </w:tr>
      <w:tr w:rsidR="00CC4100" w:rsidRPr="006D6338" w14:paraId="664157A4" w14:textId="77777777" w:rsidTr="006D6338">
        <w:trPr>
          <w:trHeight w:val="113"/>
        </w:trPr>
        <w:tc>
          <w:tcPr>
            <w:tcW w:w="8505" w:type="dxa"/>
            <w:noWrap/>
            <w:vAlign w:val="center"/>
            <w:hideMark/>
          </w:tcPr>
          <w:p w14:paraId="1D7859FD"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Impairment charge </w:t>
            </w:r>
          </w:p>
        </w:tc>
        <w:tc>
          <w:tcPr>
            <w:tcW w:w="1560" w:type="dxa"/>
            <w:noWrap/>
            <w:vAlign w:val="center"/>
            <w:hideMark/>
          </w:tcPr>
          <w:p w14:paraId="2D210173"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142,493</w:t>
            </w:r>
          </w:p>
        </w:tc>
      </w:tr>
      <w:tr w:rsidR="00CC4100" w:rsidRPr="006D6338" w14:paraId="33E91FC4" w14:textId="77777777" w:rsidTr="006D6338">
        <w:trPr>
          <w:trHeight w:val="113"/>
        </w:trPr>
        <w:tc>
          <w:tcPr>
            <w:tcW w:w="8505" w:type="dxa"/>
            <w:noWrap/>
            <w:hideMark/>
          </w:tcPr>
          <w:p w14:paraId="73CC17A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60" w:type="dxa"/>
            <w:tcBorders>
              <w:top w:val="nil"/>
              <w:left w:val="nil"/>
              <w:bottom w:val="single" w:sz="4" w:space="0" w:color="auto"/>
              <w:right w:val="nil"/>
            </w:tcBorders>
            <w:noWrap/>
            <w:hideMark/>
          </w:tcPr>
          <w:p w14:paraId="77B3484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(9,398)</w:t>
            </w:r>
          </w:p>
        </w:tc>
      </w:tr>
      <w:tr w:rsidR="00CC4100" w:rsidRPr="006D6338" w14:paraId="25D21C2B" w14:textId="77777777" w:rsidTr="006D6338">
        <w:trPr>
          <w:trHeight w:val="113"/>
        </w:trPr>
        <w:tc>
          <w:tcPr>
            <w:tcW w:w="8505" w:type="dxa"/>
            <w:noWrap/>
            <w:vAlign w:val="center"/>
            <w:hideMark/>
          </w:tcPr>
          <w:p w14:paraId="117476CD"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31 December 2025</w:t>
            </w:r>
          </w:p>
        </w:tc>
        <w:tc>
          <w:tcPr>
            <w:tcW w:w="1560" w:type="dxa"/>
            <w:tcBorders>
              <w:top w:val="single" w:sz="4" w:space="0" w:color="auto"/>
              <w:left w:val="nil"/>
              <w:bottom w:val="double" w:sz="4" w:space="0" w:color="auto"/>
              <w:right w:val="nil"/>
            </w:tcBorders>
            <w:noWrap/>
            <w:vAlign w:val="center"/>
            <w:hideMark/>
          </w:tcPr>
          <w:p w14:paraId="3BFE4CB9"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556,260</w:t>
            </w:r>
          </w:p>
        </w:tc>
      </w:tr>
      <w:tr w:rsidR="00CC4100" w:rsidRPr="006D6338" w14:paraId="5FCE93BC" w14:textId="77777777" w:rsidTr="006D6338">
        <w:trPr>
          <w:trHeight w:val="113"/>
        </w:trPr>
        <w:tc>
          <w:tcPr>
            <w:tcW w:w="8505" w:type="dxa"/>
            <w:noWrap/>
            <w:vAlign w:val="bottom"/>
            <w:hideMark/>
          </w:tcPr>
          <w:p w14:paraId="088F51A0"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560" w:type="dxa"/>
            <w:tcBorders>
              <w:top w:val="double" w:sz="4" w:space="0" w:color="auto"/>
              <w:left w:val="nil"/>
              <w:bottom w:val="single" w:sz="4" w:space="0" w:color="auto"/>
              <w:right w:val="nil"/>
            </w:tcBorders>
            <w:noWrap/>
            <w:vAlign w:val="bottom"/>
            <w:hideMark/>
          </w:tcPr>
          <w:p w14:paraId="7D3B1CD8"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7C62397E" w14:textId="77777777" w:rsidTr="006D6338">
        <w:trPr>
          <w:trHeight w:val="113"/>
        </w:trPr>
        <w:tc>
          <w:tcPr>
            <w:tcW w:w="8505" w:type="dxa"/>
            <w:noWrap/>
            <w:vAlign w:val="center"/>
            <w:hideMark/>
          </w:tcPr>
          <w:p w14:paraId="13068A83"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Carrying amount at 31 December 2025</w:t>
            </w:r>
          </w:p>
        </w:tc>
        <w:tc>
          <w:tcPr>
            <w:tcW w:w="1560" w:type="dxa"/>
            <w:tcBorders>
              <w:top w:val="single" w:sz="4" w:space="0" w:color="auto"/>
              <w:left w:val="nil"/>
              <w:bottom w:val="double" w:sz="4" w:space="0" w:color="auto"/>
              <w:right w:val="nil"/>
            </w:tcBorders>
            <w:noWrap/>
            <w:vAlign w:val="center"/>
            <w:hideMark/>
          </w:tcPr>
          <w:p w14:paraId="7CFC76B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3,691,280</w:t>
            </w:r>
          </w:p>
        </w:tc>
      </w:tr>
    </w:tbl>
    <w:p w14:paraId="5F4484D7" w14:textId="77777777" w:rsidR="00CC4100" w:rsidRPr="006D6338" w:rsidRDefault="00CC4100" w:rsidP="00CC4100">
      <w:pPr>
        <w:spacing w:line="256" w:lineRule="auto"/>
        <w:rPr>
          <w:rFonts w:ascii="Calibri" w:eastAsia="Calibri" w:hAnsi="Calibri" w:cs="Calibri"/>
          <w:sz w:val="16"/>
          <w:szCs w:val="16"/>
        </w:rPr>
      </w:pPr>
    </w:p>
    <w:tbl>
      <w:tblPr>
        <w:tblW w:w="9956" w:type="dxa"/>
        <w:tblCellMar>
          <w:left w:w="0" w:type="dxa"/>
          <w:right w:w="0" w:type="dxa"/>
        </w:tblCellMar>
        <w:tblLook w:val="04A0" w:firstRow="1" w:lastRow="0" w:firstColumn="1" w:lastColumn="0" w:noHBand="0" w:noVBand="1"/>
      </w:tblPr>
      <w:tblGrid>
        <w:gridCol w:w="8396"/>
        <w:gridCol w:w="1592"/>
      </w:tblGrid>
      <w:tr w:rsidR="00CC4100" w:rsidRPr="006D6338" w14:paraId="40A8174E" w14:textId="77777777" w:rsidTr="006D6338">
        <w:trPr>
          <w:trHeight w:val="57"/>
        </w:trPr>
        <w:tc>
          <w:tcPr>
            <w:tcW w:w="8380" w:type="dxa"/>
            <w:noWrap/>
            <w:vAlign w:val="center"/>
          </w:tcPr>
          <w:p w14:paraId="62A925DD" w14:textId="77777777" w:rsidR="00CC4100" w:rsidRPr="006D6338" w:rsidRDefault="00CC4100" w:rsidP="00A44FCD">
            <w:pPr>
              <w:rPr>
                <w:rFonts w:ascii="Calibri" w:eastAsia="Times New Roman" w:hAnsi="Calibri" w:cs="Calibri"/>
                <w:b/>
                <w:bCs/>
                <w:color w:val="000000"/>
                <w:sz w:val="16"/>
                <w:szCs w:val="16"/>
                <w:lang w:eastAsia="en-GB"/>
              </w:rPr>
            </w:pPr>
          </w:p>
        </w:tc>
        <w:tc>
          <w:tcPr>
            <w:tcW w:w="1576" w:type="dxa"/>
            <w:noWrap/>
            <w:vAlign w:val="center"/>
          </w:tcPr>
          <w:p w14:paraId="0E1E6F7F"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4ADB8430" w14:textId="77777777" w:rsidTr="006D6338">
        <w:trPr>
          <w:trHeight w:val="57"/>
        </w:trPr>
        <w:tc>
          <w:tcPr>
            <w:tcW w:w="8380" w:type="dxa"/>
            <w:noWrap/>
            <w:vAlign w:val="center"/>
            <w:hideMark/>
          </w:tcPr>
          <w:p w14:paraId="0B92DFB5"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Cost</w:t>
            </w:r>
          </w:p>
        </w:tc>
        <w:tc>
          <w:tcPr>
            <w:tcW w:w="1576" w:type="dxa"/>
            <w:noWrap/>
            <w:vAlign w:val="center"/>
          </w:tcPr>
          <w:p w14:paraId="1C9CEA76"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01141780" w14:textId="77777777" w:rsidTr="006D6338">
        <w:trPr>
          <w:trHeight w:val="57"/>
        </w:trPr>
        <w:tc>
          <w:tcPr>
            <w:tcW w:w="8380" w:type="dxa"/>
            <w:noWrap/>
            <w:vAlign w:val="center"/>
            <w:hideMark/>
          </w:tcPr>
          <w:p w14:paraId="626AFEAD"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1 January 2026</w:t>
            </w:r>
          </w:p>
        </w:tc>
        <w:tc>
          <w:tcPr>
            <w:tcW w:w="1576" w:type="dxa"/>
            <w:noWrap/>
            <w:vAlign w:val="center"/>
            <w:hideMark/>
          </w:tcPr>
          <w:p w14:paraId="3DB91980" w14:textId="77777777" w:rsidR="00CC4100" w:rsidRPr="006D6338" w:rsidRDefault="00CC4100" w:rsidP="00A44FCD">
            <w:pPr>
              <w:ind w:left="-140" w:hanging="141"/>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4,247,540</w:t>
            </w:r>
          </w:p>
        </w:tc>
      </w:tr>
      <w:tr w:rsidR="00CC4100" w:rsidRPr="006D6338" w14:paraId="53F261F2" w14:textId="77777777" w:rsidTr="006D6338">
        <w:trPr>
          <w:trHeight w:val="57"/>
        </w:trPr>
        <w:tc>
          <w:tcPr>
            <w:tcW w:w="8380" w:type="dxa"/>
            <w:noWrap/>
            <w:vAlign w:val="center"/>
            <w:hideMark/>
          </w:tcPr>
          <w:p w14:paraId="7AD62E5D"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76" w:type="dxa"/>
            <w:noWrap/>
            <w:vAlign w:val="center"/>
            <w:hideMark/>
          </w:tcPr>
          <w:p w14:paraId="05BD8DB7"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(86,805)</w:t>
            </w:r>
          </w:p>
        </w:tc>
      </w:tr>
      <w:tr w:rsidR="00CC4100" w:rsidRPr="006D6338" w14:paraId="291CF8B8" w14:textId="77777777" w:rsidTr="006D6338">
        <w:trPr>
          <w:trHeight w:val="57"/>
        </w:trPr>
        <w:tc>
          <w:tcPr>
            <w:tcW w:w="8380" w:type="dxa"/>
            <w:noWrap/>
            <w:vAlign w:val="center"/>
            <w:hideMark/>
          </w:tcPr>
          <w:p w14:paraId="14A47129"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Additions </w:t>
            </w:r>
          </w:p>
        </w:tc>
        <w:tc>
          <w:tcPr>
            <w:tcW w:w="1576" w:type="dxa"/>
            <w:noWrap/>
            <w:vAlign w:val="center"/>
            <w:hideMark/>
          </w:tcPr>
          <w:p w14:paraId="0395E91F"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734,217</w:t>
            </w:r>
          </w:p>
        </w:tc>
      </w:tr>
      <w:tr w:rsidR="00CC4100" w:rsidRPr="006D6338" w14:paraId="6BC7DAB4" w14:textId="77777777" w:rsidTr="006D6338">
        <w:trPr>
          <w:trHeight w:val="57"/>
        </w:trPr>
        <w:tc>
          <w:tcPr>
            <w:tcW w:w="8380" w:type="dxa"/>
            <w:noWrap/>
            <w:vAlign w:val="center"/>
            <w:hideMark/>
          </w:tcPr>
          <w:p w14:paraId="577E75FF"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At 30 June 2026 </w:t>
            </w:r>
          </w:p>
        </w:tc>
        <w:tc>
          <w:tcPr>
            <w:tcW w:w="1576" w:type="dxa"/>
            <w:tcBorders>
              <w:top w:val="single" w:sz="4" w:space="0" w:color="auto"/>
              <w:left w:val="nil"/>
              <w:bottom w:val="double" w:sz="4" w:space="0" w:color="auto"/>
              <w:right w:val="nil"/>
            </w:tcBorders>
            <w:noWrap/>
            <w:vAlign w:val="center"/>
            <w:hideMark/>
          </w:tcPr>
          <w:p w14:paraId="29819898"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4,894,952</w:t>
            </w:r>
          </w:p>
        </w:tc>
      </w:tr>
      <w:tr w:rsidR="00CC4100" w:rsidRPr="006D6338" w14:paraId="7694156D" w14:textId="77777777" w:rsidTr="006D6338">
        <w:trPr>
          <w:trHeight w:val="57"/>
        </w:trPr>
        <w:tc>
          <w:tcPr>
            <w:tcW w:w="8380" w:type="dxa"/>
            <w:noWrap/>
            <w:vAlign w:val="center"/>
          </w:tcPr>
          <w:p w14:paraId="6D1E2346" w14:textId="77777777" w:rsidR="00CC4100" w:rsidRPr="006D6338" w:rsidRDefault="00CC4100" w:rsidP="00A44FCD">
            <w:pPr>
              <w:rPr>
                <w:rFonts w:ascii="Calibri" w:eastAsia="Times New Roman" w:hAnsi="Calibri" w:cs="Calibri"/>
                <w:b/>
                <w:bCs/>
                <w:color w:val="000000"/>
                <w:sz w:val="16"/>
                <w:szCs w:val="16"/>
                <w:lang w:eastAsia="en-GB"/>
              </w:rPr>
            </w:pPr>
          </w:p>
        </w:tc>
        <w:tc>
          <w:tcPr>
            <w:tcW w:w="1576" w:type="dxa"/>
            <w:tcBorders>
              <w:top w:val="double" w:sz="4" w:space="0" w:color="auto"/>
              <w:left w:val="nil"/>
              <w:bottom w:val="nil"/>
              <w:right w:val="nil"/>
            </w:tcBorders>
            <w:noWrap/>
            <w:vAlign w:val="center"/>
          </w:tcPr>
          <w:p w14:paraId="383C263F"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62933E4F" w14:textId="77777777" w:rsidTr="006D6338">
        <w:trPr>
          <w:trHeight w:val="57"/>
        </w:trPr>
        <w:tc>
          <w:tcPr>
            <w:tcW w:w="8380" w:type="dxa"/>
            <w:noWrap/>
            <w:vAlign w:val="center"/>
            <w:hideMark/>
          </w:tcPr>
          <w:p w14:paraId="2A06EEEF"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Amortisation and impairment</w:t>
            </w:r>
          </w:p>
        </w:tc>
        <w:tc>
          <w:tcPr>
            <w:tcW w:w="1576" w:type="dxa"/>
            <w:noWrap/>
            <w:vAlign w:val="center"/>
            <w:hideMark/>
          </w:tcPr>
          <w:p w14:paraId="670915B9"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r>
      <w:tr w:rsidR="00CC4100" w:rsidRPr="006D6338" w14:paraId="7D718B9C" w14:textId="77777777" w:rsidTr="006D6338">
        <w:trPr>
          <w:trHeight w:val="57"/>
        </w:trPr>
        <w:tc>
          <w:tcPr>
            <w:tcW w:w="8380" w:type="dxa"/>
            <w:noWrap/>
            <w:vAlign w:val="center"/>
            <w:hideMark/>
          </w:tcPr>
          <w:p w14:paraId="45CA5050"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1 January 2026</w:t>
            </w:r>
          </w:p>
        </w:tc>
        <w:tc>
          <w:tcPr>
            <w:tcW w:w="1576" w:type="dxa"/>
            <w:noWrap/>
            <w:vAlign w:val="center"/>
            <w:hideMark/>
          </w:tcPr>
          <w:p w14:paraId="7D77F150"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556,260</w:t>
            </w:r>
          </w:p>
        </w:tc>
      </w:tr>
      <w:tr w:rsidR="00CC4100" w:rsidRPr="006D6338" w14:paraId="4D1CFC57" w14:textId="77777777" w:rsidTr="006D6338">
        <w:trPr>
          <w:trHeight w:val="57"/>
        </w:trPr>
        <w:tc>
          <w:tcPr>
            <w:tcW w:w="8380" w:type="dxa"/>
            <w:noWrap/>
            <w:vAlign w:val="center"/>
            <w:hideMark/>
          </w:tcPr>
          <w:p w14:paraId="0805E220" w14:textId="77777777" w:rsidR="00CC4100" w:rsidRPr="006D6338" w:rsidRDefault="00CC4100" w:rsidP="00A44FCD">
            <w:pPr>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Foreign exchange movement within the period</w:t>
            </w:r>
          </w:p>
        </w:tc>
        <w:tc>
          <w:tcPr>
            <w:tcW w:w="1576" w:type="dxa"/>
            <w:noWrap/>
            <w:vAlign w:val="center"/>
            <w:hideMark/>
          </w:tcPr>
          <w:p w14:paraId="64C0A23D"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(11,367)</w:t>
            </w:r>
          </w:p>
        </w:tc>
      </w:tr>
      <w:tr w:rsidR="00CC4100" w:rsidRPr="006D6338" w14:paraId="281165F2" w14:textId="77777777" w:rsidTr="006D6338">
        <w:trPr>
          <w:trHeight w:val="57"/>
        </w:trPr>
        <w:tc>
          <w:tcPr>
            <w:tcW w:w="8380" w:type="dxa"/>
            <w:noWrap/>
            <w:vAlign w:val="center"/>
            <w:hideMark/>
          </w:tcPr>
          <w:p w14:paraId="6C096AF2"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At 30 June 2026</w:t>
            </w:r>
          </w:p>
        </w:tc>
        <w:tc>
          <w:tcPr>
            <w:tcW w:w="1576" w:type="dxa"/>
            <w:tcBorders>
              <w:top w:val="single" w:sz="4" w:space="0" w:color="auto"/>
              <w:left w:val="nil"/>
              <w:bottom w:val="double" w:sz="4" w:space="0" w:color="auto"/>
              <w:right w:val="nil"/>
            </w:tcBorders>
            <w:noWrap/>
            <w:vAlign w:val="center"/>
            <w:hideMark/>
          </w:tcPr>
          <w:p w14:paraId="4058C1D9" w14:textId="77777777" w:rsidR="00CC4100" w:rsidRPr="006D6338" w:rsidRDefault="00CC4100" w:rsidP="00A44FCD">
            <w:pPr>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544,893</w:t>
            </w:r>
          </w:p>
        </w:tc>
      </w:tr>
      <w:tr w:rsidR="00CC4100" w:rsidRPr="006D6338" w14:paraId="09742B29" w14:textId="77777777" w:rsidTr="006D6338">
        <w:trPr>
          <w:trHeight w:val="57"/>
        </w:trPr>
        <w:tc>
          <w:tcPr>
            <w:tcW w:w="8380" w:type="dxa"/>
            <w:noWrap/>
            <w:vAlign w:val="center"/>
          </w:tcPr>
          <w:p w14:paraId="3E80ACA9" w14:textId="77777777" w:rsidR="00CC4100" w:rsidRPr="006D6338" w:rsidRDefault="00CC4100" w:rsidP="00A44FCD">
            <w:pPr>
              <w:rPr>
                <w:rFonts w:ascii="Calibri" w:eastAsia="Times New Roman" w:hAnsi="Calibri" w:cs="Calibri"/>
                <w:b/>
                <w:bCs/>
                <w:color w:val="000000"/>
                <w:sz w:val="16"/>
                <w:szCs w:val="16"/>
                <w:lang w:eastAsia="en-GB"/>
              </w:rPr>
            </w:pPr>
          </w:p>
        </w:tc>
        <w:tc>
          <w:tcPr>
            <w:tcW w:w="1576" w:type="dxa"/>
            <w:tcBorders>
              <w:top w:val="double" w:sz="4" w:space="0" w:color="auto"/>
              <w:left w:val="nil"/>
              <w:bottom w:val="single" w:sz="4" w:space="0" w:color="auto"/>
              <w:right w:val="nil"/>
            </w:tcBorders>
            <w:noWrap/>
            <w:vAlign w:val="center"/>
          </w:tcPr>
          <w:p w14:paraId="696CAEA0" w14:textId="77777777" w:rsidR="00CC4100" w:rsidRPr="006D6338" w:rsidRDefault="00CC4100" w:rsidP="00A44FCD">
            <w:pPr>
              <w:jc w:val="right"/>
              <w:rPr>
                <w:rFonts w:ascii="Calibri" w:eastAsia="Times New Roman" w:hAnsi="Calibri" w:cs="Calibri"/>
                <w:color w:val="000000"/>
                <w:sz w:val="16"/>
                <w:szCs w:val="16"/>
                <w:lang w:eastAsia="en-GB"/>
              </w:rPr>
            </w:pPr>
          </w:p>
        </w:tc>
      </w:tr>
      <w:tr w:rsidR="00CC4100" w:rsidRPr="006D6338" w14:paraId="2CDE2F40" w14:textId="77777777" w:rsidTr="006D6338">
        <w:trPr>
          <w:trHeight w:val="57"/>
        </w:trPr>
        <w:tc>
          <w:tcPr>
            <w:tcW w:w="8380" w:type="dxa"/>
            <w:noWrap/>
            <w:vAlign w:val="center"/>
            <w:hideMark/>
          </w:tcPr>
          <w:p w14:paraId="48A8811C" w14:textId="77777777" w:rsidR="00CC4100" w:rsidRPr="006D6338" w:rsidRDefault="00CC4100" w:rsidP="00A44FCD">
            <w:pPr>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Carrying amount at 30 June 2026</w:t>
            </w:r>
          </w:p>
        </w:tc>
        <w:tc>
          <w:tcPr>
            <w:tcW w:w="1576" w:type="dxa"/>
            <w:tcBorders>
              <w:top w:val="single" w:sz="4" w:space="0" w:color="auto"/>
              <w:left w:val="nil"/>
              <w:bottom w:val="double" w:sz="4" w:space="0" w:color="auto"/>
              <w:right w:val="nil"/>
            </w:tcBorders>
            <w:noWrap/>
            <w:vAlign w:val="center"/>
            <w:hideMark/>
          </w:tcPr>
          <w:p w14:paraId="036DF860" w14:textId="77777777" w:rsidR="00CC4100" w:rsidRPr="006D6338" w:rsidRDefault="00CC4100" w:rsidP="00A44FCD">
            <w:pPr>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4,350,059</w:t>
            </w:r>
          </w:p>
        </w:tc>
      </w:tr>
    </w:tbl>
    <w:p w14:paraId="62C782D0"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20"/>
          <w:szCs w:val="20"/>
        </w:rPr>
        <w:t xml:space="preserve">   </w:t>
      </w:r>
    </w:p>
    <w:p w14:paraId="1AF25A3A" w14:textId="77777777" w:rsidR="00CC4100" w:rsidRPr="006D6338" w:rsidRDefault="00CC4100" w:rsidP="00CC4100">
      <w:pPr>
        <w:tabs>
          <w:tab w:val="left" w:pos="0"/>
        </w:tabs>
        <w:autoSpaceDE w:val="0"/>
        <w:autoSpaceDN w:val="0"/>
        <w:adjustRightInd w:val="0"/>
        <w:ind w:right="-24"/>
        <w:jc w:val="both"/>
        <w:rPr>
          <w:rFonts w:ascii="Calibri" w:eastAsia="Arial" w:hAnsi="Calibri" w:cs="Calibri"/>
          <w:sz w:val="16"/>
          <w:szCs w:val="16"/>
        </w:rPr>
      </w:pPr>
    </w:p>
    <w:p w14:paraId="5E7C35CA" w14:textId="77777777" w:rsidR="00CC4100" w:rsidRPr="006D6338" w:rsidRDefault="00CC4100" w:rsidP="00CC4100">
      <w:pPr>
        <w:tabs>
          <w:tab w:val="left" w:pos="0"/>
        </w:tabs>
        <w:autoSpaceDE w:val="0"/>
        <w:autoSpaceDN w:val="0"/>
        <w:adjustRightInd w:val="0"/>
        <w:ind w:right="-24"/>
        <w:jc w:val="both"/>
        <w:rPr>
          <w:rFonts w:ascii="Calibri" w:eastAsia="Arial" w:hAnsi="Calibri" w:cs="Calibri"/>
          <w:sz w:val="16"/>
          <w:szCs w:val="16"/>
        </w:rPr>
      </w:pPr>
    </w:p>
    <w:p w14:paraId="5E28749A"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16"/>
          <w:szCs w:val="16"/>
        </w:rPr>
        <w:t xml:space="preserve">Following their assessment, the Directors concluded that no impairment charge was required at 30 June </w:t>
      </w:r>
      <w:commentRangeStart w:id="3"/>
      <w:commentRangeStart w:id="4"/>
      <w:r w:rsidRPr="006D6338">
        <w:rPr>
          <w:rFonts w:ascii="Calibri" w:eastAsia="Arial" w:hAnsi="Calibri" w:cs="Calibri"/>
          <w:sz w:val="16"/>
          <w:szCs w:val="16"/>
        </w:rPr>
        <w:t>2026</w:t>
      </w:r>
      <w:commentRangeEnd w:id="3"/>
      <w:r w:rsidR="00C11396" w:rsidRPr="006D6338">
        <w:rPr>
          <w:rStyle w:val="CommentReference"/>
          <w:rFonts w:ascii="Calibri" w:eastAsia="Arial" w:hAnsi="Calibri" w:cs="Calibri"/>
        </w:rPr>
        <w:commentReference w:id="3"/>
      </w:r>
      <w:commentRangeEnd w:id="4"/>
      <w:r w:rsidRPr="006D6338">
        <w:rPr>
          <w:rStyle w:val="CommentReference"/>
          <w:rFonts w:ascii="Calibri" w:eastAsia="Arial" w:hAnsi="Calibri" w:cs="Calibri"/>
        </w:rPr>
        <w:commentReference w:id="4"/>
      </w:r>
      <w:r w:rsidRPr="006D6338">
        <w:rPr>
          <w:rFonts w:ascii="Calibri" w:eastAsia="Arial" w:hAnsi="Calibri" w:cs="Calibri"/>
          <w:sz w:val="16"/>
          <w:szCs w:val="16"/>
        </w:rPr>
        <w:t>.</w:t>
      </w:r>
    </w:p>
    <w:p w14:paraId="510E1934"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p>
    <w:p w14:paraId="24E9B0E4" w14:textId="594AC258" w:rsidR="00CC4100" w:rsidRPr="006D6338" w:rsidRDefault="00CC4100" w:rsidP="00CC4100">
      <w:pPr>
        <w:widowControl w:val="0"/>
        <w:tabs>
          <w:tab w:val="left" w:pos="0"/>
        </w:tabs>
        <w:autoSpaceDE w:val="0"/>
        <w:autoSpaceDN w:val="0"/>
        <w:spacing w:before="29"/>
        <w:ind w:right="-24"/>
        <w:rPr>
          <w:rFonts w:ascii="Calibri" w:eastAsia="Arial" w:hAnsi="Calibri" w:cs="Calibri"/>
          <w:sz w:val="16"/>
          <w:szCs w:val="16"/>
        </w:rPr>
      </w:pPr>
      <w:r w:rsidRPr="006D6338">
        <w:rPr>
          <w:rFonts w:ascii="Calibri" w:eastAsia="Arial" w:hAnsi="Calibri" w:cs="Calibri"/>
          <w:sz w:val="16"/>
          <w:szCs w:val="16"/>
        </w:rPr>
        <w:t xml:space="preserve">On 22 May 2025, Fulcrum Metals </w:t>
      </w:r>
      <w:r w:rsidR="00C11396">
        <w:rPr>
          <w:rFonts w:ascii="Calibri" w:eastAsia="Arial" w:hAnsi="Calibri" w:cs="Calibri"/>
          <w:sz w:val="16"/>
          <w:szCs w:val="16"/>
        </w:rPr>
        <w:t>Plc</w:t>
      </w:r>
      <w:r w:rsidRPr="006D6338">
        <w:rPr>
          <w:rFonts w:ascii="Calibri" w:eastAsia="Arial" w:hAnsi="Calibri" w:cs="Calibri"/>
          <w:sz w:val="16"/>
          <w:szCs w:val="16"/>
        </w:rPr>
        <w:t xml:space="preserve"> entered into a four-year exclusive Master Licence Agreement (MLA) with Extrakt Process Solutions LLC, securing the rights to deploy Extrakt’s proprietary non-cyanide leaching technology across Timmins and Kirkland Lake gold camps in Ontario, Canada. </w:t>
      </w:r>
    </w:p>
    <w:p w14:paraId="3433DBDE" w14:textId="77777777"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p>
    <w:p w14:paraId="472FECD7" w14:textId="44DCC607" w:rsidR="00002FD1" w:rsidRPr="00E73FB1"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16"/>
          <w:szCs w:val="16"/>
        </w:rPr>
        <w:t>Under the MLA, Fulcrum will pay an annual exclusivity fee in cash to Extrakt, the first of which was paid in the period ended 30 June 2025. The MLA can be extended for up to a total of 12 years by mutual agreement. The MLA provides a framework for licensing agreements for individual sites on a site by site basis including site specific royalties and collaboration with Extrakt, its affiliates and alliance partners.</w:t>
      </w:r>
    </w:p>
    <w:p w14:paraId="03EFDA3B" w14:textId="77777777" w:rsidR="00002FD1" w:rsidRPr="006D6338" w:rsidRDefault="00002FD1" w:rsidP="00CC4100">
      <w:pPr>
        <w:widowControl w:val="0"/>
        <w:tabs>
          <w:tab w:val="left" w:pos="0"/>
        </w:tabs>
        <w:autoSpaceDE w:val="0"/>
        <w:autoSpaceDN w:val="0"/>
        <w:spacing w:before="29"/>
        <w:ind w:right="-24"/>
        <w:jc w:val="both"/>
        <w:rPr>
          <w:rFonts w:ascii="Calibri" w:eastAsia="Arial" w:hAnsi="Calibri" w:cs="Calibri"/>
          <w:sz w:val="20"/>
          <w:szCs w:val="20"/>
        </w:rPr>
      </w:pPr>
    </w:p>
    <w:p w14:paraId="5B9BE7D3" w14:textId="3931AD32" w:rsidR="00CC4100" w:rsidRPr="006D6338" w:rsidRDefault="00CC4100" w:rsidP="00CC4100">
      <w:pPr>
        <w:widowControl w:val="0"/>
        <w:tabs>
          <w:tab w:val="left" w:pos="0"/>
        </w:tabs>
        <w:autoSpaceDE w:val="0"/>
        <w:autoSpaceDN w:val="0"/>
        <w:spacing w:before="29"/>
        <w:ind w:right="-24"/>
        <w:jc w:val="both"/>
        <w:rPr>
          <w:rFonts w:ascii="Calibri" w:eastAsia="Arial" w:hAnsi="Calibri" w:cs="Calibri"/>
          <w:sz w:val="16"/>
          <w:szCs w:val="16"/>
        </w:rPr>
      </w:pPr>
      <w:r w:rsidRPr="006D6338">
        <w:rPr>
          <w:rFonts w:ascii="Calibri" w:eastAsia="Arial" w:hAnsi="Calibri" w:cs="Calibri"/>
          <w:sz w:val="20"/>
          <w:szCs w:val="20"/>
        </w:rPr>
        <w:t xml:space="preserve">                        </w:t>
      </w:r>
    </w:p>
    <w:p w14:paraId="0719643F"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 xml:space="preserve">Financial Investments </w:t>
      </w:r>
    </w:p>
    <w:p w14:paraId="74276926" w14:textId="77777777" w:rsidR="00CC4100" w:rsidRPr="006D6338" w:rsidRDefault="00CC4100" w:rsidP="00CC4100">
      <w:pPr>
        <w:widowControl w:val="0"/>
        <w:autoSpaceDE w:val="0"/>
        <w:autoSpaceDN w:val="0"/>
        <w:rPr>
          <w:rFonts w:ascii="Calibri" w:eastAsia="Arial" w:hAnsi="Calibri" w:cs="Calibri"/>
          <w:sz w:val="16"/>
          <w:szCs w:val="16"/>
        </w:rPr>
      </w:pPr>
    </w:p>
    <w:p w14:paraId="26F9D3B6" w14:textId="77777777" w:rsidR="00CC4100" w:rsidRPr="006D6338" w:rsidRDefault="00CC4100" w:rsidP="00CC4100">
      <w:pPr>
        <w:widowControl w:val="0"/>
        <w:autoSpaceDE w:val="0"/>
        <w:autoSpaceDN w:val="0"/>
        <w:jc w:val="both"/>
        <w:rPr>
          <w:rFonts w:ascii="Calibri" w:eastAsia="Arial" w:hAnsi="Calibri" w:cs="Calibri"/>
          <w:sz w:val="16"/>
          <w:szCs w:val="16"/>
        </w:rPr>
      </w:pPr>
    </w:p>
    <w:p w14:paraId="593BBF2A" w14:textId="77777777" w:rsidR="00CC4100" w:rsidRPr="006D6338" w:rsidRDefault="00CC4100" w:rsidP="00CC4100">
      <w:pPr>
        <w:widowControl w:val="0"/>
        <w:autoSpaceDE w:val="0"/>
        <w:autoSpaceDN w:val="0"/>
        <w:jc w:val="both"/>
        <w:rPr>
          <w:rFonts w:ascii="Calibri" w:eastAsia="Arial" w:hAnsi="Calibri" w:cs="Calibri"/>
          <w:sz w:val="16"/>
          <w:szCs w:val="16"/>
        </w:rPr>
      </w:pPr>
    </w:p>
    <w:tbl>
      <w:tblPr>
        <w:tblW w:w="10065" w:type="dxa"/>
        <w:tblLayout w:type="fixed"/>
        <w:tblCellMar>
          <w:left w:w="0" w:type="dxa"/>
          <w:right w:w="0" w:type="dxa"/>
        </w:tblCellMar>
        <w:tblLook w:val="01E0" w:firstRow="1" w:lastRow="1" w:firstColumn="1" w:lastColumn="1" w:noHBand="0" w:noVBand="0"/>
      </w:tblPr>
      <w:tblGrid>
        <w:gridCol w:w="5954"/>
        <w:gridCol w:w="1417"/>
        <w:gridCol w:w="1418"/>
        <w:gridCol w:w="1276"/>
      </w:tblGrid>
      <w:tr w:rsidR="00CC4100" w:rsidRPr="006D6338" w14:paraId="7E6BE0DC" w14:textId="77777777" w:rsidTr="006D6338">
        <w:trPr>
          <w:trHeight w:val="20"/>
        </w:trPr>
        <w:tc>
          <w:tcPr>
            <w:tcW w:w="5954" w:type="dxa"/>
          </w:tcPr>
          <w:p w14:paraId="64218420" w14:textId="77777777" w:rsidR="00CC4100" w:rsidRPr="006D6338" w:rsidRDefault="00CC4100" w:rsidP="00A44FCD">
            <w:pPr>
              <w:pStyle w:val="TableParagraph"/>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Net book value</w:t>
            </w:r>
          </w:p>
        </w:tc>
        <w:tc>
          <w:tcPr>
            <w:tcW w:w="1417" w:type="dxa"/>
          </w:tcPr>
          <w:p w14:paraId="74D69F9B"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Terra Balcanica Resources Corp</w:t>
            </w:r>
          </w:p>
        </w:tc>
        <w:tc>
          <w:tcPr>
            <w:tcW w:w="1418" w:type="dxa"/>
          </w:tcPr>
          <w:p w14:paraId="68B5F14C"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 xml:space="preserve">Loyalist </w:t>
            </w:r>
          </w:p>
          <w:p w14:paraId="26F6D158"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 xml:space="preserve">Exploration </w:t>
            </w:r>
          </w:p>
          <w:p w14:paraId="65C9E38D"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 xml:space="preserve">Limited </w:t>
            </w:r>
          </w:p>
        </w:tc>
        <w:tc>
          <w:tcPr>
            <w:tcW w:w="1276" w:type="dxa"/>
          </w:tcPr>
          <w:p w14:paraId="0D2B761C" w14:textId="77777777" w:rsidR="00CC4100" w:rsidRPr="006D6338" w:rsidRDefault="00CC4100" w:rsidP="00A44FCD">
            <w:pPr>
              <w:jc w:val="right"/>
              <w:rPr>
                <w:rFonts w:ascii="Calibri" w:eastAsia="Times New Roman" w:hAnsi="Calibri" w:cs="Calibri"/>
                <w:b/>
                <w:bCs/>
                <w:sz w:val="16"/>
                <w:szCs w:val="16"/>
                <w:lang w:eastAsia="en-GB"/>
              </w:rPr>
            </w:pPr>
          </w:p>
          <w:p w14:paraId="575EDA80" w14:textId="77777777" w:rsidR="00CC4100" w:rsidRPr="006D6338" w:rsidRDefault="00CC4100" w:rsidP="00A44FCD">
            <w:pPr>
              <w:jc w:val="right"/>
              <w:rPr>
                <w:rFonts w:ascii="Calibri" w:eastAsia="Times New Roman" w:hAnsi="Calibri" w:cs="Calibri"/>
                <w:b/>
                <w:bCs/>
                <w:sz w:val="16"/>
                <w:szCs w:val="16"/>
                <w:lang w:eastAsia="en-GB"/>
              </w:rPr>
            </w:pPr>
          </w:p>
          <w:p w14:paraId="6CF14188" w14:textId="77777777" w:rsidR="00CC4100" w:rsidRPr="006D6338" w:rsidRDefault="00CC4100" w:rsidP="00A44FCD">
            <w:pPr>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Total</w:t>
            </w:r>
          </w:p>
        </w:tc>
      </w:tr>
      <w:tr w:rsidR="00CC4100" w:rsidRPr="006D6338" w14:paraId="1D0FC9C6" w14:textId="77777777" w:rsidTr="006D6338">
        <w:trPr>
          <w:trHeight w:val="20"/>
        </w:trPr>
        <w:tc>
          <w:tcPr>
            <w:tcW w:w="5954" w:type="dxa"/>
          </w:tcPr>
          <w:p w14:paraId="0B9E4BB1" w14:textId="77777777" w:rsidR="00CC4100" w:rsidRPr="006D6338" w:rsidRDefault="00CC4100" w:rsidP="00A44FCD">
            <w:pPr>
              <w:pStyle w:val="TableParagraph"/>
              <w:rPr>
                <w:rFonts w:ascii="Calibri" w:hAnsi="Calibri" w:cs="Calibri"/>
                <w:b/>
                <w:bCs/>
                <w:sz w:val="20"/>
              </w:rPr>
            </w:pPr>
          </w:p>
        </w:tc>
        <w:tc>
          <w:tcPr>
            <w:tcW w:w="1417" w:type="dxa"/>
          </w:tcPr>
          <w:p w14:paraId="52CA6AD7"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1418" w:type="dxa"/>
          </w:tcPr>
          <w:p w14:paraId="3A719405"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c>
          <w:tcPr>
            <w:tcW w:w="1276" w:type="dxa"/>
          </w:tcPr>
          <w:p w14:paraId="32485C75" w14:textId="77777777" w:rsidR="00CC4100" w:rsidRPr="006D6338" w:rsidRDefault="00CC4100" w:rsidP="00A44FCD">
            <w:pPr>
              <w:jc w:val="right"/>
              <w:rPr>
                <w:rFonts w:ascii="Calibri" w:eastAsia="Times New Roman" w:hAnsi="Calibri" w:cs="Calibri"/>
                <w:sz w:val="16"/>
                <w:szCs w:val="16"/>
                <w:lang w:eastAsia="en-GB"/>
              </w:rPr>
            </w:pPr>
            <w:r w:rsidRPr="006D6338">
              <w:rPr>
                <w:rFonts w:ascii="Calibri" w:eastAsia="Times New Roman" w:hAnsi="Calibri" w:cs="Calibri"/>
                <w:sz w:val="16"/>
                <w:szCs w:val="16"/>
                <w:lang w:eastAsia="en-GB"/>
              </w:rPr>
              <w:t>£</w:t>
            </w:r>
          </w:p>
        </w:tc>
      </w:tr>
      <w:tr w:rsidR="00CC4100" w:rsidRPr="006D6338" w14:paraId="3B6B237A" w14:textId="77777777" w:rsidTr="006D6338">
        <w:trPr>
          <w:trHeight w:val="20"/>
        </w:trPr>
        <w:tc>
          <w:tcPr>
            <w:tcW w:w="5954" w:type="dxa"/>
          </w:tcPr>
          <w:p w14:paraId="01BC7F89" w14:textId="77777777" w:rsidR="00CC4100" w:rsidRPr="006D6338" w:rsidRDefault="00CC4100" w:rsidP="00A44FCD">
            <w:pPr>
              <w:pStyle w:val="TableParagraph"/>
              <w:spacing w:before="2"/>
              <w:ind w:left="50"/>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At 1 January 2025</w:t>
            </w:r>
          </w:p>
        </w:tc>
        <w:tc>
          <w:tcPr>
            <w:tcW w:w="1417" w:type="dxa"/>
          </w:tcPr>
          <w:p w14:paraId="37754CA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77,550</w:t>
            </w:r>
          </w:p>
        </w:tc>
        <w:tc>
          <w:tcPr>
            <w:tcW w:w="1418" w:type="dxa"/>
          </w:tcPr>
          <w:p w14:paraId="2A09E6F4" w14:textId="77777777" w:rsidR="00CC4100" w:rsidRPr="006D6338" w:rsidRDefault="00CC4100" w:rsidP="00A44FCD">
            <w:pPr>
              <w:pStyle w:val="TableParagraph"/>
              <w:spacing w:before="2"/>
              <w:ind w:right="171"/>
              <w:jc w:val="right"/>
              <w:rPr>
                <w:rFonts w:ascii="Calibri" w:eastAsia="Times New Roman" w:hAnsi="Calibri" w:cs="Calibri"/>
                <w:sz w:val="16"/>
                <w:szCs w:val="16"/>
                <w:lang w:val="en-GB"/>
              </w:rPr>
            </w:pPr>
            <w:r w:rsidRPr="006D6338">
              <w:rPr>
                <w:rFonts w:ascii="Calibri" w:eastAsia="Times New Roman" w:hAnsi="Calibri" w:cs="Calibri"/>
                <w:sz w:val="16"/>
                <w:szCs w:val="16"/>
                <w:lang w:val="en-GB"/>
              </w:rPr>
              <w:t>-</w:t>
            </w:r>
          </w:p>
        </w:tc>
        <w:tc>
          <w:tcPr>
            <w:tcW w:w="1276" w:type="dxa"/>
          </w:tcPr>
          <w:p w14:paraId="58EDF209"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77,550</w:t>
            </w:r>
          </w:p>
        </w:tc>
      </w:tr>
      <w:tr w:rsidR="00CC4100" w:rsidRPr="006D6338" w14:paraId="77E58ED7" w14:textId="77777777" w:rsidTr="006D6338">
        <w:trPr>
          <w:trHeight w:val="20"/>
        </w:trPr>
        <w:tc>
          <w:tcPr>
            <w:tcW w:w="5954" w:type="dxa"/>
          </w:tcPr>
          <w:p w14:paraId="183CE1DB" w14:textId="77777777" w:rsidR="00CC4100" w:rsidRPr="006D6338" w:rsidRDefault="00CC4100" w:rsidP="00A44FCD">
            <w:pPr>
              <w:pStyle w:val="TableParagraph"/>
              <w:spacing w:after="240"/>
              <w:rPr>
                <w:rFonts w:ascii="Calibri" w:eastAsia="Times New Roman" w:hAnsi="Calibri" w:cs="Calibri"/>
                <w:sz w:val="16"/>
                <w:szCs w:val="16"/>
                <w:lang w:val="en-GB"/>
              </w:rPr>
            </w:pPr>
            <w:r w:rsidRPr="006D6338">
              <w:rPr>
                <w:rFonts w:ascii="Calibri" w:eastAsia="Times New Roman" w:hAnsi="Calibri" w:cs="Calibri"/>
                <w:sz w:val="16"/>
                <w:szCs w:val="16"/>
                <w:lang w:val="en-GB"/>
              </w:rPr>
              <w:t>Fair value movement on financial investment through other comprehensive income</w:t>
            </w:r>
          </w:p>
        </w:tc>
        <w:tc>
          <w:tcPr>
            <w:tcW w:w="1417" w:type="dxa"/>
            <w:tcBorders>
              <w:bottom w:val="single" w:sz="4" w:space="0" w:color="auto"/>
            </w:tcBorders>
            <w:vAlign w:val="bottom"/>
          </w:tcPr>
          <w:p w14:paraId="72B13C90"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29,056</w:t>
            </w:r>
          </w:p>
        </w:tc>
        <w:tc>
          <w:tcPr>
            <w:tcW w:w="1418" w:type="dxa"/>
            <w:tcBorders>
              <w:bottom w:val="single" w:sz="4" w:space="0" w:color="auto"/>
            </w:tcBorders>
            <w:vAlign w:val="bottom"/>
          </w:tcPr>
          <w:p w14:paraId="146D4E63"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276" w:type="dxa"/>
            <w:tcBorders>
              <w:bottom w:val="single" w:sz="4" w:space="0" w:color="auto"/>
            </w:tcBorders>
            <w:vAlign w:val="bottom"/>
          </w:tcPr>
          <w:p w14:paraId="4064D8FF"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29,056</w:t>
            </w:r>
          </w:p>
        </w:tc>
      </w:tr>
      <w:tr w:rsidR="00CC4100" w:rsidRPr="006D6338" w14:paraId="37416D33" w14:textId="77777777" w:rsidTr="006D6338">
        <w:trPr>
          <w:trHeight w:val="20"/>
        </w:trPr>
        <w:tc>
          <w:tcPr>
            <w:tcW w:w="5954" w:type="dxa"/>
          </w:tcPr>
          <w:p w14:paraId="3CA5D700" w14:textId="77777777" w:rsidR="00CC4100" w:rsidRPr="006D6338" w:rsidRDefault="00CC4100" w:rsidP="00A44FCD">
            <w:pPr>
              <w:pStyle w:val="TableParagraph"/>
              <w:spacing w:before="2"/>
              <w:ind w:left="50"/>
              <w:rPr>
                <w:rFonts w:ascii="Calibri" w:eastAsia="Times New Roman" w:hAnsi="Calibri" w:cs="Calibri"/>
                <w:sz w:val="16"/>
                <w:szCs w:val="16"/>
                <w:lang w:val="en-GB"/>
              </w:rPr>
            </w:pPr>
            <w:r w:rsidRPr="006D6338">
              <w:rPr>
                <w:rFonts w:ascii="Calibri" w:eastAsia="Times New Roman" w:hAnsi="Calibri" w:cs="Calibri"/>
                <w:b/>
                <w:bCs/>
                <w:sz w:val="16"/>
                <w:szCs w:val="16"/>
                <w:lang w:val="en-GB"/>
              </w:rPr>
              <w:t>At 30 June 2025</w:t>
            </w:r>
          </w:p>
        </w:tc>
        <w:tc>
          <w:tcPr>
            <w:tcW w:w="1417" w:type="dxa"/>
            <w:tcBorders>
              <w:top w:val="single" w:sz="4" w:space="0" w:color="auto"/>
              <w:bottom w:val="double" w:sz="4" w:space="0" w:color="auto"/>
            </w:tcBorders>
            <w:vAlign w:val="bottom"/>
          </w:tcPr>
          <w:p w14:paraId="4135EF72"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106,606</w:t>
            </w:r>
          </w:p>
        </w:tc>
        <w:tc>
          <w:tcPr>
            <w:tcW w:w="1418" w:type="dxa"/>
            <w:tcBorders>
              <w:top w:val="single" w:sz="4" w:space="0" w:color="auto"/>
              <w:bottom w:val="double" w:sz="4" w:space="0" w:color="auto"/>
            </w:tcBorders>
            <w:vAlign w:val="bottom"/>
          </w:tcPr>
          <w:p w14:paraId="4D2FB717"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c>
          <w:tcPr>
            <w:tcW w:w="1276" w:type="dxa"/>
            <w:tcBorders>
              <w:top w:val="single" w:sz="4" w:space="0" w:color="auto"/>
              <w:bottom w:val="double" w:sz="4" w:space="0" w:color="auto"/>
            </w:tcBorders>
            <w:vAlign w:val="bottom"/>
          </w:tcPr>
          <w:p w14:paraId="3A8FBC8E"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106,606</w:t>
            </w:r>
          </w:p>
        </w:tc>
      </w:tr>
      <w:tr w:rsidR="00CC4100" w:rsidRPr="006D6338" w14:paraId="452D91A9" w14:textId="77777777" w:rsidTr="006D6338">
        <w:trPr>
          <w:trHeight w:val="20"/>
        </w:trPr>
        <w:tc>
          <w:tcPr>
            <w:tcW w:w="5954" w:type="dxa"/>
          </w:tcPr>
          <w:p w14:paraId="640720A8" w14:textId="77777777" w:rsidR="00CC4100" w:rsidRPr="006D6338" w:rsidRDefault="00CC4100" w:rsidP="00A44FCD">
            <w:pPr>
              <w:pStyle w:val="TableParagraph"/>
              <w:spacing w:before="2"/>
              <w:ind w:left="50"/>
              <w:rPr>
                <w:rFonts w:ascii="Calibri" w:eastAsia="Times New Roman" w:hAnsi="Calibri" w:cs="Calibri"/>
                <w:b/>
                <w:bCs/>
                <w:sz w:val="16"/>
                <w:szCs w:val="16"/>
                <w:lang w:val="en-GB"/>
              </w:rPr>
            </w:pPr>
          </w:p>
        </w:tc>
        <w:tc>
          <w:tcPr>
            <w:tcW w:w="1417" w:type="dxa"/>
            <w:tcBorders>
              <w:top w:val="double" w:sz="4" w:space="0" w:color="auto"/>
            </w:tcBorders>
            <w:vAlign w:val="bottom"/>
          </w:tcPr>
          <w:p w14:paraId="007CB2CA"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p>
        </w:tc>
        <w:tc>
          <w:tcPr>
            <w:tcW w:w="1418" w:type="dxa"/>
            <w:tcBorders>
              <w:top w:val="double" w:sz="4" w:space="0" w:color="auto"/>
            </w:tcBorders>
            <w:vAlign w:val="bottom"/>
          </w:tcPr>
          <w:p w14:paraId="4AE3961F"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p>
        </w:tc>
        <w:tc>
          <w:tcPr>
            <w:tcW w:w="1276" w:type="dxa"/>
            <w:tcBorders>
              <w:top w:val="double" w:sz="4" w:space="0" w:color="auto"/>
            </w:tcBorders>
            <w:vAlign w:val="bottom"/>
          </w:tcPr>
          <w:p w14:paraId="1802F995" w14:textId="77777777" w:rsidR="00CC4100" w:rsidRPr="006D6338" w:rsidRDefault="00CC4100" w:rsidP="00A44FCD">
            <w:pPr>
              <w:tabs>
                <w:tab w:val="left" w:pos="0"/>
              </w:tabs>
              <w:spacing w:after="240"/>
              <w:jc w:val="right"/>
              <w:rPr>
                <w:rFonts w:ascii="Calibri" w:eastAsia="Times New Roman" w:hAnsi="Calibri" w:cs="Calibri"/>
                <w:b/>
                <w:bCs/>
                <w:color w:val="000000"/>
                <w:sz w:val="16"/>
                <w:szCs w:val="16"/>
                <w:lang w:eastAsia="en-GB"/>
              </w:rPr>
            </w:pPr>
          </w:p>
        </w:tc>
      </w:tr>
      <w:tr w:rsidR="00CC4100" w:rsidRPr="006D6338" w14:paraId="56BB7C61" w14:textId="77777777" w:rsidTr="006D6338">
        <w:trPr>
          <w:trHeight w:val="20"/>
        </w:trPr>
        <w:tc>
          <w:tcPr>
            <w:tcW w:w="5954" w:type="dxa"/>
          </w:tcPr>
          <w:p w14:paraId="0039D3A5" w14:textId="77777777" w:rsidR="00CC4100" w:rsidRPr="006D6338" w:rsidRDefault="00CC4100" w:rsidP="00A44FCD">
            <w:pPr>
              <w:pStyle w:val="TableParagraph"/>
              <w:spacing w:before="240"/>
              <w:ind w:left="50"/>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At 1 January 2025</w:t>
            </w:r>
          </w:p>
        </w:tc>
        <w:tc>
          <w:tcPr>
            <w:tcW w:w="1417" w:type="dxa"/>
          </w:tcPr>
          <w:p w14:paraId="45790CD9" w14:textId="77777777" w:rsidR="00CC4100" w:rsidRPr="006D6338" w:rsidRDefault="00CC4100" w:rsidP="00A44FCD">
            <w:pPr>
              <w:tabs>
                <w:tab w:val="left" w:pos="0"/>
              </w:tabs>
              <w:spacing w:before="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77,550</w:t>
            </w:r>
          </w:p>
        </w:tc>
        <w:tc>
          <w:tcPr>
            <w:tcW w:w="1418" w:type="dxa"/>
          </w:tcPr>
          <w:p w14:paraId="4FEECB9B" w14:textId="77777777" w:rsidR="00CC4100" w:rsidRPr="006D6338" w:rsidRDefault="00CC4100" w:rsidP="00A44FCD">
            <w:pPr>
              <w:pStyle w:val="TableParagraph"/>
              <w:spacing w:before="240"/>
              <w:ind w:right="171"/>
              <w:jc w:val="right"/>
              <w:rPr>
                <w:rFonts w:ascii="Calibri" w:eastAsia="Times New Roman" w:hAnsi="Calibri" w:cs="Calibri"/>
                <w:sz w:val="16"/>
                <w:szCs w:val="16"/>
                <w:lang w:val="en-GB"/>
              </w:rPr>
            </w:pPr>
            <w:r w:rsidRPr="006D6338">
              <w:rPr>
                <w:rFonts w:ascii="Calibri" w:eastAsia="Times New Roman" w:hAnsi="Calibri" w:cs="Calibri"/>
                <w:sz w:val="16"/>
                <w:szCs w:val="16"/>
                <w:lang w:val="en-GB"/>
              </w:rPr>
              <w:t>-</w:t>
            </w:r>
          </w:p>
        </w:tc>
        <w:tc>
          <w:tcPr>
            <w:tcW w:w="1276" w:type="dxa"/>
          </w:tcPr>
          <w:p w14:paraId="1705DB51" w14:textId="77777777" w:rsidR="00CC4100" w:rsidRPr="006D6338" w:rsidRDefault="00CC4100" w:rsidP="00A44FCD">
            <w:pPr>
              <w:tabs>
                <w:tab w:val="left" w:pos="0"/>
              </w:tabs>
              <w:spacing w:before="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77,550</w:t>
            </w:r>
          </w:p>
        </w:tc>
      </w:tr>
      <w:tr w:rsidR="00CC4100" w:rsidRPr="006D6338" w14:paraId="77CDC1AE" w14:textId="77777777" w:rsidTr="006D6338">
        <w:trPr>
          <w:trHeight w:val="20"/>
        </w:trPr>
        <w:tc>
          <w:tcPr>
            <w:tcW w:w="5954" w:type="dxa"/>
          </w:tcPr>
          <w:p w14:paraId="719F79CA" w14:textId="77777777" w:rsidR="00CC4100" w:rsidRPr="006D6338" w:rsidRDefault="00CC4100" w:rsidP="00A44FCD">
            <w:pPr>
              <w:pStyle w:val="TableParagraph"/>
              <w:spacing w:before="240" w:after="240"/>
              <w:ind w:left="50"/>
              <w:rPr>
                <w:rFonts w:ascii="Calibri" w:eastAsia="Times New Roman" w:hAnsi="Calibri" w:cs="Calibri"/>
                <w:sz w:val="16"/>
                <w:szCs w:val="16"/>
                <w:lang w:val="en-GB"/>
              </w:rPr>
            </w:pPr>
            <w:r w:rsidRPr="006D6338">
              <w:rPr>
                <w:rFonts w:ascii="Calibri" w:eastAsia="Times New Roman" w:hAnsi="Calibri" w:cs="Calibri"/>
                <w:sz w:val="16"/>
                <w:szCs w:val="16"/>
                <w:lang w:val="en-GB"/>
              </w:rPr>
              <w:t>Additions</w:t>
            </w:r>
          </w:p>
        </w:tc>
        <w:tc>
          <w:tcPr>
            <w:tcW w:w="1417" w:type="dxa"/>
            <w:vAlign w:val="bottom"/>
          </w:tcPr>
          <w:p w14:paraId="0E103172"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189,979</w:t>
            </w:r>
          </w:p>
        </w:tc>
        <w:tc>
          <w:tcPr>
            <w:tcW w:w="1418" w:type="dxa"/>
            <w:vAlign w:val="bottom"/>
          </w:tcPr>
          <w:p w14:paraId="1E45AE05"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854,360</w:t>
            </w:r>
          </w:p>
        </w:tc>
        <w:tc>
          <w:tcPr>
            <w:tcW w:w="1276" w:type="dxa"/>
            <w:vAlign w:val="bottom"/>
          </w:tcPr>
          <w:p w14:paraId="7231B3DB" w14:textId="77777777" w:rsidR="00CC4100" w:rsidRPr="006D6338" w:rsidRDefault="00CC4100" w:rsidP="00A44FCD">
            <w:pPr>
              <w:tabs>
                <w:tab w:val="left" w:pos="0"/>
              </w:tabs>
              <w:spacing w:after="24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1,044,339</w:t>
            </w:r>
          </w:p>
        </w:tc>
      </w:tr>
      <w:tr w:rsidR="00CC4100" w:rsidRPr="006D6338" w14:paraId="648F9268" w14:textId="77777777" w:rsidTr="006D6338">
        <w:trPr>
          <w:trHeight w:val="20"/>
        </w:trPr>
        <w:tc>
          <w:tcPr>
            <w:tcW w:w="5954" w:type="dxa"/>
          </w:tcPr>
          <w:p w14:paraId="2B8C2A6C" w14:textId="77777777" w:rsidR="00CC4100" w:rsidRPr="006D6338" w:rsidRDefault="00CC4100" w:rsidP="00A44FCD">
            <w:pPr>
              <w:pStyle w:val="TableParagraph"/>
              <w:spacing w:line="227" w:lineRule="exact"/>
              <w:ind w:left="50"/>
              <w:rPr>
                <w:rFonts w:ascii="Calibri" w:eastAsia="Times New Roman" w:hAnsi="Calibri" w:cs="Calibri"/>
                <w:sz w:val="16"/>
                <w:szCs w:val="16"/>
                <w:lang w:val="en-GB"/>
              </w:rPr>
            </w:pPr>
            <w:r w:rsidRPr="006D6338">
              <w:rPr>
                <w:rFonts w:ascii="Calibri" w:eastAsia="Times New Roman" w:hAnsi="Calibri" w:cs="Calibri"/>
                <w:sz w:val="16"/>
                <w:szCs w:val="16"/>
                <w:lang w:val="en-GB"/>
              </w:rPr>
              <w:t>Fair value movement on financial investment through other comprehensive income</w:t>
            </w:r>
          </w:p>
        </w:tc>
        <w:tc>
          <w:tcPr>
            <w:tcW w:w="1417" w:type="dxa"/>
            <w:tcBorders>
              <w:bottom w:val="single" w:sz="4" w:space="0" w:color="auto"/>
            </w:tcBorders>
          </w:tcPr>
          <w:p w14:paraId="3B442E9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p w14:paraId="41BC9AB8"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96,206</w:t>
            </w:r>
          </w:p>
        </w:tc>
        <w:tc>
          <w:tcPr>
            <w:tcW w:w="1418" w:type="dxa"/>
            <w:tcBorders>
              <w:bottom w:val="single" w:sz="4" w:space="0" w:color="auto"/>
            </w:tcBorders>
          </w:tcPr>
          <w:p w14:paraId="7B88575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p w14:paraId="388B7DEC"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640,293</w:t>
            </w:r>
          </w:p>
        </w:tc>
        <w:tc>
          <w:tcPr>
            <w:tcW w:w="1276" w:type="dxa"/>
            <w:tcBorders>
              <w:bottom w:val="single" w:sz="4" w:space="0" w:color="auto"/>
            </w:tcBorders>
          </w:tcPr>
          <w:p w14:paraId="5A6A8DFD"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p w14:paraId="44D6192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736,499</w:t>
            </w:r>
          </w:p>
        </w:tc>
      </w:tr>
      <w:tr w:rsidR="00CC4100" w:rsidRPr="006D6338" w14:paraId="37D39B6D" w14:textId="77777777" w:rsidTr="006D6338">
        <w:trPr>
          <w:trHeight w:val="20"/>
        </w:trPr>
        <w:tc>
          <w:tcPr>
            <w:tcW w:w="5954" w:type="dxa"/>
          </w:tcPr>
          <w:p w14:paraId="72F0842F" w14:textId="77777777" w:rsidR="00CC4100" w:rsidRPr="006D6338" w:rsidRDefault="00CC4100" w:rsidP="00A44FCD">
            <w:pPr>
              <w:pStyle w:val="TableParagraph"/>
              <w:spacing w:before="2"/>
              <w:ind w:left="50"/>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At 31 December 2025</w:t>
            </w:r>
          </w:p>
        </w:tc>
        <w:tc>
          <w:tcPr>
            <w:tcW w:w="1417" w:type="dxa"/>
            <w:tcBorders>
              <w:top w:val="single" w:sz="4" w:space="0" w:color="auto"/>
              <w:bottom w:val="double" w:sz="4" w:space="0" w:color="auto"/>
            </w:tcBorders>
          </w:tcPr>
          <w:p w14:paraId="100BE83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363,735</w:t>
            </w:r>
          </w:p>
        </w:tc>
        <w:tc>
          <w:tcPr>
            <w:tcW w:w="1418" w:type="dxa"/>
            <w:tcBorders>
              <w:top w:val="single" w:sz="4" w:space="0" w:color="auto"/>
              <w:bottom w:val="double" w:sz="4" w:space="0" w:color="auto"/>
            </w:tcBorders>
          </w:tcPr>
          <w:p w14:paraId="33D7C060"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1,494,653</w:t>
            </w:r>
          </w:p>
        </w:tc>
        <w:tc>
          <w:tcPr>
            <w:tcW w:w="1276" w:type="dxa"/>
            <w:tcBorders>
              <w:top w:val="single" w:sz="4" w:space="0" w:color="auto"/>
              <w:bottom w:val="double" w:sz="4" w:space="0" w:color="auto"/>
            </w:tcBorders>
          </w:tcPr>
          <w:p w14:paraId="76FBE02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1,858,388</w:t>
            </w:r>
          </w:p>
        </w:tc>
      </w:tr>
      <w:tr w:rsidR="00CC4100" w:rsidRPr="006D6338" w14:paraId="7F982281" w14:textId="77777777" w:rsidTr="006D6338">
        <w:trPr>
          <w:trHeight w:val="20"/>
        </w:trPr>
        <w:tc>
          <w:tcPr>
            <w:tcW w:w="5954" w:type="dxa"/>
          </w:tcPr>
          <w:p w14:paraId="4BFE7B4A" w14:textId="77777777" w:rsidR="00CC4100" w:rsidRPr="006D6338" w:rsidRDefault="00CC4100" w:rsidP="00A44FCD">
            <w:pPr>
              <w:pStyle w:val="TableParagraph"/>
              <w:spacing w:before="2"/>
              <w:ind w:left="50"/>
              <w:rPr>
                <w:rFonts w:ascii="Calibri" w:eastAsia="Times New Roman" w:hAnsi="Calibri" w:cs="Calibri"/>
                <w:b/>
                <w:bCs/>
                <w:sz w:val="16"/>
                <w:szCs w:val="16"/>
                <w:lang w:val="en-GB"/>
              </w:rPr>
            </w:pPr>
          </w:p>
        </w:tc>
        <w:tc>
          <w:tcPr>
            <w:tcW w:w="1417" w:type="dxa"/>
            <w:tcBorders>
              <w:top w:val="double" w:sz="4" w:space="0" w:color="auto"/>
            </w:tcBorders>
          </w:tcPr>
          <w:p w14:paraId="7CCCA5CA"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c>
          <w:tcPr>
            <w:tcW w:w="1418" w:type="dxa"/>
            <w:tcBorders>
              <w:top w:val="double" w:sz="4" w:space="0" w:color="auto"/>
            </w:tcBorders>
          </w:tcPr>
          <w:p w14:paraId="52012367"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c>
          <w:tcPr>
            <w:tcW w:w="1276" w:type="dxa"/>
            <w:tcBorders>
              <w:top w:val="double" w:sz="4" w:space="0" w:color="auto"/>
            </w:tcBorders>
          </w:tcPr>
          <w:p w14:paraId="10B80B5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r>
      <w:tr w:rsidR="00CC4100" w:rsidRPr="006D6338" w14:paraId="339615D4" w14:textId="77777777" w:rsidTr="006D6338">
        <w:trPr>
          <w:trHeight w:val="20"/>
        </w:trPr>
        <w:tc>
          <w:tcPr>
            <w:tcW w:w="5954" w:type="dxa"/>
            <w:vAlign w:val="bottom"/>
          </w:tcPr>
          <w:p w14:paraId="0A70B284" w14:textId="77777777" w:rsidR="00CC4100" w:rsidRPr="006D6338" w:rsidRDefault="00CC4100" w:rsidP="00A44FCD">
            <w:pPr>
              <w:pStyle w:val="TableParagraph"/>
              <w:spacing w:before="240" w:after="120"/>
              <w:ind w:left="50"/>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At 1 January 2026</w:t>
            </w:r>
          </w:p>
        </w:tc>
        <w:tc>
          <w:tcPr>
            <w:tcW w:w="1417" w:type="dxa"/>
            <w:vAlign w:val="bottom"/>
          </w:tcPr>
          <w:p w14:paraId="207D2AFA"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363,735</w:t>
            </w:r>
          </w:p>
        </w:tc>
        <w:tc>
          <w:tcPr>
            <w:tcW w:w="1418" w:type="dxa"/>
            <w:vAlign w:val="bottom"/>
          </w:tcPr>
          <w:p w14:paraId="7CE6750F"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1,494,653</w:t>
            </w:r>
          </w:p>
        </w:tc>
        <w:tc>
          <w:tcPr>
            <w:tcW w:w="1276" w:type="dxa"/>
            <w:vAlign w:val="bottom"/>
          </w:tcPr>
          <w:p w14:paraId="3025C227"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1,858,388</w:t>
            </w:r>
          </w:p>
        </w:tc>
      </w:tr>
      <w:tr w:rsidR="00CC4100" w:rsidRPr="006D6338" w14:paraId="1CD2CE8D" w14:textId="77777777" w:rsidTr="006D6338">
        <w:trPr>
          <w:trHeight w:val="20"/>
        </w:trPr>
        <w:tc>
          <w:tcPr>
            <w:tcW w:w="5954" w:type="dxa"/>
            <w:vAlign w:val="center"/>
          </w:tcPr>
          <w:p w14:paraId="1FD040AE" w14:textId="77777777" w:rsidR="00CC4100" w:rsidRPr="006D6338" w:rsidRDefault="00CC4100" w:rsidP="00A44FCD">
            <w:pPr>
              <w:pStyle w:val="TableParagraph"/>
              <w:spacing w:after="120"/>
              <w:ind w:left="50"/>
              <w:rPr>
                <w:rFonts w:ascii="Calibri" w:eastAsia="Times New Roman" w:hAnsi="Calibri" w:cs="Calibri"/>
                <w:sz w:val="16"/>
                <w:szCs w:val="16"/>
                <w:lang w:val="en-GB"/>
              </w:rPr>
            </w:pPr>
            <w:r w:rsidRPr="006D6338">
              <w:rPr>
                <w:rFonts w:ascii="Calibri" w:eastAsia="Times New Roman" w:hAnsi="Calibri" w:cs="Calibri"/>
                <w:sz w:val="16"/>
                <w:szCs w:val="16"/>
                <w:lang w:val="en-GB"/>
              </w:rPr>
              <w:t>Additions</w:t>
            </w:r>
          </w:p>
        </w:tc>
        <w:tc>
          <w:tcPr>
            <w:tcW w:w="1417" w:type="dxa"/>
            <w:vAlign w:val="center"/>
          </w:tcPr>
          <w:p w14:paraId="134E24D0"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418" w:type="dxa"/>
            <w:vAlign w:val="center"/>
          </w:tcPr>
          <w:p w14:paraId="37E6EB9F"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6,521</w:t>
            </w:r>
          </w:p>
        </w:tc>
        <w:tc>
          <w:tcPr>
            <w:tcW w:w="1276" w:type="dxa"/>
            <w:vAlign w:val="center"/>
          </w:tcPr>
          <w:p w14:paraId="30EA051C" w14:textId="77777777" w:rsidR="00CC4100" w:rsidRPr="006D6338" w:rsidRDefault="00CC4100" w:rsidP="00A44FCD">
            <w:pPr>
              <w:tabs>
                <w:tab w:val="left" w:pos="0"/>
              </w:tabs>
              <w:spacing w:after="120"/>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6,521</w:t>
            </w:r>
          </w:p>
        </w:tc>
      </w:tr>
      <w:tr w:rsidR="00CC4100" w:rsidRPr="006D6338" w14:paraId="4CD533C9" w14:textId="77777777" w:rsidTr="006D6338">
        <w:trPr>
          <w:trHeight w:val="20"/>
        </w:trPr>
        <w:tc>
          <w:tcPr>
            <w:tcW w:w="5954" w:type="dxa"/>
          </w:tcPr>
          <w:p w14:paraId="5E4AC6B8" w14:textId="77777777" w:rsidR="00CC4100" w:rsidRPr="006D6338" w:rsidRDefault="00CC4100" w:rsidP="00A44FCD">
            <w:pPr>
              <w:pStyle w:val="TableParagraph"/>
              <w:ind w:left="50"/>
              <w:rPr>
                <w:rFonts w:ascii="Calibri" w:eastAsia="Times New Roman" w:hAnsi="Calibri" w:cs="Calibri"/>
                <w:sz w:val="16"/>
                <w:szCs w:val="16"/>
                <w:lang w:val="en-GB"/>
              </w:rPr>
            </w:pPr>
            <w:r w:rsidRPr="006D6338">
              <w:rPr>
                <w:rFonts w:ascii="Calibri" w:eastAsia="Times New Roman" w:hAnsi="Calibri" w:cs="Calibri"/>
                <w:sz w:val="16"/>
                <w:szCs w:val="16"/>
              </w:rPr>
              <w:t>Foreign exchange movement within the period</w:t>
            </w:r>
          </w:p>
        </w:tc>
        <w:tc>
          <w:tcPr>
            <w:tcW w:w="1417" w:type="dxa"/>
          </w:tcPr>
          <w:p w14:paraId="75B6765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(7,395)</w:t>
            </w:r>
          </w:p>
        </w:tc>
        <w:tc>
          <w:tcPr>
            <w:tcW w:w="1418" w:type="dxa"/>
          </w:tcPr>
          <w:p w14:paraId="73E66D8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(30,533)</w:t>
            </w:r>
          </w:p>
        </w:tc>
        <w:tc>
          <w:tcPr>
            <w:tcW w:w="1276" w:type="dxa"/>
          </w:tcPr>
          <w:p w14:paraId="6A049501"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(37,928)</w:t>
            </w:r>
          </w:p>
        </w:tc>
      </w:tr>
      <w:tr w:rsidR="00CC4100" w:rsidRPr="006D6338" w14:paraId="43BBACA1" w14:textId="77777777" w:rsidTr="006D6338">
        <w:trPr>
          <w:trHeight w:val="20"/>
        </w:trPr>
        <w:tc>
          <w:tcPr>
            <w:tcW w:w="5954" w:type="dxa"/>
          </w:tcPr>
          <w:p w14:paraId="2A30797E" w14:textId="77777777" w:rsidR="00CC4100" w:rsidRPr="006D6338" w:rsidRDefault="00CC4100" w:rsidP="00A44FCD">
            <w:pPr>
              <w:pStyle w:val="TableParagraph"/>
              <w:ind w:left="50"/>
              <w:rPr>
                <w:rFonts w:ascii="Calibri" w:eastAsia="Times New Roman" w:hAnsi="Calibri" w:cs="Calibri"/>
                <w:sz w:val="16"/>
                <w:szCs w:val="16"/>
                <w:lang w:val="en-GB"/>
              </w:rPr>
            </w:pPr>
            <w:r w:rsidRPr="006D6338">
              <w:rPr>
                <w:rFonts w:ascii="Calibri" w:eastAsia="Times New Roman" w:hAnsi="Calibri" w:cs="Calibri"/>
                <w:sz w:val="16"/>
                <w:szCs w:val="16"/>
                <w:lang w:val="en-GB"/>
              </w:rPr>
              <w:t>Fair value movement on financial investment through other comprehensive income</w:t>
            </w:r>
          </w:p>
        </w:tc>
        <w:tc>
          <w:tcPr>
            <w:tcW w:w="1417" w:type="dxa"/>
            <w:tcBorders>
              <w:bottom w:val="single" w:sz="4" w:space="0" w:color="auto"/>
            </w:tcBorders>
          </w:tcPr>
          <w:p w14:paraId="20B19797"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(200,355)</w:t>
            </w:r>
          </w:p>
        </w:tc>
        <w:tc>
          <w:tcPr>
            <w:tcW w:w="1418" w:type="dxa"/>
            <w:tcBorders>
              <w:bottom w:val="single" w:sz="4" w:space="0" w:color="auto"/>
            </w:tcBorders>
          </w:tcPr>
          <w:p w14:paraId="581133E7"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208,345</w:t>
            </w:r>
          </w:p>
        </w:tc>
        <w:tc>
          <w:tcPr>
            <w:tcW w:w="1276" w:type="dxa"/>
            <w:tcBorders>
              <w:bottom w:val="single" w:sz="4" w:space="0" w:color="auto"/>
            </w:tcBorders>
          </w:tcPr>
          <w:p w14:paraId="2700F9A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7,990</w:t>
            </w:r>
          </w:p>
          <w:p w14:paraId="6B76B2F1"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tc>
      </w:tr>
      <w:tr w:rsidR="00CC4100" w:rsidRPr="006D6338" w14:paraId="6519D9EA" w14:textId="77777777" w:rsidTr="006D6338">
        <w:trPr>
          <w:trHeight w:val="20"/>
        </w:trPr>
        <w:tc>
          <w:tcPr>
            <w:tcW w:w="5954" w:type="dxa"/>
          </w:tcPr>
          <w:p w14:paraId="11DA77AE" w14:textId="77777777" w:rsidR="00CC4100" w:rsidRPr="006D6338" w:rsidRDefault="00CC4100" w:rsidP="00A44FCD">
            <w:pPr>
              <w:pStyle w:val="TableParagraph"/>
              <w:ind w:left="50"/>
              <w:rPr>
                <w:rFonts w:ascii="Calibri" w:eastAsia="Times New Roman" w:hAnsi="Calibri" w:cs="Calibri"/>
                <w:b/>
                <w:bCs/>
                <w:sz w:val="16"/>
                <w:szCs w:val="16"/>
                <w:lang w:val="en-GB"/>
              </w:rPr>
            </w:pPr>
            <w:r w:rsidRPr="006D6338">
              <w:rPr>
                <w:rFonts w:ascii="Calibri" w:eastAsia="Times New Roman" w:hAnsi="Calibri" w:cs="Calibri"/>
                <w:b/>
                <w:bCs/>
                <w:sz w:val="16"/>
                <w:szCs w:val="16"/>
                <w:lang w:val="en-GB"/>
              </w:rPr>
              <w:t>At 30 June 2026</w:t>
            </w:r>
          </w:p>
        </w:tc>
        <w:tc>
          <w:tcPr>
            <w:tcW w:w="1417" w:type="dxa"/>
            <w:tcBorders>
              <w:top w:val="single" w:sz="4" w:space="0" w:color="auto"/>
              <w:bottom w:val="double" w:sz="4" w:space="0" w:color="auto"/>
            </w:tcBorders>
          </w:tcPr>
          <w:p w14:paraId="052E03DD"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155,985</w:t>
            </w:r>
          </w:p>
        </w:tc>
        <w:tc>
          <w:tcPr>
            <w:tcW w:w="1418" w:type="dxa"/>
            <w:tcBorders>
              <w:top w:val="single" w:sz="4" w:space="0" w:color="auto"/>
              <w:bottom w:val="double" w:sz="4" w:space="0" w:color="auto"/>
            </w:tcBorders>
          </w:tcPr>
          <w:p w14:paraId="5156EADC"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1,678,986</w:t>
            </w:r>
          </w:p>
        </w:tc>
        <w:tc>
          <w:tcPr>
            <w:tcW w:w="1276" w:type="dxa"/>
            <w:tcBorders>
              <w:top w:val="single" w:sz="4" w:space="0" w:color="auto"/>
              <w:bottom w:val="double" w:sz="4" w:space="0" w:color="auto"/>
            </w:tcBorders>
          </w:tcPr>
          <w:p w14:paraId="0E7CCEE5"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1,834,971</w:t>
            </w:r>
          </w:p>
        </w:tc>
      </w:tr>
    </w:tbl>
    <w:p w14:paraId="2BC9E516" w14:textId="77777777" w:rsidR="00CC4100" w:rsidRPr="006D6338" w:rsidRDefault="00CC4100" w:rsidP="00CC4100">
      <w:pPr>
        <w:widowControl w:val="0"/>
        <w:autoSpaceDE w:val="0"/>
        <w:autoSpaceDN w:val="0"/>
        <w:jc w:val="both"/>
        <w:rPr>
          <w:rFonts w:ascii="Calibri" w:eastAsia="Arial" w:hAnsi="Calibri" w:cs="Calibri"/>
          <w:b/>
          <w:bCs/>
          <w:sz w:val="16"/>
          <w:szCs w:val="16"/>
        </w:rPr>
      </w:pPr>
    </w:p>
    <w:p w14:paraId="7B66593A" w14:textId="77777777" w:rsidR="00CC4100" w:rsidRPr="006D6338" w:rsidRDefault="00CC4100" w:rsidP="00CC4100">
      <w:pPr>
        <w:ind w:right="742"/>
        <w:jc w:val="both"/>
        <w:rPr>
          <w:rFonts w:ascii="Calibri" w:eastAsia="Arial" w:hAnsi="Calibri" w:cs="Calibri"/>
          <w:b/>
          <w:bCs/>
          <w:sz w:val="16"/>
          <w:szCs w:val="16"/>
        </w:rPr>
      </w:pPr>
    </w:p>
    <w:p w14:paraId="2079F6EA" w14:textId="77777777" w:rsidR="00CC4100" w:rsidRPr="006D6338" w:rsidRDefault="00CC4100" w:rsidP="00CC4100">
      <w:pPr>
        <w:ind w:right="742"/>
        <w:jc w:val="both"/>
        <w:rPr>
          <w:rFonts w:ascii="Calibri" w:eastAsia="Arial" w:hAnsi="Calibri" w:cs="Calibri"/>
          <w:b/>
          <w:bCs/>
          <w:sz w:val="16"/>
          <w:szCs w:val="16"/>
        </w:rPr>
      </w:pPr>
      <w:r w:rsidRPr="006D6338">
        <w:rPr>
          <w:rFonts w:ascii="Calibri" w:eastAsia="Arial" w:hAnsi="Calibri" w:cs="Calibri"/>
          <w:b/>
          <w:bCs/>
          <w:sz w:val="16"/>
          <w:szCs w:val="16"/>
        </w:rPr>
        <w:t>Terra Balcanica Resources Corp</w:t>
      </w:r>
    </w:p>
    <w:p w14:paraId="0202379E" w14:textId="77777777" w:rsidR="00CC4100" w:rsidRPr="006D6338" w:rsidRDefault="00CC4100" w:rsidP="00CC4100">
      <w:pPr>
        <w:ind w:right="-12"/>
        <w:jc w:val="both"/>
        <w:rPr>
          <w:rFonts w:ascii="Calibri" w:eastAsia="Arial" w:hAnsi="Calibri" w:cs="Calibri"/>
          <w:sz w:val="16"/>
          <w:szCs w:val="16"/>
        </w:rPr>
      </w:pPr>
      <w:r w:rsidRPr="006D6338">
        <w:rPr>
          <w:rFonts w:ascii="Calibri" w:eastAsia="Arial" w:hAnsi="Calibri" w:cs="Calibri"/>
          <w:sz w:val="16"/>
          <w:szCs w:val="16"/>
        </w:rPr>
        <w:t xml:space="preserve">During the year ended 31 December 2024, Fulcrum Metals (Canada) Limited entered into an option agreement with Terra Balcanica Resources Corp for the sale of its Uranium assets. As part of the consideration, Fulcrum received 1,997,151 ordinary shares in 2024. During the year ended 31 December 2025, as part of the amount receivable, in accordance with the option agreement, Fulcrum received a further 3,804,347 ordinary shares in Terra Balcanica Resources Corp. Fulcrum owns a total of 5,801,498 ordinary shares in Terra Balcanica Resources Corp. At the end of the reporting period these shares were revalued to their current market value and the fair value movement charged through other comprehensive income. </w:t>
      </w:r>
    </w:p>
    <w:p w14:paraId="2A1C5C40" w14:textId="77777777" w:rsidR="00CC4100" w:rsidRPr="006D6338" w:rsidRDefault="00CC4100" w:rsidP="00CC4100">
      <w:pPr>
        <w:ind w:right="742"/>
        <w:jc w:val="both"/>
        <w:rPr>
          <w:rFonts w:ascii="Calibri" w:eastAsia="Arial" w:hAnsi="Calibri" w:cs="Calibri"/>
          <w:b/>
          <w:bCs/>
          <w:sz w:val="16"/>
          <w:szCs w:val="16"/>
        </w:rPr>
      </w:pPr>
    </w:p>
    <w:p w14:paraId="1D0BD168" w14:textId="77777777" w:rsidR="00CC4100" w:rsidRPr="006D6338" w:rsidRDefault="00CC4100" w:rsidP="00CC4100">
      <w:pPr>
        <w:ind w:right="742"/>
        <w:jc w:val="both"/>
        <w:rPr>
          <w:rFonts w:ascii="Calibri" w:eastAsia="Arial" w:hAnsi="Calibri" w:cs="Calibri"/>
          <w:b/>
          <w:bCs/>
          <w:sz w:val="16"/>
          <w:szCs w:val="16"/>
        </w:rPr>
      </w:pPr>
      <w:r w:rsidRPr="006D6338">
        <w:rPr>
          <w:rFonts w:ascii="Calibri" w:eastAsia="Arial" w:hAnsi="Calibri" w:cs="Calibri"/>
          <w:b/>
          <w:bCs/>
          <w:sz w:val="16"/>
          <w:szCs w:val="16"/>
        </w:rPr>
        <w:t xml:space="preserve">Loyalist Exploration Limited </w:t>
      </w:r>
    </w:p>
    <w:p w14:paraId="696D3834" w14:textId="77777777" w:rsidR="00CC4100" w:rsidRPr="006D6338" w:rsidRDefault="00CC4100" w:rsidP="00CC4100">
      <w:pPr>
        <w:spacing w:line="259" w:lineRule="auto"/>
        <w:ind w:right="-12"/>
        <w:jc w:val="both"/>
        <w:rPr>
          <w:rFonts w:ascii="Calibri" w:eastAsia="Calibri" w:hAnsi="Calibri" w:cs="Calibri"/>
          <w:sz w:val="16"/>
          <w:szCs w:val="16"/>
        </w:rPr>
      </w:pPr>
      <w:r w:rsidRPr="006D6338">
        <w:rPr>
          <w:rFonts w:ascii="Calibri" w:eastAsia="Arial" w:hAnsi="Calibri" w:cs="Calibri"/>
          <w:sz w:val="16"/>
          <w:szCs w:val="16"/>
        </w:rPr>
        <w:t xml:space="preserve">During the year ended 31 December 2025, Fulcrum Metals (Canada) Limited entered into an agreement with Loyalist Exploration Limited for the disposal of its Tully Gold Project. Part of the consideration receivable from Loyalist was 78,700,000 ordinary shares and CAD$500,000. On 26 January 2026 the group announced the receipt of a further 272,740 ordinary shares in Loyalist Exploration Limited as part of the consideration terms and purchase agreement of the sale of the Tully Gold Project. At the end of the reporting period these shares were revalued to their current market value and the fair value movement charged through other comprehensive income. </w:t>
      </w:r>
    </w:p>
    <w:p w14:paraId="1E12104A" w14:textId="77777777" w:rsidR="00CC4100" w:rsidRPr="006D6338" w:rsidRDefault="00CC4100" w:rsidP="00CC4100">
      <w:pPr>
        <w:spacing w:line="256" w:lineRule="auto"/>
        <w:rPr>
          <w:rFonts w:ascii="Calibri" w:eastAsia="Arial" w:hAnsi="Calibri" w:cs="Calibri"/>
          <w:sz w:val="16"/>
          <w:szCs w:val="16"/>
        </w:rPr>
      </w:pPr>
    </w:p>
    <w:p w14:paraId="3607A1DA" w14:textId="77777777" w:rsidR="00CC4100" w:rsidRPr="006D6338" w:rsidRDefault="00CC4100" w:rsidP="00CC4100">
      <w:pPr>
        <w:spacing w:line="256" w:lineRule="auto"/>
        <w:rPr>
          <w:rFonts w:ascii="Calibri" w:eastAsia="Arial" w:hAnsi="Calibri" w:cs="Calibri"/>
          <w:sz w:val="16"/>
          <w:szCs w:val="16"/>
        </w:rPr>
      </w:pPr>
    </w:p>
    <w:p w14:paraId="5DD90029" w14:textId="77777777" w:rsidR="00CC4100" w:rsidRPr="006D6338" w:rsidRDefault="00CC4100">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hAnsi="Calibri" w:cs="Calibri"/>
          <w:b/>
          <w:bCs/>
          <w:sz w:val="16"/>
          <w:szCs w:val="16"/>
        </w:rPr>
      </w:pPr>
      <w:r w:rsidRPr="006D6338">
        <w:rPr>
          <w:rFonts w:ascii="Calibri" w:hAnsi="Calibri" w:cs="Calibri"/>
          <w:b/>
          <w:bCs/>
          <w:sz w:val="16"/>
          <w:szCs w:val="16"/>
        </w:rPr>
        <w:t>Trade and other receivables</w:t>
      </w:r>
    </w:p>
    <w:tbl>
      <w:tblPr>
        <w:tblW w:w="10217" w:type="dxa"/>
        <w:tblLayout w:type="fixed"/>
        <w:tblLook w:val="04A0" w:firstRow="1" w:lastRow="0" w:firstColumn="1" w:lastColumn="0" w:noHBand="0" w:noVBand="1"/>
      </w:tblPr>
      <w:tblGrid>
        <w:gridCol w:w="5387"/>
        <w:gridCol w:w="1610"/>
        <w:gridCol w:w="1610"/>
        <w:gridCol w:w="1610"/>
      </w:tblGrid>
      <w:tr w:rsidR="00CC4100" w:rsidRPr="006D6338" w14:paraId="35E2EAAD" w14:textId="77777777" w:rsidTr="00A44FCD">
        <w:trPr>
          <w:trHeight w:val="282"/>
        </w:trPr>
        <w:tc>
          <w:tcPr>
            <w:tcW w:w="5387" w:type="dxa"/>
            <w:noWrap/>
            <w:vAlign w:val="bottom"/>
            <w:hideMark/>
          </w:tcPr>
          <w:p w14:paraId="68E8082C" w14:textId="77777777" w:rsidR="00CC4100" w:rsidRPr="006D6338" w:rsidRDefault="00CC4100" w:rsidP="00A44FCD">
            <w:pPr>
              <w:spacing w:line="256" w:lineRule="auto"/>
              <w:rPr>
                <w:rFonts w:ascii="Calibri" w:eastAsia="Calibri" w:hAnsi="Calibri" w:cs="Calibri"/>
                <w:b/>
                <w:bCs/>
                <w:sz w:val="16"/>
                <w:szCs w:val="16"/>
              </w:rPr>
            </w:pPr>
          </w:p>
        </w:tc>
        <w:tc>
          <w:tcPr>
            <w:tcW w:w="1610" w:type="dxa"/>
            <w:noWrap/>
            <w:vAlign w:val="bottom"/>
            <w:hideMark/>
          </w:tcPr>
          <w:p w14:paraId="288E73AD"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30/06/2026</w:t>
            </w:r>
          </w:p>
        </w:tc>
        <w:tc>
          <w:tcPr>
            <w:tcW w:w="1610" w:type="dxa"/>
            <w:vAlign w:val="bottom"/>
            <w:hideMark/>
          </w:tcPr>
          <w:p w14:paraId="7BF878B4"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30/06/2025</w:t>
            </w:r>
          </w:p>
        </w:tc>
        <w:tc>
          <w:tcPr>
            <w:tcW w:w="1610" w:type="dxa"/>
            <w:noWrap/>
            <w:vAlign w:val="bottom"/>
            <w:hideMark/>
          </w:tcPr>
          <w:p w14:paraId="063B8ED3"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31/12/2025</w:t>
            </w:r>
          </w:p>
        </w:tc>
      </w:tr>
      <w:tr w:rsidR="00CC4100" w:rsidRPr="006D6338" w14:paraId="27E7FA73" w14:textId="77777777" w:rsidTr="00A44FCD">
        <w:trPr>
          <w:trHeight w:val="282"/>
        </w:trPr>
        <w:tc>
          <w:tcPr>
            <w:tcW w:w="5387" w:type="dxa"/>
            <w:noWrap/>
            <w:vAlign w:val="bottom"/>
            <w:hideMark/>
          </w:tcPr>
          <w:p w14:paraId="5D51C743"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10" w:type="dxa"/>
            <w:noWrap/>
            <w:vAlign w:val="bottom"/>
            <w:hideMark/>
          </w:tcPr>
          <w:p w14:paraId="25563C12"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10" w:type="dxa"/>
            <w:vAlign w:val="bottom"/>
            <w:hideMark/>
          </w:tcPr>
          <w:p w14:paraId="784B3323"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10" w:type="dxa"/>
            <w:noWrap/>
            <w:vAlign w:val="bottom"/>
            <w:hideMark/>
          </w:tcPr>
          <w:p w14:paraId="77F5B32F"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477CBFDB" w14:textId="77777777" w:rsidTr="00A44FCD">
        <w:trPr>
          <w:trHeight w:val="282"/>
        </w:trPr>
        <w:tc>
          <w:tcPr>
            <w:tcW w:w="5387" w:type="dxa"/>
            <w:noWrap/>
            <w:vAlign w:val="bottom"/>
          </w:tcPr>
          <w:p w14:paraId="097FE8AB"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 xml:space="preserve">Prepayments and other debtors </w:t>
            </w:r>
          </w:p>
        </w:tc>
        <w:tc>
          <w:tcPr>
            <w:tcW w:w="1610" w:type="dxa"/>
            <w:noWrap/>
            <w:vAlign w:val="bottom"/>
          </w:tcPr>
          <w:p w14:paraId="0B0DA84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201,126</w:t>
            </w:r>
          </w:p>
        </w:tc>
        <w:tc>
          <w:tcPr>
            <w:tcW w:w="1610" w:type="dxa"/>
            <w:vAlign w:val="bottom"/>
          </w:tcPr>
          <w:p w14:paraId="25FCD86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44,130</w:t>
            </w:r>
          </w:p>
        </w:tc>
        <w:tc>
          <w:tcPr>
            <w:tcW w:w="1610" w:type="dxa"/>
            <w:noWrap/>
            <w:vAlign w:val="bottom"/>
          </w:tcPr>
          <w:p w14:paraId="7006948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48,259</w:t>
            </w:r>
          </w:p>
        </w:tc>
      </w:tr>
      <w:tr w:rsidR="00CC4100" w:rsidRPr="006D6338" w14:paraId="180B22B9" w14:textId="77777777" w:rsidTr="00A44FCD">
        <w:trPr>
          <w:trHeight w:val="282"/>
        </w:trPr>
        <w:tc>
          <w:tcPr>
            <w:tcW w:w="5387" w:type="dxa"/>
            <w:noWrap/>
            <w:vAlign w:val="bottom"/>
            <w:hideMark/>
          </w:tcPr>
          <w:p w14:paraId="17D9130C"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Other receivables</w:t>
            </w:r>
          </w:p>
        </w:tc>
        <w:tc>
          <w:tcPr>
            <w:tcW w:w="1610" w:type="dxa"/>
            <w:noWrap/>
            <w:vAlign w:val="bottom"/>
            <w:hideMark/>
          </w:tcPr>
          <w:p w14:paraId="7DBC68B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70,133</w:t>
            </w:r>
          </w:p>
        </w:tc>
        <w:tc>
          <w:tcPr>
            <w:tcW w:w="1610" w:type="dxa"/>
            <w:vAlign w:val="bottom"/>
            <w:hideMark/>
          </w:tcPr>
          <w:p w14:paraId="4009CE2E"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10,221</w:t>
            </w:r>
          </w:p>
        </w:tc>
        <w:tc>
          <w:tcPr>
            <w:tcW w:w="1610" w:type="dxa"/>
            <w:noWrap/>
            <w:vAlign w:val="bottom"/>
            <w:hideMark/>
          </w:tcPr>
          <w:p w14:paraId="5337A03D"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25,420</w:t>
            </w:r>
          </w:p>
        </w:tc>
      </w:tr>
      <w:tr w:rsidR="00CC4100" w:rsidRPr="006D6338" w14:paraId="7EDC11FA" w14:textId="77777777" w:rsidTr="00A44FCD">
        <w:trPr>
          <w:trHeight w:val="282"/>
        </w:trPr>
        <w:tc>
          <w:tcPr>
            <w:tcW w:w="5387" w:type="dxa"/>
            <w:noWrap/>
            <w:vAlign w:val="bottom"/>
            <w:hideMark/>
          </w:tcPr>
          <w:p w14:paraId="7E3FCF85"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10" w:type="dxa"/>
            <w:tcBorders>
              <w:top w:val="single" w:sz="4" w:space="0" w:color="auto"/>
              <w:left w:val="nil"/>
              <w:bottom w:val="double" w:sz="6" w:space="0" w:color="auto"/>
              <w:right w:val="nil"/>
            </w:tcBorders>
            <w:noWrap/>
            <w:vAlign w:val="bottom"/>
            <w:hideMark/>
          </w:tcPr>
          <w:p w14:paraId="710929FC" w14:textId="77777777" w:rsidR="00CC4100" w:rsidRPr="006D6338" w:rsidRDefault="00CC4100" w:rsidP="00A44FCD">
            <w:pPr>
              <w:tabs>
                <w:tab w:val="left" w:pos="0"/>
              </w:tabs>
              <w:spacing w:line="276" w:lineRule="auto"/>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271,259</w:t>
            </w:r>
          </w:p>
        </w:tc>
        <w:tc>
          <w:tcPr>
            <w:tcW w:w="1610" w:type="dxa"/>
            <w:tcBorders>
              <w:top w:val="single" w:sz="4" w:space="0" w:color="auto"/>
              <w:left w:val="nil"/>
              <w:bottom w:val="double" w:sz="6" w:space="0" w:color="auto"/>
              <w:right w:val="nil"/>
            </w:tcBorders>
            <w:vAlign w:val="bottom"/>
            <w:hideMark/>
          </w:tcPr>
          <w:p w14:paraId="079C8E61"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54,351</w:t>
            </w:r>
          </w:p>
        </w:tc>
        <w:tc>
          <w:tcPr>
            <w:tcW w:w="1610" w:type="dxa"/>
            <w:tcBorders>
              <w:top w:val="single" w:sz="4" w:space="0" w:color="auto"/>
              <w:left w:val="nil"/>
              <w:bottom w:val="double" w:sz="6" w:space="0" w:color="auto"/>
              <w:right w:val="nil"/>
            </w:tcBorders>
            <w:noWrap/>
            <w:vAlign w:val="bottom"/>
            <w:hideMark/>
          </w:tcPr>
          <w:p w14:paraId="1C0ECD06"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73,679</w:t>
            </w:r>
          </w:p>
        </w:tc>
      </w:tr>
    </w:tbl>
    <w:p w14:paraId="5BAAA9DE" w14:textId="77777777" w:rsidR="00CC4100" w:rsidRPr="006D6338" w:rsidRDefault="00CC4100" w:rsidP="00CC4100">
      <w:pPr>
        <w:pStyle w:val="ListParagraph"/>
        <w:ind w:left="0" w:firstLine="0"/>
        <w:rPr>
          <w:rFonts w:ascii="Calibri" w:hAnsi="Calibri" w:cs="Calibri"/>
          <w:b/>
          <w:bCs/>
          <w:sz w:val="16"/>
          <w:szCs w:val="16"/>
        </w:rPr>
      </w:pPr>
    </w:p>
    <w:p w14:paraId="3D4381D7" w14:textId="77777777" w:rsidR="00CC4100" w:rsidRPr="006D6338" w:rsidRDefault="00CC4100" w:rsidP="00CC4100">
      <w:pPr>
        <w:widowControl w:val="0"/>
        <w:autoSpaceDE w:val="0"/>
        <w:autoSpaceDN w:val="0"/>
        <w:rPr>
          <w:rFonts w:ascii="Calibri" w:eastAsia="Arial" w:hAnsi="Calibri" w:cs="Calibri"/>
          <w:sz w:val="16"/>
          <w:szCs w:val="16"/>
        </w:rPr>
      </w:pPr>
    </w:p>
    <w:p w14:paraId="61D8E6ED"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sz w:val="16"/>
          <w:szCs w:val="16"/>
        </w:rPr>
      </w:pPr>
      <w:r w:rsidRPr="006D6338">
        <w:rPr>
          <w:rFonts w:ascii="Calibri" w:eastAsia="Arial" w:hAnsi="Calibri" w:cs="Calibri"/>
          <w:b/>
          <w:bCs/>
          <w:sz w:val="16"/>
          <w:szCs w:val="16"/>
        </w:rPr>
        <w:t>Cash and cash</w:t>
      </w:r>
      <w:r w:rsidRPr="006D6338">
        <w:rPr>
          <w:rFonts w:ascii="Calibri" w:eastAsia="Arial" w:hAnsi="Calibri" w:cs="Calibri"/>
          <w:b/>
          <w:bCs/>
          <w:spacing w:val="-16"/>
          <w:sz w:val="16"/>
          <w:szCs w:val="16"/>
        </w:rPr>
        <w:t xml:space="preserve"> </w:t>
      </w:r>
      <w:r w:rsidRPr="006D6338">
        <w:rPr>
          <w:rFonts w:ascii="Calibri" w:eastAsia="Arial" w:hAnsi="Calibri" w:cs="Calibri"/>
          <w:b/>
          <w:bCs/>
          <w:sz w:val="16"/>
          <w:szCs w:val="16"/>
        </w:rPr>
        <w:t>equivalents</w:t>
      </w:r>
    </w:p>
    <w:tbl>
      <w:tblPr>
        <w:tblW w:w="10204" w:type="dxa"/>
        <w:tblLayout w:type="fixed"/>
        <w:tblLook w:val="04A0" w:firstRow="1" w:lastRow="0" w:firstColumn="1" w:lastColumn="0" w:noHBand="0" w:noVBand="1"/>
      </w:tblPr>
      <w:tblGrid>
        <w:gridCol w:w="5387"/>
        <w:gridCol w:w="1605"/>
        <w:gridCol w:w="1606"/>
        <w:gridCol w:w="1606"/>
      </w:tblGrid>
      <w:tr w:rsidR="00CC4100" w:rsidRPr="006D6338" w14:paraId="0634AD5B" w14:textId="77777777" w:rsidTr="00A44FCD">
        <w:trPr>
          <w:trHeight w:val="208"/>
        </w:trPr>
        <w:tc>
          <w:tcPr>
            <w:tcW w:w="5387" w:type="dxa"/>
            <w:noWrap/>
            <w:vAlign w:val="bottom"/>
            <w:hideMark/>
          </w:tcPr>
          <w:p w14:paraId="591FF96C" w14:textId="77777777" w:rsidR="00CC4100" w:rsidRPr="006D6338" w:rsidRDefault="00CC4100" w:rsidP="00A44FCD">
            <w:pPr>
              <w:spacing w:line="256" w:lineRule="auto"/>
              <w:rPr>
                <w:rFonts w:ascii="Calibri" w:eastAsia="Calibri" w:hAnsi="Calibri" w:cs="Calibri"/>
                <w:sz w:val="16"/>
                <w:szCs w:val="16"/>
              </w:rPr>
            </w:pPr>
          </w:p>
          <w:p w14:paraId="3AB09095" w14:textId="77777777" w:rsidR="00CC4100" w:rsidRPr="006D6338" w:rsidRDefault="00CC4100" w:rsidP="00A44FCD">
            <w:pPr>
              <w:spacing w:line="256" w:lineRule="auto"/>
              <w:rPr>
                <w:rFonts w:ascii="Calibri" w:eastAsia="Calibri" w:hAnsi="Calibri" w:cs="Calibri"/>
                <w:sz w:val="16"/>
                <w:szCs w:val="16"/>
              </w:rPr>
            </w:pPr>
          </w:p>
        </w:tc>
        <w:tc>
          <w:tcPr>
            <w:tcW w:w="1605" w:type="dxa"/>
            <w:noWrap/>
            <w:vAlign w:val="bottom"/>
            <w:hideMark/>
          </w:tcPr>
          <w:p w14:paraId="22A770A2"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30/06/2026</w:t>
            </w:r>
          </w:p>
        </w:tc>
        <w:tc>
          <w:tcPr>
            <w:tcW w:w="1606" w:type="dxa"/>
            <w:noWrap/>
            <w:vAlign w:val="bottom"/>
            <w:hideMark/>
          </w:tcPr>
          <w:p w14:paraId="0C98BBCA"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30/06/2025</w:t>
            </w:r>
          </w:p>
        </w:tc>
        <w:tc>
          <w:tcPr>
            <w:tcW w:w="1606" w:type="dxa"/>
            <w:noWrap/>
            <w:vAlign w:val="bottom"/>
            <w:hideMark/>
          </w:tcPr>
          <w:p w14:paraId="5A68EC0E"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31/12/2025</w:t>
            </w:r>
          </w:p>
        </w:tc>
      </w:tr>
      <w:tr w:rsidR="00CC4100" w:rsidRPr="006D6338" w14:paraId="6E4A7561" w14:textId="77777777" w:rsidTr="00A44FCD">
        <w:trPr>
          <w:trHeight w:val="208"/>
        </w:trPr>
        <w:tc>
          <w:tcPr>
            <w:tcW w:w="5387" w:type="dxa"/>
            <w:noWrap/>
            <w:vAlign w:val="bottom"/>
            <w:hideMark/>
          </w:tcPr>
          <w:p w14:paraId="2DEB2E7D"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05" w:type="dxa"/>
            <w:tcBorders>
              <w:top w:val="nil"/>
              <w:left w:val="nil"/>
              <w:bottom w:val="single" w:sz="4" w:space="0" w:color="auto"/>
              <w:right w:val="nil"/>
            </w:tcBorders>
            <w:noWrap/>
            <w:vAlign w:val="bottom"/>
            <w:hideMark/>
          </w:tcPr>
          <w:p w14:paraId="32632E41"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06" w:type="dxa"/>
            <w:tcBorders>
              <w:top w:val="nil"/>
              <w:left w:val="nil"/>
              <w:bottom w:val="single" w:sz="4" w:space="0" w:color="auto"/>
              <w:right w:val="nil"/>
            </w:tcBorders>
            <w:noWrap/>
            <w:vAlign w:val="bottom"/>
            <w:hideMark/>
          </w:tcPr>
          <w:p w14:paraId="21F239F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06" w:type="dxa"/>
            <w:tcBorders>
              <w:top w:val="nil"/>
              <w:left w:val="nil"/>
              <w:bottom w:val="single" w:sz="4" w:space="0" w:color="auto"/>
              <w:right w:val="nil"/>
            </w:tcBorders>
            <w:noWrap/>
            <w:vAlign w:val="bottom"/>
            <w:hideMark/>
          </w:tcPr>
          <w:p w14:paraId="64A6CE6F"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r>
      <w:tr w:rsidR="00CC4100" w:rsidRPr="006D6338" w14:paraId="7ACBB3E9" w14:textId="77777777" w:rsidTr="00A44FCD">
        <w:trPr>
          <w:trHeight w:val="208"/>
        </w:trPr>
        <w:tc>
          <w:tcPr>
            <w:tcW w:w="5387" w:type="dxa"/>
            <w:noWrap/>
            <w:vAlign w:val="bottom"/>
            <w:hideMark/>
          </w:tcPr>
          <w:p w14:paraId="3985EA26" w14:textId="77777777" w:rsidR="00CC4100" w:rsidRPr="006D6338" w:rsidRDefault="00CC4100" w:rsidP="00A44FCD">
            <w:pPr>
              <w:tabs>
                <w:tab w:val="left" w:pos="0"/>
              </w:tabs>
              <w:spacing w:line="276" w:lineRule="auto"/>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Cash and cash equivalents</w:t>
            </w:r>
          </w:p>
        </w:tc>
        <w:tc>
          <w:tcPr>
            <w:tcW w:w="1605" w:type="dxa"/>
            <w:tcBorders>
              <w:top w:val="single" w:sz="4" w:space="0" w:color="auto"/>
              <w:left w:val="nil"/>
              <w:bottom w:val="double" w:sz="4" w:space="0" w:color="auto"/>
              <w:right w:val="nil"/>
            </w:tcBorders>
            <w:noWrap/>
            <w:vAlign w:val="bottom"/>
            <w:hideMark/>
          </w:tcPr>
          <w:p w14:paraId="61747A76" w14:textId="77777777" w:rsidR="00CC4100" w:rsidRPr="006D6338" w:rsidRDefault="00CC4100" w:rsidP="00A44FCD">
            <w:pPr>
              <w:tabs>
                <w:tab w:val="left" w:pos="0"/>
              </w:tabs>
              <w:spacing w:line="276" w:lineRule="auto"/>
              <w:ind w:right="80"/>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2,731,870                 </w:t>
            </w:r>
          </w:p>
        </w:tc>
        <w:tc>
          <w:tcPr>
            <w:tcW w:w="1606" w:type="dxa"/>
            <w:tcBorders>
              <w:top w:val="single" w:sz="4" w:space="0" w:color="auto"/>
              <w:left w:val="nil"/>
              <w:bottom w:val="double" w:sz="4" w:space="0" w:color="auto"/>
              <w:right w:val="nil"/>
            </w:tcBorders>
            <w:noWrap/>
            <w:vAlign w:val="bottom"/>
            <w:hideMark/>
          </w:tcPr>
          <w:p w14:paraId="4C8AE5B8" w14:textId="77777777" w:rsidR="00CC4100" w:rsidRPr="006D6338" w:rsidRDefault="00CC4100" w:rsidP="00A44FCD">
            <w:pPr>
              <w:tabs>
                <w:tab w:val="left" w:pos="0"/>
              </w:tabs>
              <w:spacing w:line="276" w:lineRule="auto"/>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38,778 </w:t>
            </w:r>
          </w:p>
        </w:tc>
        <w:tc>
          <w:tcPr>
            <w:tcW w:w="1606" w:type="dxa"/>
            <w:tcBorders>
              <w:top w:val="single" w:sz="4" w:space="0" w:color="auto"/>
              <w:left w:val="nil"/>
              <w:bottom w:val="double" w:sz="4" w:space="0" w:color="auto"/>
              <w:right w:val="nil"/>
            </w:tcBorders>
            <w:noWrap/>
            <w:vAlign w:val="bottom"/>
            <w:hideMark/>
          </w:tcPr>
          <w:p w14:paraId="079BB06B" w14:textId="77777777" w:rsidR="00CC4100" w:rsidRPr="006D6338" w:rsidRDefault="00CC4100" w:rsidP="00A44FCD">
            <w:pPr>
              <w:tabs>
                <w:tab w:val="left" w:pos="0"/>
              </w:tabs>
              <w:spacing w:line="276" w:lineRule="auto"/>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281,889 </w:t>
            </w:r>
          </w:p>
        </w:tc>
      </w:tr>
      <w:tr w:rsidR="00CC4100" w:rsidRPr="006D6338" w14:paraId="5DE7DEEA" w14:textId="77777777" w:rsidTr="00A44FCD">
        <w:trPr>
          <w:trHeight w:val="218"/>
        </w:trPr>
        <w:tc>
          <w:tcPr>
            <w:tcW w:w="5387" w:type="dxa"/>
            <w:noWrap/>
            <w:vAlign w:val="bottom"/>
            <w:hideMark/>
          </w:tcPr>
          <w:p w14:paraId="73C1F6F0"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05" w:type="dxa"/>
            <w:tcBorders>
              <w:top w:val="double" w:sz="4" w:space="0" w:color="auto"/>
              <w:left w:val="nil"/>
              <w:bottom w:val="nil"/>
              <w:right w:val="nil"/>
            </w:tcBorders>
            <w:noWrap/>
            <w:vAlign w:val="center"/>
          </w:tcPr>
          <w:p w14:paraId="732B5AC8"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tc>
        <w:tc>
          <w:tcPr>
            <w:tcW w:w="1606" w:type="dxa"/>
            <w:tcBorders>
              <w:top w:val="double" w:sz="4" w:space="0" w:color="auto"/>
              <w:left w:val="nil"/>
              <w:bottom w:val="nil"/>
              <w:right w:val="nil"/>
            </w:tcBorders>
            <w:noWrap/>
            <w:vAlign w:val="center"/>
            <w:hideMark/>
          </w:tcPr>
          <w:p w14:paraId="6146A5C3"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06" w:type="dxa"/>
            <w:tcBorders>
              <w:top w:val="double" w:sz="4" w:space="0" w:color="auto"/>
              <w:left w:val="nil"/>
              <w:bottom w:val="nil"/>
              <w:right w:val="nil"/>
            </w:tcBorders>
            <w:noWrap/>
            <w:vAlign w:val="center"/>
            <w:hideMark/>
          </w:tcPr>
          <w:p w14:paraId="6E521476" w14:textId="77777777" w:rsidR="00CC4100" w:rsidRPr="006D6338" w:rsidRDefault="00CC4100" w:rsidP="00A44FCD">
            <w:pPr>
              <w:spacing w:line="256" w:lineRule="auto"/>
              <w:rPr>
                <w:rFonts w:ascii="Calibri" w:eastAsia="Calibri" w:hAnsi="Calibri" w:cs="Calibri"/>
                <w:sz w:val="20"/>
                <w:szCs w:val="20"/>
                <w:lang w:eastAsia="en-GB"/>
              </w:rPr>
            </w:pPr>
          </w:p>
        </w:tc>
      </w:tr>
    </w:tbl>
    <w:p w14:paraId="235F8E00" w14:textId="77777777" w:rsidR="00CC4100" w:rsidRPr="006D6338" w:rsidRDefault="00CC4100" w:rsidP="00CC4100">
      <w:pPr>
        <w:widowControl w:val="0"/>
        <w:tabs>
          <w:tab w:val="left" w:pos="0"/>
        </w:tabs>
        <w:autoSpaceDE w:val="0"/>
        <w:autoSpaceDN w:val="0"/>
        <w:spacing w:before="93"/>
        <w:jc w:val="both"/>
        <w:outlineLvl w:val="0"/>
        <w:rPr>
          <w:rFonts w:ascii="Calibri" w:eastAsia="Arial" w:hAnsi="Calibri" w:cs="Calibri"/>
          <w:sz w:val="16"/>
          <w:szCs w:val="16"/>
        </w:rPr>
      </w:pPr>
    </w:p>
    <w:p w14:paraId="23D76B6C" w14:textId="77777777" w:rsidR="00CC4100" w:rsidRPr="006D6338" w:rsidRDefault="00CC4100" w:rsidP="00CC4100">
      <w:pPr>
        <w:widowControl w:val="0"/>
        <w:tabs>
          <w:tab w:val="left" w:pos="0"/>
        </w:tabs>
        <w:autoSpaceDE w:val="0"/>
        <w:autoSpaceDN w:val="0"/>
        <w:spacing w:before="93"/>
        <w:jc w:val="both"/>
        <w:outlineLvl w:val="0"/>
        <w:rPr>
          <w:rFonts w:ascii="Calibri" w:eastAsia="Arial" w:hAnsi="Calibri" w:cs="Calibri"/>
          <w:sz w:val="16"/>
          <w:szCs w:val="16"/>
        </w:rPr>
      </w:pPr>
    </w:p>
    <w:p w14:paraId="1A40C469"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Trade and other payables</w:t>
      </w:r>
    </w:p>
    <w:tbl>
      <w:tblPr>
        <w:tblW w:w="10217" w:type="dxa"/>
        <w:tblLayout w:type="fixed"/>
        <w:tblLook w:val="04A0" w:firstRow="1" w:lastRow="0" w:firstColumn="1" w:lastColumn="0" w:noHBand="0" w:noVBand="1"/>
      </w:tblPr>
      <w:tblGrid>
        <w:gridCol w:w="5387"/>
        <w:gridCol w:w="1610"/>
        <w:gridCol w:w="1610"/>
        <w:gridCol w:w="1610"/>
      </w:tblGrid>
      <w:tr w:rsidR="00CC4100" w:rsidRPr="006D6338" w14:paraId="47A65B21" w14:textId="77777777" w:rsidTr="00A44FCD">
        <w:trPr>
          <w:trHeight w:val="282"/>
        </w:trPr>
        <w:tc>
          <w:tcPr>
            <w:tcW w:w="5387" w:type="dxa"/>
            <w:noWrap/>
            <w:vAlign w:val="bottom"/>
            <w:hideMark/>
          </w:tcPr>
          <w:p w14:paraId="41BBB022" w14:textId="77777777" w:rsidR="00CC4100" w:rsidRPr="006D6338" w:rsidRDefault="00CC4100" w:rsidP="00A44FCD">
            <w:pPr>
              <w:spacing w:line="256" w:lineRule="auto"/>
              <w:rPr>
                <w:rFonts w:ascii="Calibri" w:eastAsia="Calibri" w:hAnsi="Calibri" w:cs="Calibri"/>
                <w:b/>
                <w:bCs/>
                <w:sz w:val="16"/>
                <w:szCs w:val="16"/>
              </w:rPr>
            </w:pPr>
          </w:p>
        </w:tc>
        <w:tc>
          <w:tcPr>
            <w:tcW w:w="1610" w:type="dxa"/>
            <w:noWrap/>
            <w:vAlign w:val="bottom"/>
            <w:hideMark/>
          </w:tcPr>
          <w:p w14:paraId="5860E6D6"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30/06/2026</w:t>
            </w:r>
          </w:p>
        </w:tc>
        <w:tc>
          <w:tcPr>
            <w:tcW w:w="1610" w:type="dxa"/>
            <w:vAlign w:val="bottom"/>
            <w:hideMark/>
          </w:tcPr>
          <w:p w14:paraId="18847B75"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30/06/2025</w:t>
            </w:r>
          </w:p>
        </w:tc>
        <w:tc>
          <w:tcPr>
            <w:tcW w:w="1610" w:type="dxa"/>
            <w:noWrap/>
            <w:vAlign w:val="bottom"/>
            <w:hideMark/>
          </w:tcPr>
          <w:p w14:paraId="2D80F792"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31/12/2025</w:t>
            </w:r>
          </w:p>
        </w:tc>
      </w:tr>
      <w:tr w:rsidR="00CC4100" w:rsidRPr="006D6338" w14:paraId="3A5B04B5" w14:textId="77777777" w:rsidTr="00A44FCD">
        <w:trPr>
          <w:trHeight w:val="282"/>
        </w:trPr>
        <w:tc>
          <w:tcPr>
            <w:tcW w:w="5387" w:type="dxa"/>
            <w:noWrap/>
            <w:vAlign w:val="bottom"/>
            <w:hideMark/>
          </w:tcPr>
          <w:p w14:paraId="5402D894"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10" w:type="dxa"/>
            <w:noWrap/>
            <w:vAlign w:val="bottom"/>
            <w:hideMark/>
          </w:tcPr>
          <w:p w14:paraId="0C3B8C92"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10" w:type="dxa"/>
            <w:vAlign w:val="bottom"/>
            <w:hideMark/>
          </w:tcPr>
          <w:p w14:paraId="638C789B"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10" w:type="dxa"/>
            <w:noWrap/>
            <w:vAlign w:val="bottom"/>
            <w:hideMark/>
          </w:tcPr>
          <w:p w14:paraId="1EFBBBA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6BCB17ED" w14:textId="77777777" w:rsidTr="00A44FCD">
        <w:trPr>
          <w:trHeight w:val="282"/>
        </w:trPr>
        <w:tc>
          <w:tcPr>
            <w:tcW w:w="5387" w:type="dxa"/>
            <w:noWrap/>
            <w:vAlign w:val="bottom"/>
            <w:hideMark/>
          </w:tcPr>
          <w:p w14:paraId="50D06414"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Trade creditors</w:t>
            </w:r>
          </w:p>
        </w:tc>
        <w:tc>
          <w:tcPr>
            <w:tcW w:w="1610" w:type="dxa"/>
            <w:noWrap/>
            <w:vAlign w:val="bottom"/>
            <w:hideMark/>
          </w:tcPr>
          <w:p w14:paraId="659C2250"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99,811</w:t>
            </w:r>
          </w:p>
        </w:tc>
        <w:tc>
          <w:tcPr>
            <w:tcW w:w="1610" w:type="dxa"/>
            <w:vAlign w:val="bottom"/>
            <w:hideMark/>
          </w:tcPr>
          <w:p w14:paraId="31DD491B"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256,107</w:t>
            </w:r>
          </w:p>
        </w:tc>
        <w:tc>
          <w:tcPr>
            <w:tcW w:w="1610" w:type="dxa"/>
            <w:noWrap/>
            <w:vAlign w:val="bottom"/>
            <w:hideMark/>
          </w:tcPr>
          <w:p w14:paraId="114A55D2"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45,805</w:t>
            </w:r>
          </w:p>
        </w:tc>
      </w:tr>
      <w:tr w:rsidR="00CC4100" w:rsidRPr="006D6338" w14:paraId="5DBFF7B8" w14:textId="77777777" w:rsidTr="00A44FCD">
        <w:trPr>
          <w:trHeight w:val="282"/>
        </w:trPr>
        <w:tc>
          <w:tcPr>
            <w:tcW w:w="5387" w:type="dxa"/>
            <w:noWrap/>
            <w:vAlign w:val="bottom"/>
            <w:hideMark/>
          </w:tcPr>
          <w:p w14:paraId="6961D99A"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 xml:space="preserve">Social security and other taxes </w:t>
            </w:r>
          </w:p>
        </w:tc>
        <w:tc>
          <w:tcPr>
            <w:tcW w:w="1610" w:type="dxa"/>
            <w:noWrap/>
            <w:vAlign w:val="bottom"/>
            <w:hideMark/>
          </w:tcPr>
          <w:p w14:paraId="69E5E88C"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6,468</w:t>
            </w:r>
          </w:p>
        </w:tc>
        <w:tc>
          <w:tcPr>
            <w:tcW w:w="1610" w:type="dxa"/>
            <w:vAlign w:val="bottom"/>
            <w:hideMark/>
          </w:tcPr>
          <w:p w14:paraId="3417298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5,522</w:t>
            </w:r>
          </w:p>
        </w:tc>
        <w:tc>
          <w:tcPr>
            <w:tcW w:w="1610" w:type="dxa"/>
            <w:noWrap/>
            <w:vAlign w:val="bottom"/>
            <w:hideMark/>
          </w:tcPr>
          <w:p w14:paraId="77A05A95"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5,700</w:t>
            </w:r>
          </w:p>
        </w:tc>
      </w:tr>
      <w:tr w:rsidR="00CC4100" w:rsidRPr="006D6338" w14:paraId="69A946F0" w14:textId="77777777" w:rsidTr="00A44FCD">
        <w:trPr>
          <w:trHeight w:val="282"/>
        </w:trPr>
        <w:tc>
          <w:tcPr>
            <w:tcW w:w="5387" w:type="dxa"/>
            <w:noWrap/>
            <w:vAlign w:val="bottom"/>
            <w:hideMark/>
          </w:tcPr>
          <w:p w14:paraId="288F35C5"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Deferred consideration (See note 8)</w:t>
            </w:r>
          </w:p>
        </w:tc>
        <w:tc>
          <w:tcPr>
            <w:tcW w:w="1610" w:type="dxa"/>
            <w:noWrap/>
            <w:vAlign w:val="bottom"/>
            <w:hideMark/>
          </w:tcPr>
          <w:p w14:paraId="190E9DEF"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216,473</w:t>
            </w:r>
          </w:p>
        </w:tc>
        <w:tc>
          <w:tcPr>
            <w:tcW w:w="1610" w:type="dxa"/>
            <w:vAlign w:val="bottom"/>
            <w:hideMark/>
          </w:tcPr>
          <w:p w14:paraId="60CDABB8"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52,044</w:t>
            </w:r>
          </w:p>
        </w:tc>
        <w:tc>
          <w:tcPr>
            <w:tcW w:w="1610" w:type="dxa"/>
            <w:noWrap/>
            <w:vAlign w:val="bottom"/>
            <w:hideMark/>
          </w:tcPr>
          <w:p w14:paraId="4D41A02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164,298</w:t>
            </w:r>
          </w:p>
        </w:tc>
      </w:tr>
      <w:tr w:rsidR="00CC4100" w:rsidRPr="006D6338" w14:paraId="3FC3C681" w14:textId="77777777" w:rsidTr="00A44FCD">
        <w:trPr>
          <w:trHeight w:val="282"/>
        </w:trPr>
        <w:tc>
          <w:tcPr>
            <w:tcW w:w="5387" w:type="dxa"/>
            <w:noWrap/>
            <w:vAlign w:val="bottom"/>
            <w:hideMark/>
          </w:tcPr>
          <w:p w14:paraId="1E13586E" w14:textId="77777777" w:rsidR="00CC4100" w:rsidRPr="006D6338" w:rsidRDefault="00CC4100" w:rsidP="00A44FCD">
            <w:pPr>
              <w:tabs>
                <w:tab w:val="left" w:pos="0"/>
              </w:tabs>
              <w:rPr>
                <w:rFonts w:ascii="Calibri" w:eastAsia="Times New Roman" w:hAnsi="Calibri" w:cs="Calibri"/>
                <w:color w:val="231F20"/>
                <w:sz w:val="16"/>
                <w:szCs w:val="16"/>
                <w:lang w:eastAsia="en-GB"/>
              </w:rPr>
            </w:pPr>
            <w:r w:rsidRPr="006D6338">
              <w:rPr>
                <w:rFonts w:ascii="Calibri" w:eastAsia="Times New Roman" w:hAnsi="Calibri" w:cs="Calibri"/>
                <w:color w:val="231F20"/>
                <w:sz w:val="16"/>
                <w:szCs w:val="16"/>
                <w:lang w:eastAsia="en-GB"/>
              </w:rPr>
              <w:t>Accruals and deferred income</w:t>
            </w:r>
          </w:p>
        </w:tc>
        <w:tc>
          <w:tcPr>
            <w:tcW w:w="1610" w:type="dxa"/>
            <w:noWrap/>
            <w:vAlign w:val="bottom"/>
            <w:hideMark/>
          </w:tcPr>
          <w:p w14:paraId="6734355F"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21,000</w:t>
            </w:r>
          </w:p>
        </w:tc>
        <w:tc>
          <w:tcPr>
            <w:tcW w:w="1610" w:type="dxa"/>
            <w:vAlign w:val="bottom"/>
            <w:hideMark/>
          </w:tcPr>
          <w:p w14:paraId="58F06D4E"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51,547</w:t>
            </w:r>
          </w:p>
        </w:tc>
        <w:tc>
          <w:tcPr>
            <w:tcW w:w="1610" w:type="dxa"/>
            <w:noWrap/>
            <w:vAlign w:val="bottom"/>
            <w:hideMark/>
          </w:tcPr>
          <w:p w14:paraId="1A9E237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129,142</w:t>
            </w:r>
          </w:p>
        </w:tc>
      </w:tr>
      <w:tr w:rsidR="00CC4100" w:rsidRPr="006D6338" w14:paraId="508D0842" w14:textId="77777777" w:rsidTr="00A44FCD">
        <w:trPr>
          <w:trHeight w:val="282"/>
        </w:trPr>
        <w:tc>
          <w:tcPr>
            <w:tcW w:w="5387" w:type="dxa"/>
            <w:noWrap/>
            <w:vAlign w:val="bottom"/>
            <w:hideMark/>
          </w:tcPr>
          <w:p w14:paraId="54A30BC4"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10" w:type="dxa"/>
            <w:tcBorders>
              <w:top w:val="single" w:sz="4" w:space="0" w:color="auto"/>
              <w:left w:val="nil"/>
              <w:bottom w:val="double" w:sz="6" w:space="0" w:color="auto"/>
              <w:right w:val="nil"/>
            </w:tcBorders>
            <w:noWrap/>
            <w:vAlign w:val="bottom"/>
            <w:hideMark/>
          </w:tcPr>
          <w:p w14:paraId="0E07544B" w14:textId="77777777" w:rsidR="00CC4100" w:rsidRPr="006D6338" w:rsidRDefault="00CC4100" w:rsidP="00A44FCD">
            <w:pPr>
              <w:tabs>
                <w:tab w:val="left" w:pos="0"/>
              </w:tabs>
              <w:spacing w:line="276" w:lineRule="auto"/>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343,752</w:t>
            </w:r>
          </w:p>
        </w:tc>
        <w:tc>
          <w:tcPr>
            <w:tcW w:w="1610" w:type="dxa"/>
            <w:tcBorders>
              <w:top w:val="single" w:sz="4" w:space="0" w:color="auto"/>
              <w:left w:val="nil"/>
              <w:bottom w:val="double" w:sz="6" w:space="0" w:color="auto"/>
              <w:right w:val="nil"/>
            </w:tcBorders>
            <w:vAlign w:val="bottom"/>
            <w:hideMark/>
          </w:tcPr>
          <w:p w14:paraId="4A397EE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365,220</w:t>
            </w:r>
          </w:p>
        </w:tc>
        <w:tc>
          <w:tcPr>
            <w:tcW w:w="1610" w:type="dxa"/>
            <w:tcBorders>
              <w:top w:val="single" w:sz="4" w:space="0" w:color="auto"/>
              <w:left w:val="nil"/>
              <w:bottom w:val="double" w:sz="6" w:space="0" w:color="auto"/>
              <w:right w:val="nil"/>
            </w:tcBorders>
            <w:noWrap/>
            <w:vAlign w:val="bottom"/>
            <w:hideMark/>
          </w:tcPr>
          <w:p w14:paraId="1AC69D4B"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344,945</w:t>
            </w:r>
          </w:p>
        </w:tc>
      </w:tr>
    </w:tbl>
    <w:p w14:paraId="4D82A6CA" w14:textId="77777777" w:rsidR="00CC4100" w:rsidRPr="006D6338" w:rsidRDefault="00CC4100" w:rsidP="00CC4100">
      <w:pPr>
        <w:widowControl w:val="0"/>
        <w:autoSpaceDE w:val="0"/>
        <w:autoSpaceDN w:val="0"/>
        <w:rPr>
          <w:rFonts w:ascii="Calibri" w:eastAsia="Arial" w:hAnsi="Calibri" w:cs="Calibri"/>
          <w:sz w:val="16"/>
          <w:szCs w:val="16"/>
        </w:rPr>
      </w:pPr>
    </w:p>
    <w:p w14:paraId="284572EB" w14:textId="77777777" w:rsidR="00CC4100" w:rsidRPr="006D6338" w:rsidRDefault="00CC4100" w:rsidP="00CC4100">
      <w:pPr>
        <w:widowControl w:val="0"/>
        <w:autoSpaceDE w:val="0"/>
        <w:autoSpaceDN w:val="0"/>
        <w:rPr>
          <w:rFonts w:ascii="Calibri" w:eastAsia="Arial" w:hAnsi="Calibri" w:cs="Calibri"/>
          <w:b/>
          <w:bCs/>
          <w:sz w:val="16"/>
          <w:szCs w:val="16"/>
        </w:rPr>
      </w:pPr>
    </w:p>
    <w:p w14:paraId="0B566B8E" w14:textId="77777777" w:rsidR="00CC4100" w:rsidRPr="006D6338" w:rsidRDefault="00CC4100" w:rsidP="00CC4100">
      <w:pPr>
        <w:widowControl w:val="0"/>
        <w:autoSpaceDE w:val="0"/>
        <w:autoSpaceDN w:val="0"/>
        <w:rPr>
          <w:rFonts w:ascii="Calibri" w:eastAsia="Arial" w:hAnsi="Calibri" w:cs="Calibri"/>
          <w:b/>
          <w:bCs/>
          <w:sz w:val="16"/>
          <w:szCs w:val="16"/>
        </w:rPr>
      </w:pPr>
    </w:p>
    <w:p w14:paraId="0D68D352"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Convertible loan notes</w:t>
      </w:r>
    </w:p>
    <w:p w14:paraId="097FB521" w14:textId="77777777" w:rsidR="00CC4100" w:rsidRPr="006D6338" w:rsidRDefault="00CC4100" w:rsidP="00CC4100">
      <w:pPr>
        <w:widowControl w:val="0"/>
        <w:tabs>
          <w:tab w:val="left" w:pos="0"/>
        </w:tabs>
        <w:autoSpaceDE w:val="0"/>
        <w:autoSpaceDN w:val="0"/>
        <w:ind w:right="-24"/>
        <w:jc w:val="both"/>
        <w:rPr>
          <w:rFonts w:ascii="Calibri" w:eastAsia="Arial" w:hAnsi="Calibri" w:cs="Calibri"/>
          <w:sz w:val="16"/>
          <w:szCs w:val="16"/>
        </w:rPr>
      </w:pPr>
    </w:p>
    <w:p w14:paraId="03545948" w14:textId="3D45C09A" w:rsidR="00CC4100"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On 1 May 2026, the Company entered into a Convertible Loan Agreement with YA II PN, Ltd. During the period, the Company drew down the first tranche of £2.5 million, comprising £1.0 million received on 1 May 2026 and £1.5 million received on 1 June 2026. In accordance with the terms of the facility, net proceeds of £2.325 million were received after deduction of the original issue discount, commitment fee and due diligence costs. The loan bears interest at 5% per annum, commencing 60 days from initial draw down, and is convertible into ordinary shares of the Company at a conversion price of £0.11375 per share. In connection with the facility, the lender was granted warrants to subscribe for up to 5,000,000 ordinary shares at an exercise price of £0.13125 per share for a period of three years, subject to the vesting conditions set out in the warrant agreement. The grant-date fair value of the financing warrants was estimated at £164,084 using a Black-Scholes valuation model.</w:t>
      </w:r>
    </w:p>
    <w:p w14:paraId="79D3419C" w14:textId="77777777" w:rsidR="00892EFA" w:rsidRPr="006D6338" w:rsidRDefault="00892EFA" w:rsidP="00CC4100">
      <w:pPr>
        <w:spacing w:line="256" w:lineRule="auto"/>
        <w:jc w:val="both"/>
        <w:rPr>
          <w:rFonts w:ascii="Calibri" w:eastAsia="Calibri" w:hAnsi="Calibri" w:cs="Calibri"/>
          <w:sz w:val="16"/>
          <w:szCs w:val="16"/>
        </w:rPr>
      </w:pPr>
    </w:p>
    <w:p w14:paraId="55F1CBAA" w14:textId="77777777" w:rsidR="00CC4100" w:rsidRPr="006D6338" w:rsidRDefault="00CC4100" w:rsidP="00CC4100">
      <w:pPr>
        <w:spacing w:line="256" w:lineRule="auto"/>
        <w:jc w:val="both"/>
        <w:rPr>
          <w:rFonts w:ascii="Calibri" w:eastAsia="Calibri" w:hAnsi="Calibri" w:cs="Calibri"/>
          <w:sz w:val="16"/>
          <w:szCs w:val="16"/>
        </w:rPr>
      </w:pPr>
      <w:r w:rsidRPr="006D6338">
        <w:rPr>
          <w:rFonts w:ascii="Calibri" w:eastAsia="Calibri" w:hAnsi="Calibri" w:cs="Calibri"/>
          <w:sz w:val="16"/>
          <w:szCs w:val="16"/>
        </w:rPr>
        <w:t>Under the terms of the facility, repayment of the outstanding loan balance commences 60 days following drawdown and is made through a series of monthly amortisation payments. The scheduled repayments comprise instalments of principal together with accrued interest, with the outstanding balance due to be fully repaid within twelve months of the reporting date unless amounts are converted into ordinary shares in accordance with the conversion provisions of the agreement.</w:t>
      </w:r>
    </w:p>
    <w:tbl>
      <w:tblPr>
        <w:tblW w:w="10202" w:type="dxa"/>
        <w:tblLayout w:type="fixed"/>
        <w:tblLook w:val="04A0" w:firstRow="1" w:lastRow="0" w:firstColumn="1" w:lastColumn="0" w:noHBand="0" w:noVBand="1"/>
      </w:tblPr>
      <w:tblGrid>
        <w:gridCol w:w="5385"/>
        <w:gridCol w:w="1605"/>
        <w:gridCol w:w="1606"/>
        <w:gridCol w:w="1606"/>
      </w:tblGrid>
      <w:tr w:rsidR="00CC4100" w:rsidRPr="006D6338" w14:paraId="7864CD01" w14:textId="77777777" w:rsidTr="00A44FCD">
        <w:trPr>
          <w:trHeight w:val="234"/>
        </w:trPr>
        <w:tc>
          <w:tcPr>
            <w:tcW w:w="5385" w:type="dxa"/>
            <w:noWrap/>
            <w:vAlign w:val="bottom"/>
            <w:hideMark/>
          </w:tcPr>
          <w:p w14:paraId="381F0E8E" w14:textId="77777777" w:rsidR="00CC4100" w:rsidRPr="006D6338" w:rsidRDefault="00CC4100" w:rsidP="00A44FCD">
            <w:pPr>
              <w:tabs>
                <w:tab w:val="left" w:pos="0"/>
              </w:tabs>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Convertible loan notes</w:t>
            </w:r>
          </w:p>
        </w:tc>
        <w:tc>
          <w:tcPr>
            <w:tcW w:w="1605" w:type="dxa"/>
            <w:noWrap/>
            <w:vAlign w:val="bottom"/>
            <w:hideMark/>
          </w:tcPr>
          <w:p w14:paraId="1A7E273E"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06" w:type="dxa"/>
            <w:noWrap/>
            <w:vAlign w:val="bottom"/>
            <w:hideMark/>
          </w:tcPr>
          <w:p w14:paraId="74B43E33" w14:textId="77777777" w:rsidR="00CC4100" w:rsidRPr="006D6338" w:rsidRDefault="00CC4100" w:rsidP="00A44FCD">
            <w:pPr>
              <w:spacing w:line="256" w:lineRule="auto"/>
              <w:rPr>
                <w:rFonts w:ascii="Calibri" w:eastAsia="Calibri" w:hAnsi="Calibri" w:cs="Calibri"/>
                <w:sz w:val="20"/>
                <w:szCs w:val="20"/>
                <w:lang w:eastAsia="en-GB"/>
              </w:rPr>
            </w:pPr>
          </w:p>
        </w:tc>
        <w:tc>
          <w:tcPr>
            <w:tcW w:w="1606" w:type="dxa"/>
            <w:noWrap/>
            <w:vAlign w:val="bottom"/>
            <w:hideMark/>
          </w:tcPr>
          <w:p w14:paraId="41C33213"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4818F68D" w14:textId="77777777" w:rsidTr="00A44FCD">
        <w:trPr>
          <w:trHeight w:val="234"/>
        </w:trPr>
        <w:tc>
          <w:tcPr>
            <w:tcW w:w="5385" w:type="dxa"/>
            <w:noWrap/>
            <w:vAlign w:val="bottom"/>
            <w:hideMark/>
          </w:tcPr>
          <w:p w14:paraId="4E1991DA" w14:textId="77777777" w:rsidR="00CC4100" w:rsidRPr="006D6338" w:rsidRDefault="00CC4100" w:rsidP="00A44FCD">
            <w:pPr>
              <w:spacing w:line="256" w:lineRule="auto"/>
              <w:rPr>
                <w:rFonts w:ascii="Calibri" w:eastAsia="Calibri" w:hAnsi="Calibri" w:cs="Calibri"/>
                <w:sz w:val="20"/>
                <w:szCs w:val="20"/>
                <w:lang w:eastAsia="en-GB"/>
              </w:rPr>
            </w:pPr>
          </w:p>
        </w:tc>
        <w:tc>
          <w:tcPr>
            <w:tcW w:w="1605" w:type="dxa"/>
            <w:noWrap/>
            <w:vAlign w:val="bottom"/>
            <w:hideMark/>
          </w:tcPr>
          <w:p w14:paraId="45FD4704"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30/06/2026</w:t>
            </w:r>
          </w:p>
        </w:tc>
        <w:tc>
          <w:tcPr>
            <w:tcW w:w="1606" w:type="dxa"/>
            <w:noWrap/>
            <w:vAlign w:val="bottom"/>
            <w:hideMark/>
          </w:tcPr>
          <w:p w14:paraId="209A30BB"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30/06/2025</w:t>
            </w:r>
          </w:p>
        </w:tc>
        <w:tc>
          <w:tcPr>
            <w:tcW w:w="1606" w:type="dxa"/>
            <w:noWrap/>
            <w:vAlign w:val="bottom"/>
            <w:hideMark/>
          </w:tcPr>
          <w:p w14:paraId="564C4C53"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31/12/2025</w:t>
            </w:r>
          </w:p>
        </w:tc>
      </w:tr>
      <w:tr w:rsidR="00CC4100" w:rsidRPr="006D6338" w14:paraId="37F467A0" w14:textId="77777777" w:rsidTr="00A44FCD">
        <w:trPr>
          <w:trHeight w:val="234"/>
        </w:trPr>
        <w:tc>
          <w:tcPr>
            <w:tcW w:w="5385" w:type="dxa"/>
            <w:noWrap/>
            <w:vAlign w:val="bottom"/>
            <w:hideMark/>
          </w:tcPr>
          <w:p w14:paraId="00B7565E"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05" w:type="dxa"/>
            <w:noWrap/>
            <w:vAlign w:val="bottom"/>
            <w:hideMark/>
          </w:tcPr>
          <w:p w14:paraId="14791125"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06" w:type="dxa"/>
            <w:noWrap/>
            <w:vAlign w:val="bottom"/>
            <w:hideMark/>
          </w:tcPr>
          <w:p w14:paraId="03936661"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c>
          <w:tcPr>
            <w:tcW w:w="1606" w:type="dxa"/>
            <w:noWrap/>
            <w:vAlign w:val="bottom"/>
            <w:hideMark/>
          </w:tcPr>
          <w:p w14:paraId="48CB3D1D"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 £ </w:t>
            </w:r>
          </w:p>
        </w:tc>
      </w:tr>
      <w:tr w:rsidR="00CC4100" w:rsidRPr="006D6338" w14:paraId="598F33C4" w14:textId="77777777" w:rsidTr="00A44FCD">
        <w:trPr>
          <w:trHeight w:val="234"/>
        </w:trPr>
        <w:tc>
          <w:tcPr>
            <w:tcW w:w="5385" w:type="dxa"/>
            <w:noWrap/>
            <w:vAlign w:val="bottom"/>
            <w:hideMark/>
          </w:tcPr>
          <w:p w14:paraId="36383E71"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Opening Balance</w:t>
            </w:r>
          </w:p>
        </w:tc>
        <w:tc>
          <w:tcPr>
            <w:tcW w:w="1605" w:type="dxa"/>
            <w:noWrap/>
            <w:vAlign w:val="bottom"/>
            <w:hideMark/>
          </w:tcPr>
          <w:p w14:paraId="26C03C4F"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noWrap/>
            <w:vAlign w:val="bottom"/>
            <w:hideMark/>
          </w:tcPr>
          <w:p w14:paraId="37D6729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520,000  </w:t>
            </w:r>
          </w:p>
        </w:tc>
        <w:tc>
          <w:tcPr>
            <w:tcW w:w="1606" w:type="dxa"/>
            <w:noWrap/>
            <w:vAlign w:val="bottom"/>
            <w:hideMark/>
          </w:tcPr>
          <w:p w14:paraId="38F63D01"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520,000 </w:t>
            </w:r>
          </w:p>
        </w:tc>
      </w:tr>
      <w:tr w:rsidR="00CC4100" w:rsidRPr="006D6338" w14:paraId="7ED223F3" w14:textId="77777777" w:rsidTr="00A44FCD">
        <w:trPr>
          <w:trHeight w:val="234"/>
        </w:trPr>
        <w:tc>
          <w:tcPr>
            <w:tcW w:w="5385" w:type="dxa"/>
            <w:noWrap/>
            <w:vAlign w:val="bottom"/>
          </w:tcPr>
          <w:p w14:paraId="65C1CF53" w14:textId="77777777" w:rsidR="00CC4100" w:rsidRPr="006D6338" w:rsidRDefault="00CC4100" w:rsidP="00A44FCD">
            <w:pPr>
              <w:tabs>
                <w:tab w:val="left" w:pos="0"/>
              </w:tabs>
              <w:rPr>
                <w:rFonts w:ascii="Calibri" w:eastAsia="Times New Roman" w:hAnsi="Calibri" w:cs="Calibri"/>
                <w:color w:val="000000"/>
                <w:sz w:val="16"/>
                <w:szCs w:val="16"/>
                <w:lang w:eastAsia="en-GB"/>
              </w:rPr>
            </w:pPr>
          </w:p>
        </w:tc>
        <w:tc>
          <w:tcPr>
            <w:tcW w:w="1605" w:type="dxa"/>
            <w:noWrap/>
            <w:vAlign w:val="bottom"/>
          </w:tcPr>
          <w:p w14:paraId="573B9D49" w14:textId="77777777" w:rsidR="00CC4100" w:rsidRPr="006D6338" w:rsidRDefault="00CC4100" w:rsidP="00A44FCD">
            <w:pPr>
              <w:tabs>
                <w:tab w:val="left" w:pos="0"/>
              </w:tabs>
              <w:jc w:val="right"/>
              <w:rPr>
                <w:rFonts w:ascii="Calibri" w:eastAsia="Times New Roman" w:hAnsi="Calibri" w:cs="Calibri"/>
                <w:sz w:val="16"/>
                <w:szCs w:val="16"/>
                <w:lang w:eastAsia="en-GB"/>
              </w:rPr>
            </w:pPr>
          </w:p>
        </w:tc>
        <w:tc>
          <w:tcPr>
            <w:tcW w:w="1606" w:type="dxa"/>
            <w:noWrap/>
            <w:vAlign w:val="bottom"/>
          </w:tcPr>
          <w:p w14:paraId="250DD635" w14:textId="77777777" w:rsidR="00CC4100" w:rsidRPr="006D6338" w:rsidRDefault="00CC4100" w:rsidP="00A44FCD">
            <w:pPr>
              <w:tabs>
                <w:tab w:val="left" w:pos="0"/>
              </w:tabs>
              <w:jc w:val="right"/>
              <w:rPr>
                <w:rFonts w:ascii="Calibri" w:eastAsia="Times New Roman" w:hAnsi="Calibri" w:cs="Calibri"/>
                <w:sz w:val="16"/>
                <w:szCs w:val="16"/>
                <w:lang w:eastAsia="en-GB"/>
              </w:rPr>
            </w:pPr>
          </w:p>
        </w:tc>
        <w:tc>
          <w:tcPr>
            <w:tcW w:w="1606" w:type="dxa"/>
            <w:noWrap/>
            <w:vAlign w:val="bottom"/>
          </w:tcPr>
          <w:p w14:paraId="1EDF7D2F" w14:textId="77777777" w:rsidR="00CC4100" w:rsidRPr="006D6338" w:rsidRDefault="00CC4100" w:rsidP="00A44FCD">
            <w:pPr>
              <w:tabs>
                <w:tab w:val="left" w:pos="0"/>
              </w:tabs>
              <w:jc w:val="right"/>
              <w:rPr>
                <w:rFonts w:ascii="Calibri" w:eastAsia="Times New Roman" w:hAnsi="Calibri" w:cs="Calibri"/>
                <w:sz w:val="16"/>
                <w:szCs w:val="16"/>
                <w:lang w:eastAsia="en-GB"/>
              </w:rPr>
            </w:pPr>
          </w:p>
        </w:tc>
      </w:tr>
      <w:tr w:rsidR="00CC4100" w:rsidRPr="006D6338" w14:paraId="369F9308" w14:textId="77777777" w:rsidTr="00A44FCD">
        <w:trPr>
          <w:trHeight w:val="234"/>
        </w:trPr>
        <w:tc>
          <w:tcPr>
            <w:tcW w:w="5385" w:type="dxa"/>
            <w:noWrap/>
            <w:vAlign w:val="bottom"/>
            <w:hideMark/>
          </w:tcPr>
          <w:p w14:paraId="5EBA241A"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Proceeds of issue of convertible loan notes</w:t>
            </w:r>
          </w:p>
        </w:tc>
        <w:tc>
          <w:tcPr>
            <w:tcW w:w="1605" w:type="dxa"/>
            <w:noWrap/>
            <w:vAlign w:val="bottom"/>
            <w:hideMark/>
          </w:tcPr>
          <w:p w14:paraId="2607D8D5"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2,325,000</w:t>
            </w:r>
          </w:p>
        </w:tc>
        <w:tc>
          <w:tcPr>
            <w:tcW w:w="1606" w:type="dxa"/>
            <w:noWrap/>
            <w:vAlign w:val="bottom"/>
            <w:hideMark/>
          </w:tcPr>
          <w:p w14:paraId="16161FA0"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 </w:t>
            </w:r>
          </w:p>
        </w:tc>
        <w:tc>
          <w:tcPr>
            <w:tcW w:w="1606" w:type="dxa"/>
            <w:noWrap/>
            <w:vAlign w:val="bottom"/>
            <w:hideMark/>
          </w:tcPr>
          <w:p w14:paraId="69C7F219"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r>
      <w:tr w:rsidR="00CC4100" w:rsidRPr="006D6338" w14:paraId="4977AA60" w14:textId="77777777" w:rsidTr="00A44FCD">
        <w:trPr>
          <w:trHeight w:val="234"/>
        </w:trPr>
        <w:tc>
          <w:tcPr>
            <w:tcW w:w="5385" w:type="dxa"/>
            <w:noWrap/>
            <w:vAlign w:val="bottom"/>
            <w:hideMark/>
          </w:tcPr>
          <w:p w14:paraId="22D86D9A"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05" w:type="dxa"/>
            <w:noWrap/>
            <w:vAlign w:val="bottom"/>
          </w:tcPr>
          <w:p w14:paraId="63F182A9" w14:textId="77777777" w:rsidR="00CC4100" w:rsidRPr="006D6338" w:rsidRDefault="00CC4100" w:rsidP="00A44FCD">
            <w:pPr>
              <w:tabs>
                <w:tab w:val="left" w:pos="0"/>
              </w:tabs>
              <w:jc w:val="right"/>
              <w:rPr>
                <w:rFonts w:ascii="Calibri" w:eastAsia="Times New Roman" w:hAnsi="Calibri" w:cs="Calibri"/>
                <w:sz w:val="16"/>
                <w:szCs w:val="16"/>
                <w:lang w:eastAsia="en-GB"/>
              </w:rPr>
            </w:pPr>
          </w:p>
        </w:tc>
        <w:tc>
          <w:tcPr>
            <w:tcW w:w="1606" w:type="dxa"/>
            <w:noWrap/>
            <w:vAlign w:val="bottom"/>
            <w:hideMark/>
          </w:tcPr>
          <w:p w14:paraId="432E85CE"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1606" w:type="dxa"/>
            <w:noWrap/>
            <w:vAlign w:val="bottom"/>
            <w:hideMark/>
          </w:tcPr>
          <w:p w14:paraId="6AD005B4"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10369953" w14:textId="77777777" w:rsidTr="00A44FCD">
        <w:trPr>
          <w:trHeight w:val="234"/>
        </w:trPr>
        <w:tc>
          <w:tcPr>
            <w:tcW w:w="5385" w:type="dxa"/>
            <w:noWrap/>
            <w:vAlign w:val="bottom"/>
            <w:hideMark/>
          </w:tcPr>
          <w:p w14:paraId="0ECFF294" w14:textId="77777777" w:rsidR="00CC4100" w:rsidRPr="006D6338" w:rsidRDefault="00CC4100" w:rsidP="00A44FCD">
            <w:pPr>
              <w:tabs>
                <w:tab w:val="left" w:pos="0"/>
              </w:tabs>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Net proceeds from issue of convertible loan notes</w:t>
            </w:r>
          </w:p>
        </w:tc>
        <w:tc>
          <w:tcPr>
            <w:tcW w:w="1605" w:type="dxa"/>
            <w:tcBorders>
              <w:top w:val="single" w:sz="4" w:space="0" w:color="auto"/>
              <w:left w:val="nil"/>
              <w:bottom w:val="double" w:sz="6" w:space="0" w:color="auto"/>
              <w:right w:val="nil"/>
            </w:tcBorders>
            <w:noWrap/>
            <w:vAlign w:val="bottom"/>
            <w:hideMark/>
          </w:tcPr>
          <w:p w14:paraId="5A99D91A"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2,325,000</w:t>
            </w:r>
          </w:p>
        </w:tc>
        <w:tc>
          <w:tcPr>
            <w:tcW w:w="1606" w:type="dxa"/>
            <w:tcBorders>
              <w:top w:val="single" w:sz="4" w:space="0" w:color="auto"/>
              <w:left w:val="nil"/>
              <w:bottom w:val="double" w:sz="6" w:space="0" w:color="auto"/>
              <w:right w:val="nil"/>
            </w:tcBorders>
            <w:noWrap/>
            <w:vAlign w:val="bottom"/>
            <w:hideMark/>
          </w:tcPr>
          <w:p w14:paraId="5B2AA345"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520,000 </w:t>
            </w:r>
          </w:p>
        </w:tc>
        <w:tc>
          <w:tcPr>
            <w:tcW w:w="1606" w:type="dxa"/>
            <w:tcBorders>
              <w:top w:val="single" w:sz="4" w:space="0" w:color="auto"/>
              <w:left w:val="nil"/>
              <w:bottom w:val="double" w:sz="6" w:space="0" w:color="auto"/>
              <w:right w:val="nil"/>
            </w:tcBorders>
            <w:noWrap/>
            <w:vAlign w:val="bottom"/>
            <w:hideMark/>
          </w:tcPr>
          <w:p w14:paraId="0DC66C54"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 xml:space="preserve">520,000 </w:t>
            </w:r>
          </w:p>
        </w:tc>
      </w:tr>
      <w:tr w:rsidR="00CC4100" w:rsidRPr="006D6338" w14:paraId="71EFF716" w14:textId="77777777" w:rsidTr="00A44FCD">
        <w:trPr>
          <w:trHeight w:val="234"/>
        </w:trPr>
        <w:tc>
          <w:tcPr>
            <w:tcW w:w="5385" w:type="dxa"/>
            <w:noWrap/>
            <w:vAlign w:val="bottom"/>
            <w:hideMark/>
          </w:tcPr>
          <w:p w14:paraId="19A4D195" w14:textId="77777777" w:rsidR="00CC4100" w:rsidRPr="006D6338" w:rsidRDefault="00CC4100" w:rsidP="00A44FCD">
            <w:pPr>
              <w:spacing w:line="256" w:lineRule="auto"/>
              <w:rPr>
                <w:rFonts w:ascii="Calibri" w:eastAsia="Times New Roman" w:hAnsi="Calibri" w:cs="Calibri"/>
                <w:b/>
                <w:bCs/>
                <w:color w:val="000000"/>
                <w:sz w:val="16"/>
                <w:szCs w:val="16"/>
                <w:lang w:eastAsia="en-GB"/>
              </w:rPr>
            </w:pPr>
          </w:p>
        </w:tc>
        <w:tc>
          <w:tcPr>
            <w:tcW w:w="1605" w:type="dxa"/>
            <w:noWrap/>
            <w:vAlign w:val="bottom"/>
          </w:tcPr>
          <w:p w14:paraId="6308FF18" w14:textId="77777777" w:rsidR="00CC4100" w:rsidRPr="006D6338" w:rsidRDefault="00CC4100" w:rsidP="00A44FCD">
            <w:pPr>
              <w:tabs>
                <w:tab w:val="left" w:pos="0"/>
              </w:tabs>
              <w:jc w:val="right"/>
              <w:rPr>
                <w:rFonts w:ascii="Calibri" w:eastAsia="Times New Roman" w:hAnsi="Calibri" w:cs="Calibri"/>
                <w:sz w:val="16"/>
                <w:szCs w:val="16"/>
                <w:lang w:eastAsia="en-GB"/>
              </w:rPr>
            </w:pPr>
          </w:p>
        </w:tc>
        <w:tc>
          <w:tcPr>
            <w:tcW w:w="1606" w:type="dxa"/>
            <w:noWrap/>
            <w:vAlign w:val="bottom"/>
            <w:hideMark/>
          </w:tcPr>
          <w:p w14:paraId="6B2F1DDF"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1606" w:type="dxa"/>
            <w:noWrap/>
            <w:vAlign w:val="bottom"/>
            <w:hideMark/>
          </w:tcPr>
          <w:p w14:paraId="0999F245"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2F265082" w14:textId="77777777" w:rsidTr="00A44FCD">
        <w:trPr>
          <w:trHeight w:val="234"/>
        </w:trPr>
        <w:tc>
          <w:tcPr>
            <w:tcW w:w="5385" w:type="dxa"/>
            <w:noWrap/>
            <w:vAlign w:val="bottom"/>
            <w:hideMark/>
          </w:tcPr>
          <w:p w14:paraId="1DE705C6"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Equity component</w:t>
            </w:r>
          </w:p>
        </w:tc>
        <w:tc>
          <w:tcPr>
            <w:tcW w:w="1605" w:type="dxa"/>
            <w:noWrap/>
            <w:vAlign w:val="bottom"/>
            <w:hideMark/>
          </w:tcPr>
          <w:p w14:paraId="42D53D4B"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99,568</w:t>
            </w:r>
          </w:p>
        </w:tc>
        <w:tc>
          <w:tcPr>
            <w:tcW w:w="1606" w:type="dxa"/>
            <w:noWrap/>
            <w:vAlign w:val="bottom"/>
            <w:hideMark/>
          </w:tcPr>
          <w:p w14:paraId="099D413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 xml:space="preserve">26,767 </w:t>
            </w:r>
          </w:p>
        </w:tc>
        <w:tc>
          <w:tcPr>
            <w:tcW w:w="1606" w:type="dxa"/>
            <w:noWrap/>
            <w:vAlign w:val="bottom"/>
            <w:hideMark/>
          </w:tcPr>
          <w:p w14:paraId="70DB7BB9"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26,767</w:t>
            </w:r>
          </w:p>
        </w:tc>
      </w:tr>
      <w:tr w:rsidR="00CC4100" w:rsidRPr="006D6338" w14:paraId="21885B0F" w14:textId="77777777" w:rsidTr="00A44FCD">
        <w:trPr>
          <w:trHeight w:val="234"/>
        </w:trPr>
        <w:tc>
          <w:tcPr>
            <w:tcW w:w="5385" w:type="dxa"/>
            <w:noWrap/>
            <w:vAlign w:val="bottom"/>
            <w:hideMark/>
          </w:tcPr>
          <w:p w14:paraId="6BEB5F12"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05" w:type="dxa"/>
            <w:noWrap/>
            <w:vAlign w:val="bottom"/>
          </w:tcPr>
          <w:p w14:paraId="3FAB1932"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p>
        </w:tc>
        <w:tc>
          <w:tcPr>
            <w:tcW w:w="1606" w:type="dxa"/>
            <w:noWrap/>
            <w:vAlign w:val="bottom"/>
            <w:hideMark/>
          </w:tcPr>
          <w:p w14:paraId="21F25CF8" w14:textId="77777777" w:rsidR="00CC4100" w:rsidRPr="006D6338" w:rsidRDefault="00CC4100" w:rsidP="00A44FCD">
            <w:pPr>
              <w:spacing w:line="256" w:lineRule="auto"/>
              <w:rPr>
                <w:rFonts w:ascii="Calibri" w:eastAsia="Times New Roman" w:hAnsi="Calibri" w:cs="Calibri"/>
                <w:color w:val="000000"/>
                <w:sz w:val="16"/>
                <w:szCs w:val="16"/>
                <w:lang w:eastAsia="en-GB"/>
              </w:rPr>
            </w:pPr>
          </w:p>
        </w:tc>
        <w:tc>
          <w:tcPr>
            <w:tcW w:w="1606" w:type="dxa"/>
            <w:noWrap/>
            <w:vAlign w:val="bottom"/>
            <w:hideMark/>
          </w:tcPr>
          <w:p w14:paraId="69E56CB5"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5CDBDFF1" w14:textId="77777777" w:rsidTr="00A44FCD">
        <w:trPr>
          <w:trHeight w:val="234"/>
        </w:trPr>
        <w:tc>
          <w:tcPr>
            <w:tcW w:w="5385" w:type="dxa"/>
            <w:noWrap/>
            <w:vAlign w:val="bottom"/>
            <w:hideMark/>
          </w:tcPr>
          <w:p w14:paraId="071A193B"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Amount classified as equity</w:t>
            </w:r>
          </w:p>
        </w:tc>
        <w:tc>
          <w:tcPr>
            <w:tcW w:w="1605" w:type="dxa"/>
            <w:tcBorders>
              <w:top w:val="single" w:sz="4" w:space="0" w:color="auto"/>
              <w:left w:val="nil"/>
              <w:bottom w:val="double" w:sz="6" w:space="0" w:color="auto"/>
              <w:right w:val="nil"/>
            </w:tcBorders>
            <w:noWrap/>
            <w:vAlign w:val="bottom"/>
            <w:hideMark/>
          </w:tcPr>
          <w:p w14:paraId="0F46AA8D"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b/>
                <w:bCs/>
                <w:color w:val="000000"/>
                <w:sz w:val="16"/>
                <w:szCs w:val="16"/>
                <w:lang w:eastAsia="en-GB"/>
              </w:rPr>
              <w:t>99,568</w:t>
            </w:r>
          </w:p>
        </w:tc>
        <w:tc>
          <w:tcPr>
            <w:tcW w:w="1606" w:type="dxa"/>
            <w:tcBorders>
              <w:top w:val="single" w:sz="4" w:space="0" w:color="auto"/>
              <w:left w:val="nil"/>
              <w:bottom w:val="double" w:sz="6" w:space="0" w:color="auto"/>
              <w:right w:val="nil"/>
            </w:tcBorders>
            <w:noWrap/>
            <w:vAlign w:val="bottom"/>
            <w:hideMark/>
          </w:tcPr>
          <w:p w14:paraId="2509ACF4" w14:textId="77777777" w:rsidR="00CC4100" w:rsidRPr="006D6338" w:rsidRDefault="00CC4100" w:rsidP="00A44FCD">
            <w:pPr>
              <w:tabs>
                <w:tab w:val="left" w:pos="0"/>
              </w:tabs>
              <w:jc w:val="right"/>
              <w:rPr>
                <w:rFonts w:ascii="Calibri" w:eastAsia="Times New Roman" w:hAnsi="Calibri" w:cs="Calibri"/>
                <w:b/>
                <w:bCs/>
                <w:sz w:val="16"/>
                <w:szCs w:val="16"/>
                <w:lang w:eastAsia="en-GB"/>
              </w:rPr>
            </w:pPr>
            <w:r w:rsidRPr="006D6338">
              <w:rPr>
                <w:rFonts w:ascii="Calibri" w:eastAsia="Times New Roman" w:hAnsi="Calibri" w:cs="Calibri"/>
                <w:b/>
                <w:bCs/>
                <w:color w:val="000000"/>
                <w:sz w:val="16"/>
                <w:szCs w:val="16"/>
                <w:lang w:eastAsia="en-GB"/>
              </w:rPr>
              <w:t xml:space="preserve">26,767 </w:t>
            </w:r>
          </w:p>
        </w:tc>
        <w:tc>
          <w:tcPr>
            <w:tcW w:w="1606" w:type="dxa"/>
            <w:tcBorders>
              <w:top w:val="single" w:sz="4" w:space="0" w:color="auto"/>
              <w:left w:val="nil"/>
              <w:bottom w:val="double" w:sz="6" w:space="0" w:color="auto"/>
              <w:right w:val="nil"/>
            </w:tcBorders>
            <w:noWrap/>
            <w:vAlign w:val="bottom"/>
            <w:hideMark/>
          </w:tcPr>
          <w:p w14:paraId="7F3CDC49" w14:textId="77777777" w:rsidR="00CC4100" w:rsidRPr="006D6338" w:rsidRDefault="00CC4100" w:rsidP="00A44FCD">
            <w:pPr>
              <w:tabs>
                <w:tab w:val="left" w:pos="0"/>
              </w:tabs>
              <w:jc w:val="right"/>
              <w:rPr>
                <w:rFonts w:ascii="Calibri" w:eastAsia="Times New Roman" w:hAnsi="Calibri" w:cs="Calibri"/>
                <w:b/>
                <w:bCs/>
                <w:sz w:val="16"/>
                <w:szCs w:val="16"/>
                <w:lang w:eastAsia="en-GB"/>
              </w:rPr>
            </w:pPr>
            <w:r w:rsidRPr="006D6338">
              <w:rPr>
                <w:rFonts w:ascii="Calibri" w:eastAsia="Times New Roman" w:hAnsi="Calibri" w:cs="Calibri"/>
                <w:b/>
                <w:bCs/>
                <w:sz w:val="16"/>
                <w:szCs w:val="16"/>
                <w:lang w:eastAsia="en-GB"/>
              </w:rPr>
              <w:t>26,767</w:t>
            </w:r>
          </w:p>
        </w:tc>
      </w:tr>
      <w:tr w:rsidR="00CC4100" w:rsidRPr="006D6338" w14:paraId="72EA6540" w14:textId="77777777" w:rsidTr="00A44FCD">
        <w:trPr>
          <w:trHeight w:val="234"/>
        </w:trPr>
        <w:tc>
          <w:tcPr>
            <w:tcW w:w="5385" w:type="dxa"/>
            <w:noWrap/>
            <w:vAlign w:val="bottom"/>
            <w:hideMark/>
          </w:tcPr>
          <w:p w14:paraId="7A2B1151" w14:textId="77777777" w:rsidR="00CC4100" w:rsidRPr="006D6338" w:rsidRDefault="00CC4100" w:rsidP="00A44FCD">
            <w:pPr>
              <w:spacing w:line="256" w:lineRule="auto"/>
              <w:rPr>
                <w:rFonts w:ascii="Calibri" w:eastAsia="Times New Roman" w:hAnsi="Calibri" w:cs="Calibri"/>
                <w:b/>
                <w:bCs/>
                <w:sz w:val="16"/>
                <w:szCs w:val="16"/>
                <w:lang w:eastAsia="en-GB"/>
              </w:rPr>
            </w:pPr>
          </w:p>
        </w:tc>
        <w:tc>
          <w:tcPr>
            <w:tcW w:w="1605" w:type="dxa"/>
            <w:noWrap/>
            <w:vAlign w:val="bottom"/>
          </w:tcPr>
          <w:p w14:paraId="6144386D" w14:textId="77777777" w:rsidR="00CC4100" w:rsidRPr="006D6338" w:rsidRDefault="00CC4100" w:rsidP="00A44FCD">
            <w:pPr>
              <w:tabs>
                <w:tab w:val="left" w:pos="0"/>
              </w:tabs>
              <w:jc w:val="right"/>
              <w:rPr>
                <w:rFonts w:ascii="Calibri" w:eastAsia="Times New Roman" w:hAnsi="Calibri" w:cs="Calibri"/>
                <w:sz w:val="16"/>
                <w:szCs w:val="16"/>
                <w:lang w:eastAsia="en-GB"/>
              </w:rPr>
            </w:pPr>
          </w:p>
        </w:tc>
        <w:tc>
          <w:tcPr>
            <w:tcW w:w="1606" w:type="dxa"/>
            <w:noWrap/>
            <w:vAlign w:val="bottom"/>
            <w:hideMark/>
          </w:tcPr>
          <w:p w14:paraId="11358BF0" w14:textId="77777777" w:rsidR="00CC4100" w:rsidRPr="006D6338" w:rsidRDefault="00CC4100" w:rsidP="00A44FCD">
            <w:pPr>
              <w:spacing w:line="256" w:lineRule="auto"/>
              <w:rPr>
                <w:rFonts w:ascii="Calibri" w:eastAsia="Times New Roman" w:hAnsi="Calibri" w:cs="Calibri"/>
                <w:sz w:val="16"/>
                <w:szCs w:val="16"/>
                <w:lang w:eastAsia="en-GB"/>
              </w:rPr>
            </w:pPr>
          </w:p>
        </w:tc>
        <w:tc>
          <w:tcPr>
            <w:tcW w:w="1606" w:type="dxa"/>
            <w:noWrap/>
            <w:vAlign w:val="bottom"/>
            <w:hideMark/>
          </w:tcPr>
          <w:p w14:paraId="4E461D99" w14:textId="77777777" w:rsidR="00CC4100" w:rsidRPr="006D6338" w:rsidRDefault="00CC4100" w:rsidP="00A44FCD">
            <w:pPr>
              <w:spacing w:line="256" w:lineRule="auto"/>
              <w:rPr>
                <w:rFonts w:ascii="Calibri" w:eastAsia="Calibri" w:hAnsi="Calibri" w:cs="Calibri"/>
                <w:sz w:val="20"/>
                <w:szCs w:val="20"/>
                <w:lang w:eastAsia="en-GB"/>
              </w:rPr>
            </w:pPr>
          </w:p>
        </w:tc>
      </w:tr>
      <w:tr w:rsidR="00CC4100" w:rsidRPr="006D6338" w14:paraId="07CC60FC" w14:textId="77777777" w:rsidTr="00A44FCD">
        <w:trPr>
          <w:trHeight w:val="234"/>
        </w:trPr>
        <w:tc>
          <w:tcPr>
            <w:tcW w:w="5385" w:type="dxa"/>
            <w:noWrap/>
            <w:vAlign w:val="bottom"/>
            <w:hideMark/>
          </w:tcPr>
          <w:p w14:paraId="253B2CF5"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Liability component at start of period</w:t>
            </w:r>
          </w:p>
        </w:tc>
        <w:tc>
          <w:tcPr>
            <w:tcW w:w="1605" w:type="dxa"/>
            <w:noWrap/>
            <w:vAlign w:val="bottom"/>
            <w:hideMark/>
          </w:tcPr>
          <w:p w14:paraId="6A386B4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noWrap/>
            <w:vAlign w:val="bottom"/>
            <w:hideMark/>
          </w:tcPr>
          <w:p w14:paraId="11784615"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605,495</w:t>
            </w:r>
          </w:p>
        </w:tc>
        <w:tc>
          <w:tcPr>
            <w:tcW w:w="1606" w:type="dxa"/>
            <w:noWrap/>
            <w:vAlign w:val="bottom"/>
            <w:hideMark/>
          </w:tcPr>
          <w:p w14:paraId="4E254B7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605,495</w:t>
            </w:r>
          </w:p>
        </w:tc>
      </w:tr>
      <w:tr w:rsidR="00CC4100" w:rsidRPr="006D6338" w14:paraId="6EF772D7" w14:textId="77777777" w:rsidTr="00A44FCD">
        <w:trPr>
          <w:trHeight w:val="234"/>
        </w:trPr>
        <w:tc>
          <w:tcPr>
            <w:tcW w:w="5385" w:type="dxa"/>
            <w:noWrap/>
            <w:vAlign w:val="bottom"/>
          </w:tcPr>
          <w:p w14:paraId="46B14DBB"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Liability component on initial recognition</w:t>
            </w:r>
          </w:p>
        </w:tc>
        <w:tc>
          <w:tcPr>
            <w:tcW w:w="1605" w:type="dxa"/>
            <w:tcBorders>
              <w:top w:val="nil"/>
              <w:left w:val="nil"/>
              <w:right w:val="nil"/>
            </w:tcBorders>
            <w:noWrap/>
            <w:vAlign w:val="bottom"/>
          </w:tcPr>
          <w:p w14:paraId="1AFFE2E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2,061,348</w:t>
            </w:r>
          </w:p>
        </w:tc>
        <w:tc>
          <w:tcPr>
            <w:tcW w:w="1606" w:type="dxa"/>
            <w:tcBorders>
              <w:top w:val="nil"/>
              <w:left w:val="nil"/>
              <w:right w:val="nil"/>
            </w:tcBorders>
            <w:noWrap/>
            <w:vAlign w:val="bottom"/>
          </w:tcPr>
          <w:p w14:paraId="65B0042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top w:val="nil"/>
              <w:left w:val="nil"/>
              <w:right w:val="nil"/>
            </w:tcBorders>
            <w:noWrap/>
            <w:vAlign w:val="bottom"/>
          </w:tcPr>
          <w:p w14:paraId="2C9BC593" w14:textId="77777777" w:rsidR="00CC4100" w:rsidRPr="006D6338" w:rsidDel="00003881"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r>
      <w:tr w:rsidR="00CC4100" w:rsidRPr="006D6338" w14:paraId="77AC57BA" w14:textId="77777777" w:rsidTr="00A44FCD">
        <w:trPr>
          <w:trHeight w:val="234"/>
        </w:trPr>
        <w:tc>
          <w:tcPr>
            <w:tcW w:w="5385" w:type="dxa"/>
            <w:noWrap/>
            <w:vAlign w:val="bottom"/>
            <w:hideMark/>
          </w:tcPr>
          <w:p w14:paraId="25FD852A"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Interest charged</w:t>
            </w:r>
          </w:p>
        </w:tc>
        <w:tc>
          <w:tcPr>
            <w:tcW w:w="1605" w:type="dxa"/>
            <w:tcBorders>
              <w:top w:val="nil"/>
              <w:left w:val="nil"/>
              <w:right w:val="nil"/>
            </w:tcBorders>
            <w:noWrap/>
            <w:vAlign w:val="bottom"/>
            <w:hideMark/>
          </w:tcPr>
          <w:p w14:paraId="09EA54AF"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top w:val="nil"/>
              <w:left w:val="nil"/>
              <w:right w:val="nil"/>
            </w:tcBorders>
            <w:noWrap/>
            <w:vAlign w:val="bottom"/>
            <w:hideMark/>
          </w:tcPr>
          <w:p w14:paraId="7DBF686E"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43,454</w:t>
            </w:r>
          </w:p>
        </w:tc>
        <w:tc>
          <w:tcPr>
            <w:tcW w:w="1606" w:type="dxa"/>
            <w:tcBorders>
              <w:top w:val="nil"/>
              <w:left w:val="nil"/>
              <w:right w:val="nil"/>
            </w:tcBorders>
            <w:noWrap/>
            <w:vAlign w:val="bottom"/>
            <w:hideMark/>
          </w:tcPr>
          <w:p w14:paraId="33164045"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86,115</w:t>
            </w:r>
          </w:p>
        </w:tc>
      </w:tr>
      <w:tr w:rsidR="00CC4100" w:rsidRPr="006D6338" w14:paraId="6A630B4B" w14:textId="77777777" w:rsidTr="00A44FCD">
        <w:trPr>
          <w:trHeight w:val="234"/>
        </w:trPr>
        <w:tc>
          <w:tcPr>
            <w:tcW w:w="5385" w:type="dxa"/>
            <w:noWrap/>
            <w:vAlign w:val="bottom"/>
          </w:tcPr>
          <w:p w14:paraId="29AE7169"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Repayment of CLN</w:t>
            </w:r>
          </w:p>
        </w:tc>
        <w:tc>
          <w:tcPr>
            <w:tcW w:w="1605" w:type="dxa"/>
            <w:tcBorders>
              <w:left w:val="nil"/>
              <w:right w:val="nil"/>
            </w:tcBorders>
            <w:noWrap/>
            <w:vAlign w:val="bottom"/>
          </w:tcPr>
          <w:p w14:paraId="24417FC5"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right w:val="nil"/>
            </w:tcBorders>
            <w:noWrap/>
            <w:vAlign w:val="bottom"/>
          </w:tcPr>
          <w:p w14:paraId="7FCF6C00"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right w:val="nil"/>
            </w:tcBorders>
            <w:noWrap/>
            <w:vAlign w:val="bottom"/>
          </w:tcPr>
          <w:p w14:paraId="536F281F"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(213,579)</w:t>
            </w:r>
          </w:p>
        </w:tc>
      </w:tr>
      <w:tr w:rsidR="00CC4100" w:rsidRPr="006D6338" w14:paraId="4691ACBA" w14:textId="77777777" w:rsidTr="00A44FCD">
        <w:trPr>
          <w:trHeight w:val="234"/>
        </w:trPr>
        <w:tc>
          <w:tcPr>
            <w:tcW w:w="5385" w:type="dxa"/>
            <w:noWrap/>
            <w:vAlign w:val="bottom"/>
          </w:tcPr>
          <w:p w14:paraId="74B53ADF"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Loss on derecognition of modified CLN</w:t>
            </w:r>
          </w:p>
        </w:tc>
        <w:tc>
          <w:tcPr>
            <w:tcW w:w="1605" w:type="dxa"/>
            <w:tcBorders>
              <w:left w:val="nil"/>
              <w:right w:val="nil"/>
            </w:tcBorders>
            <w:noWrap/>
            <w:vAlign w:val="bottom"/>
          </w:tcPr>
          <w:p w14:paraId="67A07C2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right w:val="nil"/>
            </w:tcBorders>
            <w:noWrap/>
            <w:vAlign w:val="bottom"/>
          </w:tcPr>
          <w:p w14:paraId="12C83A8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right w:val="nil"/>
            </w:tcBorders>
            <w:noWrap/>
            <w:vAlign w:val="bottom"/>
          </w:tcPr>
          <w:p w14:paraId="267A8D7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(47,953)</w:t>
            </w:r>
          </w:p>
        </w:tc>
      </w:tr>
      <w:tr w:rsidR="00CC4100" w:rsidRPr="006D6338" w14:paraId="2ABA07C5" w14:textId="77777777" w:rsidTr="00A44FCD">
        <w:trPr>
          <w:trHeight w:val="234"/>
        </w:trPr>
        <w:tc>
          <w:tcPr>
            <w:tcW w:w="5385" w:type="dxa"/>
            <w:noWrap/>
            <w:vAlign w:val="bottom"/>
          </w:tcPr>
          <w:p w14:paraId="5D9C32A3"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CLN converted</w:t>
            </w:r>
          </w:p>
        </w:tc>
        <w:tc>
          <w:tcPr>
            <w:tcW w:w="1605" w:type="dxa"/>
            <w:tcBorders>
              <w:left w:val="nil"/>
              <w:bottom w:val="single" w:sz="4" w:space="0" w:color="auto"/>
              <w:right w:val="nil"/>
            </w:tcBorders>
            <w:noWrap/>
            <w:vAlign w:val="bottom"/>
          </w:tcPr>
          <w:p w14:paraId="4C4F739A"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bottom w:val="single" w:sz="4" w:space="0" w:color="auto"/>
              <w:right w:val="nil"/>
            </w:tcBorders>
            <w:noWrap/>
            <w:vAlign w:val="bottom"/>
          </w:tcPr>
          <w:p w14:paraId="1F12B35D"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tcBorders>
              <w:left w:val="nil"/>
              <w:bottom w:val="single" w:sz="4" w:space="0" w:color="auto"/>
              <w:right w:val="nil"/>
            </w:tcBorders>
            <w:noWrap/>
            <w:vAlign w:val="bottom"/>
          </w:tcPr>
          <w:p w14:paraId="2B77B726"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(430,078)</w:t>
            </w:r>
          </w:p>
        </w:tc>
      </w:tr>
      <w:tr w:rsidR="00CC4100" w:rsidRPr="006D6338" w14:paraId="2F99335B" w14:textId="77777777" w:rsidTr="00A44FCD">
        <w:trPr>
          <w:trHeight w:val="234"/>
        </w:trPr>
        <w:tc>
          <w:tcPr>
            <w:tcW w:w="5385" w:type="dxa"/>
            <w:noWrap/>
            <w:vAlign w:val="bottom"/>
            <w:hideMark/>
          </w:tcPr>
          <w:p w14:paraId="3DC8D7AC"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Liability component at period end</w:t>
            </w:r>
          </w:p>
        </w:tc>
        <w:tc>
          <w:tcPr>
            <w:tcW w:w="1605" w:type="dxa"/>
            <w:tcBorders>
              <w:top w:val="single" w:sz="4" w:space="0" w:color="auto"/>
              <w:left w:val="nil"/>
              <w:bottom w:val="double" w:sz="4" w:space="0" w:color="auto"/>
              <w:right w:val="nil"/>
            </w:tcBorders>
            <w:noWrap/>
            <w:vAlign w:val="bottom"/>
            <w:hideMark/>
          </w:tcPr>
          <w:p w14:paraId="5D06C9C8"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2,061,348</w:t>
            </w:r>
          </w:p>
        </w:tc>
        <w:tc>
          <w:tcPr>
            <w:tcW w:w="1606" w:type="dxa"/>
            <w:tcBorders>
              <w:top w:val="single" w:sz="4" w:space="0" w:color="auto"/>
              <w:left w:val="nil"/>
              <w:bottom w:val="double" w:sz="4" w:space="0" w:color="auto"/>
              <w:right w:val="nil"/>
            </w:tcBorders>
            <w:noWrap/>
            <w:vAlign w:val="bottom"/>
            <w:hideMark/>
          </w:tcPr>
          <w:p w14:paraId="6877F7DD"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648,949</w:t>
            </w:r>
          </w:p>
        </w:tc>
        <w:tc>
          <w:tcPr>
            <w:tcW w:w="1606" w:type="dxa"/>
            <w:tcBorders>
              <w:top w:val="single" w:sz="4" w:space="0" w:color="auto"/>
              <w:left w:val="nil"/>
              <w:bottom w:val="double" w:sz="4" w:space="0" w:color="auto"/>
              <w:right w:val="nil"/>
            </w:tcBorders>
            <w:noWrap/>
            <w:vAlign w:val="bottom"/>
            <w:hideMark/>
          </w:tcPr>
          <w:p w14:paraId="5D6CBCF0"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r>
      <w:tr w:rsidR="00CC4100" w:rsidRPr="006D6338" w14:paraId="2838DAAE" w14:textId="77777777" w:rsidTr="00A44FCD">
        <w:trPr>
          <w:trHeight w:val="234"/>
        </w:trPr>
        <w:tc>
          <w:tcPr>
            <w:tcW w:w="5385" w:type="dxa"/>
            <w:noWrap/>
            <w:vAlign w:val="bottom"/>
          </w:tcPr>
          <w:p w14:paraId="235400AE" w14:textId="77777777" w:rsidR="00CC4100" w:rsidRPr="006D6338" w:rsidRDefault="00CC4100" w:rsidP="00A44FCD">
            <w:pPr>
              <w:tabs>
                <w:tab w:val="left" w:pos="0"/>
              </w:tabs>
              <w:rPr>
                <w:rFonts w:ascii="Calibri" w:eastAsia="Times New Roman" w:hAnsi="Calibri" w:cs="Calibri"/>
                <w:color w:val="000000"/>
                <w:sz w:val="16"/>
                <w:szCs w:val="16"/>
                <w:lang w:eastAsia="en-GB"/>
              </w:rPr>
            </w:pPr>
          </w:p>
        </w:tc>
        <w:tc>
          <w:tcPr>
            <w:tcW w:w="1605" w:type="dxa"/>
            <w:tcBorders>
              <w:top w:val="double" w:sz="4" w:space="0" w:color="auto"/>
              <w:left w:val="nil"/>
              <w:bottom w:val="nil"/>
              <w:right w:val="nil"/>
            </w:tcBorders>
            <w:noWrap/>
            <w:vAlign w:val="bottom"/>
          </w:tcPr>
          <w:p w14:paraId="68AAC5C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c>
          <w:tcPr>
            <w:tcW w:w="1606" w:type="dxa"/>
            <w:tcBorders>
              <w:top w:val="double" w:sz="4" w:space="0" w:color="auto"/>
              <w:left w:val="nil"/>
              <w:bottom w:val="nil"/>
              <w:right w:val="nil"/>
            </w:tcBorders>
            <w:noWrap/>
            <w:vAlign w:val="bottom"/>
          </w:tcPr>
          <w:p w14:paraId="7A72A128"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c>
          <w:tcPr>
            <w:tcW w:w="1606" w:type="dxa"/>
            <w:tcBorders>
              <w:top w:val="double" w:sz="4" w:space="0" w:color="auto"/>
              <w:left w:val="nil"/>
              <w:bottom w:val="nil"/>
              <w:right w:val="nil"/>
            </w:tcBorders>
            <w:noWrap/>
            <w:vAlign w:val="bottom"/>
          </w:tcPr>
          <w:p w14:paraId="1A9D8660"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p>
        </w:tc>
      </w:tr>
      <w:tr w:rsidR="00CC4100" w:rsidRPr="006D6338" w14:paraId="6051B671" w14:textId="77777777" w:rsidTr="00A44FCD">
        <w:trPr>
          <w:trHeight w:val="234"/>
        </w:trPr>
        <w:tc>
          <w:tcPr>
            <w:tcW w:w="5385" w:type="dxa"/>
            <w:noWrap/>
            <w:vAlign w:val="bottom"/>
            <w:hideMark/>
          </w:tcPr>
          <w:p w14:paraId="282A1BD4" w14:textId="77777777" w:rsidR="00CC4100" w:rsidRPr="006D6338" w:rsidRDefault="00CC4100" w:rsidP="00A44FCD">
            <w:pPr>
              <w:tabs>
                <w:tab w:val="left" w:pos="0"/>
              </w:tabs>
              <w:rPr>
                <w:rFonts w:ascii="Calibri" w:eastAsia="Times New Roman" w:hAnsi="Calibri" w:cs="Calibri"/>
                <w:b/>
                <w:bCs/>
                <w:color w:val="000000"/>
                <w:sz w:val="16"/>
                <w:szCs w:val="16"/>
                <w:lang w:eastAsia="en-GB"/>
              </w:rPr>
            </w:pPr>
            <w:r w:rsidRPr="006D6338">
              <w:rPr>
                <w:rFonts w:ascii="Calibri" w:eastAsia="Times New Roman" w:hAnsi="Calibri" w:cs="Calibri"/>
                <w:color w:val="000000"/>
                <w:sz w:val="16"/>
                <w:szCs w:val="16"/>
                <w:lang w:eastAsia="en-GB"/>
              </w:rPr>
              <w:t xml:space="preserve">Liability component due within one year </w:t>
            </w:r>
          </w:p>
        </w:tc>
        <w:tc>
          <w:tcPr>
            <w:tcW w:w="1605" w:type="dxa"/>
            <w:noWrap/>
            <w:vAlign w:val="bottom"/>
            <w:hideMark/>
          </w:tcPr>
          <w:p w14:paraId="727A6CF4"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2,061,348</w:t>
            </w:r>
          </w:p>
        </w:tc>
        <w:tc>
          <w:tcPr>
            <w:tcW w:w="1606" w:type="dxa"/>
            <w:noWrap/>
            <w:vAlign w:val="bottom"/>
            <w:hideMark/>
          </w:tcPr>
          <w:p w14:paraId="5DB2BDC8"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648,949</w:t>
            </w:r>
          </w:p>
        </w:tc>
        <w:tc>
          <w:tcPr>
            <w:tcW w:w="1606" w:type="dxa"/>
            <w:noWrap/>
            <w:vAlign w:val="bottom"/>
            <w:hideMark/>
          </w:tcPr>
          <w:p w14:paraId="2D278623"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r>
      <w:tr w:rsidR="00CC4100" w:rsidRPr="006D6338" w14:paraId="4B82DD95" w14:textId="77777777" w:rsidTr="00A44FCD">
        <w:trPr>
          <w:trHeight w:val="234"/>
        </w:trPr>
        <w:tc>
          <w:tcPr>
            <w:tcW w:w="5385" w:type="dxa"/>
            <w:noWrap/>
            <w:vAlign w:val="bottom"/>
            <w:hideMark/>
          </w:tcPr>
          <w:p w14:paraId="39D10310" w14:textId="77777777" w:rsidR="00CC4100" w:rsidRPr="006D6338" w:rsidRDefault="00CC4100" w:rsidP="00A44FCD">
            <w:pPr>
              <w:tabs>
                <w:tab w:val="left" w:pos="0"/>
              </w:tabs>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Liability component due over one year</w:t>
            </w:r>
          </w:p>
        </w:tc>
        <w:tc>
          <w:tcPr>
            <w:tcW w:w="1605" w:type="dxa"/>
            <w:noWrap/>
            <w:vAlign w:val="bottom"/>
            <w:hideMark/>
          </w:tcPr>
          <w:p w14:paraId="226F59E0"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noWrap/>
            <w:vAlign w:val="bottom"/>
            <w:hideMark/>
          </w:tcPr>
          <w:p w14:paraId="24D7B0C8"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c>
          <w:tcPr>
            <w:tcW w:w="1606" w:type="dxa"/>
            <w:noWrap/>
            <w:vAlign w:val="bottom"/>
            <w:hideMark/>
          </w:tcPr>
          <w:p w14:paraId="01A5AA4C" w14:textId="77777777" w:rsidR="00CC4100" w:rsidRPr="006D6338" w:rsidRDefault="00CC4100" w:rsidP="00A44FCD">
            <w:pPr>
              <w:tabs>
                <w:tab w:val="left" w:pos="0"/>
              </w:tabs>
              <w:jc w:val="right"/>
              <w:rPr>
                <w:rFonts w:ascii="Calibri" w:eastAsia="Times New Roman" w:hAnsi="Calibri" w:cs="Calibri"/>
                <w:color w:val="000000"/>
                <w:sz w:val="16"/>
                <w:szCs w:val="16"/>
                <w:lang w:eastAsia="en-GB"/>
              </w:rPr>
            </w:pPr>
            <w:r w:rsidRPr="006D6338">
              <w:rPr>
                <w:rFonts w:ascii="Calibri" w:eastAsia="Times New Roman" w:hAnsi="Calibri" w:cs="Calibri"/>
                <w:color w:val="000000"/>
                <w:sz w:val="16"/>
                <w:szCs w:val="16"/>
                <w:lang w:eastAsia="en-GB"/>
              </w:rPr>
              <w:t>-</w:t>
            </w:r>
          </w:p>
        </w:tc>
      </w:tr>
      <w:tr w:rsidR="00CC4100" w:rsidRPr="006D6338" w14:paraId="707593A6" w14:textId="77777777" w:rsidTr="00A44FCD">
        <w:trPr>
          <w:trHeight w:val="234"/>
        </w:trPr>
        <w:tc>
          <w:tcPr>
            <w:tcW w:w="5385" w:type="dxa"/>
            <w:noWrap/>
            <w:vAlign w:val="bottom"/>
            <w:hideMark/>
          </w:tcPr>
          <w:p w14:paraId="767B6AE7" w14:textId="77777777" w:rsidR="00CC4100" w:rsidRPr="006D6338" w:rsidRDefault="00CC4100" w:rsidP="00A44FCD">
            <w:pPr>
              <w:tabs>
                <w:tab w:val="left" w:pos="0"/>
              </w:tabs>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Carrying amount of liability component at end of period</w:t>
            </w:r>
          </w:p>
        </w:tc>
        <w:tc>
          <w:tcPr>
            <w:tcW w:w="1605" w:type="dxa"/>
            <w:tcBorders>
              <w:top w:val="single" w:sz="4" w:space="0" w:color="auto"/>
              <w:left w:val="nil"/>
              <w:bottom w:val="double" w:sz="4" w:space="0" w:color="auto"/>
              <w:right w:val="nil"/>
            </w:tcBorders>
            <w:noWrap/>
            <w:vAlign w:val="bottom"/>
            <w:hideMark/>
          </w:tcPr>
          <w:p w14:paraId="77C11A0C"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2,061,348</w:t>
            </w:r>
          </w:p>
        </w:tc>
        <w:tc>
          <w:tcPr>
            <w:tcW w:w="1606" w:type="dxa"/>
            <w:tcBorders>
              <w:top w:val="single" w:sz="4" w:space="0" w:color="auto"/>
              <w:left w:val="nil"/>
              <w:bottom w:val="double" w:sz="4" w:space="0" w:color="auto"/>
              <w:right w:val="nil"/>
            </w:tcBorders>
            <w:noWrap/>
            <w:vAlign w:val="bottom"/>
            <w:hideMark/>
          </w:tcPr>
          <w:p w14:paraId="46114169"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648,949</w:t>
            </w:r>
          </w:p>
        </w:tc>
        <w:tc>
          <w:tcPr>
            <w:tcW w:w="1606" w:type="dxa"/>
            <w:tcBorders>
              <w:top w:val="single" w:sz="4" w:space="0" w:color="auto"/>
              <w:left w:val="nil"/>
              <w:bottom w:val="double" w:sz="4" w:space="0" w:color="auto"/>
              <w:right w:val="nil"/>
            </w:tcBorders>
            <w:noWrap/>
            <w:vAlign w:val="bottom"/>
            <w:hideMark/>
          </w:tcPr>
          <w:p w14:paraId="1F072726" w14:textId="77777777" w:rsidR="00CC4100" w:rsidRPr="006D6338" w:rsidRDefault="00CC4100" w:rsidP="00A44FCD">
            <w:pPr>
              <w:tabs>
                <w:tab w:val="left" w:pos="0"/>
              </w:tabs>
              <w:jc w:val="right"/>
              <w:rPr>
                <w:rFonts w:ascii="Calibri" w:eastAsia="Times New Roman" w:hAnsi="Calibri" w:cs="Calibri"/>
                <w:b/>
                <w:bCs/>
                <w:color w:val="000000"/>
                <w:sz w:val="16"/>
                <w:szCs w:val="16"/>
                <w:lang w:eastAsia="en-GB"/>
              </w:rPr>
            </w:pPr>
            <w:r w:rsidRPr="006D6338">
              <w:rPr>
                <w:rFonts w:ascii="Calibri" w:eastAsia="Times New Roman" w:hAnsi="Calibri" w:cs="Calibri"/>
                <w:b/>
                <w:bCs/>
                <w:color w:val="000000"/>
                <w:sz w:val="16"/>
                <w:szCs w:val="16"/>
                <w:lang w:eastAsia="en-GB"/>
              </w:rPr>
              <w:t>-</w:t>
            </w:r>
          </w:p>
        </w:tc>
      </w:tr>
    </w:tbl>
    <w:p w14:paraId="69AE4602" w14:textId="77777777" w:rsidR="00CC4100" w:rsidRPr="006D6338" w:rsidRDefault="00CC4100" w:rsidP="00CC4100">
      <w:pPr>
        <w:spacing w:line="256" w:lineRule="auto"/>
        <w:rPr>
          <w:rFonts w:ascii="Calibri" w:eastAsia="Arial" w:hAnsi="Calibri" w:cs="Calibri"/>
          <w:b/>
          <w:bCs/>
          <w:sz w:val="16"/>
          <w:szCs w:val="16"/>
        </w:rPr>
      </w:pPr>
    </w:p>
    <w:p w14:paraId="5DC09A8F" w14:textId="77777777" w:rsidR="00CC4100" w:rsidRPr="006D6338" w:rsidRDefault="00CC4100" w:rsidP="00CC4100">
      <w:pPr>
        <w:widowControl w:val="0"/>
        <w:autoSpaceDE w:val="0"/>
        <w:autoSpaceDN w:val="0"/>
        <w:rPr>
          <w:rFonts w:ascii="Calibri" w:eastAsia="Arial" w:hAnsi="Calibri" w:cs="Calibri"/>
          <w:b/>
          <w:bCs/>
          <w:sz w:val="16"/>
          <w:szCs w:val="16"/>
        </w:rPr>
      </w:pPr>
    </w:p>
    <w:p w14:paraId="40F64600"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sz w:val="16"/>
          <w:szCs w:val="16"/>
        </w:rPr>
      </w:pPr>
      <w:r w:rsidRPr="006D6338">
        <w:rPr>
          <w:rFonts w:ascii="Calibri" w:eastAsia="Arial" w:hAnsi="Calibri" w:cs="Calibri"/>
          <w:b/>
          <w:bCs/>
          <w:sz w:val="16"/>
          <w:szCs w:val="16"/>
        </w:rPr>
        <w:t xml:space="preserve">Deferred consideration </w:t>
      </w:r>
    </w:p>
    <w:tbl>
      <w:tblPr>
        <w:tblW w:w="10204" w:type="dxa"/>
        <w:tblLayout w:type="fixed"/>
        <w:tblLook w:val="04A0" w:firstRow="1" w:lastRow="0" w:firstColumn="1" w:lastColumn="0" w:noHBand="0" w:noVBand="1"/>
      </w:tblPr>
      <w:tblGrid>
        <w:gridCol w:w="5387"/>
        <w:gridCol w:w="1605"/>
        <w:gridCol w:w="1606"/>
        <w:gridCol w:w="1606"/>
      </w:tblGrid>
      <w:tr w:rsidR="00CC4100" w:rsidRPr="006D6338" w14:paraId="7E2866C2" w14:textId="77777777" w:rsidTr="006D6338">
        <w:trPr>
          <w:trHeight w:val="113"/>
        </w:trPr>
        <w:tc>
          <w:tcPr>
            <w:tcW w:w="5387" w:type="dxa"/>
            <w:noWrap/>
            <w:vAlign w:val="bottom"/>
            <w:hideMark/>
          </w:tcPr>
          <w:p w14:paraId="42E856FA" w14:textId="77777777" w:rsidR="00CC4100" w:rsidRPr="006D6338" w:rsidRDefault="00CC4100" w:rsidP="00A44FCD">
            <w:pPr>
              <w:spacing w:line="256" w:lineRule="auto"/>
              <w:rPr>
                <w:rFonts w:ascii="Calibri" w:eastAsia="Calibri" w:hAnsi="Calibri" w:cs="Calibri"/>
                <w:sz w:val="16"/>
                <w:szCs w:val="16"/>
              </w:rPr>
            </w:pPr>
          </w:p>
        </w:tc>
        <w:tc>
          <w:tcPr>
            <w:tcW w:w="1605" w:type="dxa"/>
            <w:noWrap/>
            <w:vAlign w:val="bottom"/>
            <w:hideMark/>
          </w:tcPr>
          <w:p w14:paraId="665D7AA7"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30/06/2026</w:t>
            </w:r>
          </w:p>
        </w:tc>
        <w:tc>
          <w:tcPr>
            <w:tcW w:w="1606" w:type="dxa"/>
            <w:vAlign w:val="bottom"/>
            <w:hideMark/>
          </w:tcPr>
          <w:p w14:paraId="2B373D99"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30/06/2025</w:t>
            </w:r>
          </w:p>
        </w:tc>
        <w:tc>
          <w:tcPr>
            <w:tcW w:w="1606" w:type="dxa"/>
            <w:noWrap/>
            <w:vAlign w:val="bottom"/>
            <w:hideMark/>
          </w:tcPr>
          <w:p w14:paraId="0142E3C3"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31/12/2025</w:t>
            </w:r>
          </w:p>
        </w:tc>
      </w:tr>
      <w:tr w:rsidR="00CC4100" w:rsidRPr="006D6338" w14:paraId="504C11CE" w14:textId="77777777" w:rsidTr="006D6338">
        <w:trPr>
          <w:trHeight w:val="113"/>
        </w:trPr>
        <w:tc>
          <w:tcPr>
            <w:tcW w:w="5387" w:type="dxa"/>
            <w:noWrap/>
            <w:vAlign w:val="bottom"/>
            <w:hideMark/>
          </w:tcPr>
          <w:p w14:paraId="6EFB2626" w14:textId="77777777" w:rsidR="00CC4100" w:rsidRPr="006D6338" w:rsidRDefault="00CC4100" w:rsidP="00A44FCD">
            <w:pPr>
              <w:spacing w:line="256" w:lineRule="auto"/>
              <w:rPr>
                <w:rFonts w:ascii="Calibri" w:eastAsia="Calibri" w:hAnsi="Calibri" w:cs="Calibri"/>
                <w:b/>
                <w:bCs/>
                <w:sz w:val="16"/>
                <w:szCs w:val="16"/>
              </w:rPr>
            </w:pPr>
          </w:p>
        </w:tc>
        <w:tc>
          <w:tcPr>
            <w:tcW w:w="1605" w:type="dxa"/>
            <w:noWrap/>
            <w:vAlign w:val="bottom"/>
            <w:hideMark/>
          </w:tcPr>
          <w:p w14:paraId="33F366FB"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 xml:space="preserve"> £ </w:t>
            </w:r>
          </w:p>
        </w:tc>
        <w:tc>
          <w:tcPr>
            <w:tcW w:w="1606" w:type="dxa"/>
            <w:vAlign w:val="bottom"/>
            <w:hideMark/>
          </w:tcPr>
          <w:p w14:paraId="1BC289AC"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 xml:space="preserve"> £ </w:t>
            </w:r>
          </w:p>
        </w:tc>
        <w:tc>
          <w:tcPr>
            <w:tcW w:w="1606" w:type="dxa"/>
            <w:noWrap/>
            <w:vAlign w:val="bottom"/>
            <w:hideMark/>
          </w:tcPr>
          <w:p w14:paraId="112840D6"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w:t>
            </w:r>
          </w:p>
        </w:tc>
      </w:tr>
      <w:tr w:rsidR="00CC4100" w:rsidRPr="006D6338" w14:paraId="4EBDD221" w14:textId="77777777" w:rsidTr="006D6338">
        <w:trPr>
          <w:trHeight w:val="113"/>
        </w:trPr>
        <w:tc>
          <w:tcPr>
            <w:tcW w:w="5387" w:type="dxa"/>
            <w:noWrap/>
            <w:vAlign w:val="bottom"/>
            <w:hideMark/>
          </w:tcPr>
          <w:p w14:paraId="1153F14B" w14:textId="77777777" w:rsidR="00CC4100" w:rsidRPr="006D6338" w:rsidRDefault="00CC4100" w:rsidP="00A44FCD">
            <w:pPr>
              <w:widowControl w:val="0"/>
              <w:autoSpaceDE w:val="0"/>
              <w:autoSpaceDN w:val="0"/>
              <w:spacing w:line="256" w:lineRule="auto"/>
              <w:rPr>
                <w:rFonts w:ascii="Calibri" w:eastAsia="Arial" w:hAnsi="Calibri" w:cs="Calibri"/>
                <w:b/>
                <w:bCs/>
                <w:sz w:val="16"/>
                <w:szCs w:val="16"/>
              </w:rPr>
            </w:pPr>
            <w:r w:rsidRPr="006D6338">
              <w:rPr>
                <w:rFonts w:ascii="Calibri" w:eastAsia="Arial" w:hAnsi="Calibri" w:cs="Calibri"/>
                <w:b/>
                <w:bCs/>
                <w:sz w:val="16"/>
                <w:szCs w:val="16"/>
              </w:rPr>
              <w:t xml:space="preserve">Current Liabilities  </w:t>
            </w:r>
          </w:p>
        </w:tc>
        <w:tc>
          <w:tcPr>
            <w:tcW w:w="1605" w:type="dxa"/>
            <w:noWrap/>
            <w:vAlign w:val="bottom"/>
          </w:tcPr>
          <w:p w14:paraId="5C5C7B79"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vAlign w:val="bottom"/>
          </w:tcPr>
          <w:p w14:paraId="62F9B7C2"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noWrap/>
            <w:vAlign w:val="bottom"/>
          </w:tcPr>
          <w:p w14:paraId="210B6F69"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r>
      <w:tr w:rsidR="00CC4100" w:rsidRPr="006D6338" w14:paraId="4FB7FFD6" w14:textId="77777777" w:rsidTr="006D6338">
        <w:trPr>
          <w:trHeight w:val="113"/>
        </w:trPr>
        <w:tc>
          <w:tcPr>
            <w:tcW w:w="5387" w:type="dxa"/>
            <w:noWrap/>
            <w:vAlign w:val="bottom"/>
            <w:hideMark/>
          </w:tcPr>
          <w:p w14:paraId="633324A9" w14:textId="77777777" w:rsidR="00CC4100" w:rsidRPr="006D6338" w:rsidRDefault="00CC4100" w:rsidP="00A44FCD">
            <w:pPr>
              <w:widowControl w:val="0"/>
              <w:autoSpaceDE w:val="0"/>
              <w:autoSpaceDN w:val="0"/>
              <w:spacing w:line="256" w:lineRule="auto"/>
              <w:rPr>
                <w:rFonts w:ascii="Calibri" w:eastAsia="Arial" w:hAnsi="Calibri" w:cs="Calibri"/>
                <w:b/>
                <w:bCs/>
                <w:sz w:val="16"/>
                <w:szCs w:val="16"/>
              </w:rPr>
            </w:pPr>
            <w:r w:rsidRPr="006D6338">
              <w:rPr>
                <w:rFonts w:ascii="Calibri" w:eastAsia="Arial" w:hAnsi="Calibri" w:cs="Calibri"/>
                <w:sz w:val="16"/>
                <w:szCs w:val="16"/>
              </w:rPr>
              <w:t xml:space="preserve">Deferred </w:t>
            </w:r>
            <w:commentRangeStart w:id="5"/>
            <w:commentRangeStart w:id="6"/>
            <w:r w:rsidRPr="006D6338">
              <w:rPr>
                <w:rFonts w:ascii="Calibri" w:eastAsia="Arial" w:hAnsi="Calibri" w:cs="Calibri"/>
                <w:sz w:val="16"/>
                <w:szCs w:val="16"/>
              </w:rPr>
              <w:t>consideration</w:t>
            </w:r>
            <w:commentRangeEnd w:id="5"/>
            <w:r w:rsidR="00002FD1" w:rsidRPr="006D6338">
              <w:rPr>
                <w:rStyle w:val="CommentReference"/>
                <w:rFonts w:ascii="Calibri" w:eastAsia="Arial" w:hAnsi="Calibri" w:cs="Calibri"/>
              </w:rPr>
              <w:commentReference w:id="5"/>
            </w:r>
            <w:commentRangeEnd w:id="6"/>
            <w:r w:rsidRPr="006D6338">
              <w:rPr>
                <w:rStyle w:val="CommentReference"/>
                <w:rFonts w:ascii="Calibri" w:eastAsia="Arial" w:hAnsi="Calibri" w:cs="Calibri"/>
              </w:rPr>
              <w:commentReference w:id="6"/>
            </w:r>
            <w:r w:rsidRPr="006D6338">
              <w:rPr>
                <w:rFonts w:ascii="Calibri" w:eastAsia="Arial" w:hAnsi="Calibri" w:cs="Calibri"/>
                <w:sz w:val="16"/>
                <w:szCs w:val="16"/>
              </w:rPr>
              <w:t xml:space="preserve"> </w:t>
            </w:r>
          </w:p>
        </w:tc>
        <w:tc>
          <w:tcPr>
            <w:tcW w:w="1605" w:type="dxa"/>
            <w:noWrap/>
            <w:vAlign w:val="bottom"/>
            <w:hideMark/>
          </w:tcPr>
          <w:p w14:paraId="3C125E15" w14:textId="77777777" w:rsidR="00CC4100" w:rsidRPr="006D6338" w:rsidRDefault="00CC4100" w:rsidP="00A44FCD">
            <w:pPr>
              <w:widowControl w:val="0"/>
              <w:autoSpaceDE w:val="0"/>
              <w:autoSpaceDN w:val="0"/>
              <w:spacing w:line="256" w:lineRule="auto"/>
              <w:jc w:val="right"/>
              <w:rPr>
                <w:rFonts w:ascii="Calibri" w:eastAsia="Arial" w:hAnsi="Calibri" w:cs="Calibri"/>
                <w:sz w:val="16"/>
                <w:szCs w:val="16"/>
              </w:rPr>
            </w:pPr>
            <w:r w:rsidRPr="006D6338">
              <w:rPr>
                <w:rFonts w:ascii="Calibri" w:eastAsia="Arial" w:hAnsi="Calibri" w:cs="Calibri"/>
                <w:sz w:val="16"/>
                <w:szCs w:val="16"/>
              </w:rPr>
              <w:t>216,473</w:t>
            </w:r>
          </w:p>
        </w:tc>
        <w:tc>
          <w:tcPr>
            <w:tcW w:w="1606" w:type="dxa"/>
            <w:vAlign w:val="bottom"/>
            <w:hideMark/>
          </w:tcPr>
          <w:p w14:paraId="27B01AAE" w14:textId="77777777" w:rsidR="00CC4100" w:rsidRPr="006D6338" w:rsidRDefault="00CC4100" w:rsidP="00A44FCD">
            <w:pPr>
              <w:widowControl w:val="0"/>
              <w:autoSpaceDE w:val="0"/>
              <w:autoSpaceDN w:val="0"/>
              <w:spacing w:line="256" w:lineRule="auto"/>
              <w:jc w:val="right"/>
              <w:rPr>
                <w:rFonts w:ascii="Calibri" w:eastAsia="Arial" w:hAnsi="Calibri" w:cs="Calibri"/>
                <w:sz w:val="16"/>
                <w:szCs w:val="16"/>
              </w:rPr>
            </w:pPr>
            <w:r w:rsidRPr="006D6338">
              <w:rPr>
                <w:rFonts w:ascii="Calibri" w:eastAsia="Arial" w:hAnsi="Calibri" w:cs="Calibri"/>
                <w:sz w:val="16"/>
                <w:szCs w:val="16"/>
              </w:rPr>
              <w:t>52,044</w:t>
            </w:r>
          </w:p>
        </w:tc>
        <w:tc>
          <w:tcPr>
            <w:tcW w:w="1606" w:type="dxa"/>
            <w:noWrap/>
            <w:vAlign w:val="bottom"/>
            <w:hideMark/>
          </w:tcPr>
          <w:p w14:paraId="29FC50E4"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Times New Roman" w:hAnsi="Calibri" w:cs="Calibri"/>
                <w:color w:val="000000"/>
                <w:sz w:val="16"/>
                <w:szCs w:val="16"/>
                <w:lang w:eastAsia="en-GB"/>
              </w:rPr>
              <w:t>164,298</w:t>
            </w:r>
          </w:p>
        </w:tc>
      </w:tr>
      <w:tr w:rsidR="00CC4100" w:rsidRPr="006D6338" w14:paraId="32220353" w14:textId="77777777" w:rsidTr="006D6338">
        <w:trPr>
          <w:trHeight w:val="113"/>
        </w:trPr>
        <w:tc>
          <w:tcPr>
            <w:tcW w:w="5387" w:type="dxa"/>
            <w:noWrap/>
            <w:vAlign w:val="bottom"/>
          </w:tcPr>
          <w:p w14:paraId="60DE99BE" w14:textId="77777777" w:rsidR="00CC4100" w:rsidRPr="006D6338" w:rsidRDefault="00CC4100" w:rsidP="00A44FCD">
            <w:pPr>
              <w:widowControl w:val="0"/>
              <w:autoSpaceDE w:val="0"/>
              <w:autoSpaceDN w:val="0"/>
              <w:spacing w:line="256" w:lineRule="auto"/>
              <w:rPr>
                <w:rFonts w:ascii="Calibri" w:eastAsia="Arial" w:hAnsi="Calibri" w:cs="Calibri"/>
                <w:sz w:val="16"/>
                <w:szCs w:val="16"/>
              </w:rPr>
            </w:pPr>
          </w:p>
        </w:tc>
        <w:tc>
          <w:tcPr>
            <w:tcW w:w="1605" w:type="dxa"/>
            <w:noWrap/>
            <w:vAlign w:val="bottom"/>
          </w:tcPr>
          <w:p w14:paraId="56BD0888"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vAlign w:val="bottom"/>
          </w:tcPr>
          <w:p w14:paraId="2CFD2293"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noWrap/>
            <w:vAlign w:val="bottom"/>
          </w:tcPr>
          <w:p w14:paraId="06241ABA"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r>
      <w:tr w:rsidR="00CC4100" w:rsidRPr="006D6338" w14:paraId="3B876E44" w14:textId="77777777" w:rsidTr="006D6338">
        <w:trPr>
          <w:trHeight w:val="113"/>
        </w:trPr>
        <w:tc>
          <w:tcPr>
            <w:tcW w:w="5387" w:type="dxa"/>
            <w:noWrap/>
            <w:vAlign w:val="bottom"/>
            <w:hideMark/>
          </w:tcPr>
          <w:p w14:paraId="5DE65201" w14:textId="77777777" w:rsidR="00CC4100" w:rsidRPr="006D6338" w:rsidRDefault="00CC4100" w:rsidP="00A44FCD">
            <w:pPr>
              <w:widowControl w:val="0"/>
              <w:autoSpaceDE w:val="0"/>
              <w:autoSpaceDN w:val="0"/>
              <w:spacing w:line="256" w:lineRule="auto"/>
              <w:rPr>
                <w:rFonts w:ascii="Calibri" w:eastAsia="Arial" w:hAnsi="Calibri" w:cs="Calibri"/>
                <w:sz w:val="16"/>
                <w:szCs w:val="16"/>
              </w:rPr>
            </w:pPr>
            <w:r w:rsidRPr="006D6338">
              <w:rPr>
                <w:rFonts w:ascii="Calibri" w:eastAsia="Arial" w:hAnsi="Calibri" w:cs="Calibri"/>
                <w:b/>
                <w:bCs/>
                <w:sz w:val="16"/>
                <w:szCs w:val="16"/>
              </w:rPr>
              <w:t xml:space="preserve">Non-Current Liabilities </w:t>
            </w:r>
          </w:p>
        </w:tc>
        <w:tc>
          <w:tcPr>
            <w:tcW w:w="1605" w:type="dxa"/>
            <w:noWrap/>
            <w:vAlign w:val="bottom"/>
          </w:tcPr>
          <w:p w14:paraId="67E4DBCF"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vAlign w:val="bottom"/>
          </w:tcPr>
          <w:p w14:paraId="51D1802C"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c>
          <w:tcPr>
            <w:tcW w:w="1606" w:type="dxa"/>
            <w:noWrap/>
            <w:vAlign w:val="bottom"/>
          </w:tcPr>
          <w:p w14:paraId="6D2EE801"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p>
        </w:tc>
      </w:tr>
      <w:tr w:rsidR="00CC4100" w:rsidRPr="006D6338" w14:paraId="4B8598FC" w14:textId="77777777" w:rsidTr="006D6338">
        <w:trPr>
          <w:trHeight w:val="113"/>
        </w:trPr>
        <w:tc>
          <w:tcPr>
            <w:tcW w:w="5387" w:type="dxa"/>
            <w:noWrap/>
            <w:vAlign w:val="bottom"/>
            <w:hideMark/>
          </w:tcPr>
          <w:p w14:paraId="559E02F0" w14:textId="77777777" w:rsidR="00CC4100" w:rsidRPr="006D6338" w:rsidRDefault="00CC4100" w:rsidP="00A44FCD">
            <w:pPr>
              <w:widowControl w:val="0"/>
              <w:autoSpaceDE w:val="0"/>
              <w:autoSpaceDN w:val="0"/>
              <w:spacing w:line="256" w:lineRule="auto"/>
              <w:rPr>
                <w:rFonts w:ascii="Calibri" w:eastAsia="Arial" w:hAnsi="Calibri" w:cs="Calibri"/>
                <w:sz w:val="16"/>
                <w:szCs w:val="16"/>
              </w:rPr>
            </w:pPr>
            <w:r w:rsidRPr="006D6338">
              <w:rPr>
                <w:rFonts w:ascii="Calibri" w:eastAsia="Arial" w:hAnsi="Calibri" w:cs="Calibri"/>
                <w:sz w:val="16"/>
                <w:szCs w:val="16"/>
              </w:rPr>
              <w:t xml:space="preserve">Deferred consideration </w:t>
            </w:r>
          </w:p>
        </w:tc>
        <w:tc>
          <w:tcPr>
            <w:tcW w:w="1605" w:type="dxa"/>
            <w:noWrap/>
            <w:vAlign w:val="bottom"/>
            <w:hideMark/>
          </w:tcPr>
          <w:p w14:paraId="29E3A208" w14:textId="77777777" w:rsidR="00CC4100" w:rsidRPr="006D6338" w:rsidRDefault="00CC4100" w:rsidP="00A44FCD">
            <w:pPr>
              <w:widowControl w:val="0"/>
              <w:autoSpaceDE w:val="0"/>
              <w:autoSpaceDN w:val="0"/>
              <w:spacing w:line="256" w:lineRule="auto"/>
              <w:jc w:val="right"/>
              <w:rPr>
                <w:rFonts w:ascii="Calibri" w:eastAsia="Arial" w:hAnsi="Calibri" w:cs="Calibri"/>
                <w:sz w:val="16"/>
                <w:szCs w:val="16"/>
              </w:rPr>
            </w:pPr>
            <w:r w:rsidRPr="006D6338">
              <w:rPr>
                <w:rFonts w:ascii="Calibri" w:eastAsia="Times New Roman" w:hAnsi="Calibri" w:cs="Calibri"/>
                <w:color w:val="000000"/>
                <w:sz w:val="16"/>
                <w:szCs w:val="16"/>
                <w:lang w:eastAsia="en-GB"/>
              </w:rPr>
              <w:t>162,444</w:t>
            </w:r>
          </w:p>
        </w:tc>
        <w:tc>
          <w:tcPr>
            <w:tcW w:w="1606" w:type="dxa"/>
            <w:vAlign w:val="bottom"/>
            <w:hideMark/>
          </w:tcPr>
          <w:p w14:paraId="1CCBD584" w14:textId="77777777" w:rsidR="00CC4100" w:rsidRPr="006D6338" w:rsidRDefault="00CC4100" w:rsidP="00A44FCD">
            <w:pPr>
              <w:widowControl w:val="0"/>
              <w:autoSpaceDE w:val="0"/>
              <w:autoSpaceDN w:val="0"/>
              <w:spacing w:line="256" w:lineRule="auto"/>
              <w:jc w:val="right"/>
              <w:rPr>
                <w:rFonts w:ascii="Calibri" w:eastAsia="Arial" w:hAnsi="Calibri" w:cs="Calibri"/>
                <w:sz w:val="16"/>
                <w:szCs w:val="16"/>
              </w:rPr>
            </w:pPr>
            <w:r w:rsidRPr="006D6338">
              <w:rPr>
                <w:rFonts w:ascii="Calibri" w:eastAsia="Times New Roman" w:hAnsi="Calibri" w:cs="Calibri"/>
                <w:color w:val="000000"/>
                <w:sz w:val="16"/>
                <w:szCs w:val="16"/>
                <w:lang w:eastAsia="en-GB"/>
              </w:rPr>
              <w:t>165,734</w:t>
            </w:r>
          </w:p>
        </w:tc>
        <w:tc>
          <w:tcPr>
            <w:tcW w:w="1606" w:type="dxa"/>
            <w:noWrap/>
            <w:vAlign w:val="bottom"/>
            <w:hideMark/>
          </w:tcPr>
          <w:p w14:paraId="52CADCCD" w14:textId="77777777" w:rsidR="00CC4100" w:rsidRPr="006D6338" w:rsidRDefault="00CC4100" w:rsidP="00A44FCD">
            <w:pPr>
              <w:widowControl w:val="0"/>
              <w:autoSpaceDE w:val="0"/>
              <w:autoSpaceDN w:val="0"/>
              <w:spacing w:line="256" w:lineRule="auto"/>
              <w:jc w:val="right"/>
              <w:rPr>
                <w:rFonts w:ascii="Calibri" w:eastAsia="Arial" w:hAnsi="Calibri" w:cs="Calibri"/>
                <w:sz w:val="16"/>
                <w:szCs w:val="16"/>
              </w:rPr>
            </w:pPr>
            <w:r w:rsidRPr="006D6338">
              <w:rPr>
                <w:rFonts w:ascii="Calibri" w:eastAsia="Arial" w:hAnsi="Calibri" w:cs="Calibri"/>
                <w:sz w:val="16"/>
                <w:szCs w:val="16"/>
              </w:rPr>
              <w:t>406,862</w:t>
            </w:r>
          </w:p>
        </w:tc>
      </w:tr>
      <w:tr w:rsidR="00CC4100" w:rsidRPr="006D6338" w14:paraId="2949AFC3" w14:textId="77777777" w:rsidTr="006D6338">
        <w:trPr>
          <w:trHeight w:val="113"/>
        </w:trPr>
        <w:tc>
          <w:tcPr>
            <w:tcW w:w="5387" w:type="dxa"/>
            <w:noWrap/>
            <w:vAlign w:val="bottom"/>
            <w:hideMark/>
          </w:tcPr>
          <w:p w14:paraId="5F4AE6B1" w14:textId="77777777" w:rsidR="00CC4100" w:rsidRPr="006D6338" w:rsidRDefault="00CC4100" w:rsidP="00A44FCD">
            <w:pPr>
              <w:spacing w:line="256" w:lineRule="auto"/>
              <w:rPr>
                <w:rFonts w:ascii="Calibri" w:eastAsia="Calibri" w:hAnsi="Calibri" w:cs="Calibri"/>
                <w:sz w:val="16"/>
                <w:szCs w:val="16"/>
              </w:rPr>
            </w:pPr>
          </w:p>
        </w:tc>
        <w:tc>
          <w:tcPr>
            <w:tcW w:w="1605" w:type="dxa"/>
            <w:tcBorders>
              <w:top w:val="single" w:sz="4" w:space="0" w:color="auto"/>
              <w:left w:val="nil"/>
              <w:bottom w:val="double" w:sz="6" w:space="0" w:color="auto"/>
              <w:right w:val="nil"/>
            </w:tcBorders>
            <w:noWrap/>
            <w:vAlign w:val="bottom"/>
            <w:hideMark/>
          </w:tcPr>
          <w:p w14:paraId="57810AC3"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Times New Roman" w:hAnsi="Calibri" w:cs="Calibri"/>
                <w:b/>
                <w:bCs/>
                <w:color w:val="000000"/>
                <w:sz w:val="16"/>
                <w:szCs w:val="16"/>
                <w:lang w:eastAsia="en-GB"/>
              </w:rPr>
              <w:t>378,917</w:t>
            </w:r>
          </w:p>
        </w:tc>
        <w:tc>
          <w:tcPr>
            <w:tcW w:w="1606" w:type="dxa"/>
            <w:tcBorders>
              <w:top w:val="single" w:sz="4" w:space="0" w:color="auto"/>
              <w:left w:val="nil"/>
              <w:bottom w:val="double" w:sz="6" w:space="0" w:color="auto"/>
              <w:right w:val="nil"/>
            </w:tcBorders>
            <w:vAlign w:val="bottom"/>
            <w:hideMark/>
          </w:tcPr>
          <w:p w14:paraId="0C86BB5A"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Times New Roman" w:hAnsi="Calibri" w:cs="Calibri"/>
                <w:b/>
                <w:bCs/>
                <w:color w:val="000000"/>
                <w:sz w:val="16"/>
                <w:szCs w:val="16"/>
                <w:lang w:eastAsia="en-GB"/>
              </w:rPr>
              <w:t>217,778</w:t>
            </w:r>
          </w:p>
        </w:tc>
        <w:tc>
          <w:tcPr>
            <w:tcW w:w="1606" w:type="dxa"/>
            <w:tcBorders>
              <w:top w:val="single" w:sz="4" w:space="0" w:color="auto"/>
              <w:left w:val="nil"/>
              <w:bottom w:val="double" w:sz="6" w:space="0" w:color="auto"/>
              <w:right w:val="nil"/>
            </w:tcBorders>
            <w:noWrap/>
            <w:vAlign w:val="bottom"/>
            <w:hideMark/>
          </w:tcPr>
          <w:p w14:paraId="27CE1D60" w14:textId="77777777" w:rsidR="00CC4100" w:rsidRPr="006D6338" w:rsidRDefault="00CC4100" w:rsidP="00A44FCD">
            <w:pPr>
              <w:widowControl w:val="0"/>
              <w:autoSpaceDE w:val="0"/>
              <w:autoSpaceDN w:val="0"/>
              <w:spacing w:line="256" w:lineRule="auto"/>
              <w:jc w:val="right"/>
              <w:rPr>
                <w:rFonts w:ascii="Calibri" w:eastAsia="Arial" w:hAnsi="Calibri" w:cs="Calibri"/>
                <w:b/>
                <w:bCs/>
                <w:sz w:val="16"/>
                <w:szCs w:val="16"/>
              </w:rPr>
            </w:pPr>
            <w:r w:rsidRPr="006D6338">
              <w:rPr>
                <w:rFonts w:ascii="Calibri" w:eastAsia="Arial" w:hAnsi="Calibri" w:cs="Calibri"/>
                <w:b/>
                <w:bCs/>
                <w:sz w:val="16"/>
                <w:szCs w:val="16"/>
              </w:rPr>
              <w:t>571,160</w:t>
            </w:r>
          </w:p>
        </w:tc>
      </w:tr>
    </w:tbl>
    <w:p w14:paraId="0AE8950C" w14:textId="77777777" w:rsidR="00CC4100" w:rsidRPr="006D6338" w:rsidRDefault="00CC4100" w:rsidP="00CC4100">
      <w:pPr>
        <w:spacing w:line="256" w:lineRule="auto"/>
        <w:rPr>
          <w:rFonts w:ascii="Calibri" w:eastAsia="Arial" w:hAnsi="Calibri" w:cs="Calibri"/>
          <w:b/>
          <w:bCs/>
          <w:sz w:val="16"/>
          <w:szCs w:val="16"/>
        </w:rPr>
      </w:pPr>
    </w:p>
    <w:p w14:paraId="379CCCC9" w14:textId="77777777" w:rsidR="00B50A2D" w:rsidRPr="006D6338" w:rsidRDefault="00B50A2D" w:rsidP="00CC4100">
      <w:pPr>
        <w:spacing w:line="256" w:lineRule="auto"/>
        <w:rPr>
          <w:rFonts w:ascii="Calibri" w:eastAsia="Arial" w:hAnsi="Calibri" w:cs="Calibri"/>
          <w:b/>
          <w:bCs/>
          <w:sz w:val="16"/>
          <w:szCs w:val="16"/>
        </w:rPr>
      </w:pPr>
    </w:p>
    <w:p w14:paraId="17AAB299"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Share capital</w:t>
      </w:r>
    </w:p>
    <w:p w14:paraId="0A9244C4" w14:textId="77777777" w:rsidR="00CC4100" w:rsidRPr="006D6338" w:rsidRDefault="00CC4100" w:rsidP="00CC4100">
      <w:pPr>
        <w:widowControl w:val="0"/>
        <w:autoSpaceDE w:val="0"/>
        <w:autoSpaceDN w:val="0"/>
        <w:rPr>
          <w:rFonts w:ascii="Calibri" w:eastAsia="Arial" w:hAnsi="Calibri" w:cs="Calibri"/>
          <w:b/>
          <w:sz w:val="16"/>
          <w:szCs w:val="16"/>
        </w:rPr>
      </w:pPr>
      <w:r w:rsidRPr="006D6338">
        <w:rPr>
          <w:rFonts w:ascii="Calibri" w:eastAsia="Arial" w:hAnsi="Calibri" w:cs="Calibri"/>
          <w:b/>
          <w:sz w:val="16"/>
          <w:szCs w:val="16"/>
        </w:rPr>
        <w:t xml:space="preserve"> Issued,</w:t>
      </w:r>
      <w:r w:rsidRPr="006D6338">
        <w:rPr>
          <w:rFonts w:ascii="Calibri" w:eastAsia="Arial" w:hAnsi="Calibri" w:cs="Calibri"/>
          <w:b/>
          <w:spacing w:val="-7"/>
          <w:sz w:val="16"/>
          <w:szCs w:val="16"/>
        </w:rPr>
        <w:t xml:space="preserve"> </w:t>
      </w:r>
      <w:r w:rsidRPr="006D6338">
        <w:rPr>
          <w:rFonts w:ascii="Calibri" w:eastAsia="Arial" w:hAnsi="Calibri" w:cs="Calibri"/>
          <w:b/>
          <w:sz w:val="16"/>
          <w:szCs w:val="16"/>
        </w:rPr>
        <w:t>called</w:t>
      </w:r>
      <w:r w:rsidRPr="006D6338">
        <w:rPr>
          <w:rFonts w:ascii="Calibri" w:eastAsia="Arial" w:hAnsi="Calibri" w:cs="Calibri"/>
          <w:b/>
          <w:spacing w:val="-5"/>
          <w:sz w:val="16"/>
          <w:szCs w:val="16"/>
        </w:rPr>
        <w:t xml:space="preserve"> </w:t>
      </w:r>
      <w:r w:rsidRPr="006D6338">
        <w:rPr>
          <w:rFonts w:ascii="Calibri" w:eastAsia="Arial" w:hAnsi="Calibri" w:cs="Calibri"/>
          <w:b/>
          <w:sz w:val="16"/>
          <w:szCs w:val="16"/>
        </w:rPr>
        <w:t>up</w:t>
      </w:r>
      <w:r w:rsidRPr="006D6338">
        <w:rPr>
          <w:rFonts w:ascii="Calibri" w:eastAsia="Arial" w:hAnsi="Calibri" w:cs="Calibri"/>
          <w:b/>
          <w:spacing w:val="-7"/>
          <w:sz w:val="16"/>
          <w:szCs w:val="16"/>
        </w:rPr>
        <w:t xml:space="preserve"> </w:t>
      </w:r>
      <w:r w:rsidRPr="006D6338">
        <w:rPr>
          <w:rFonts w:ascii="Calibri" w:eastAsia="Arial" w:hAnsi="Calibri" w:cs="Calibri"/>
          <w:b/>
          <w:sz w:val="16"/>
          <w:szCs w:val="16"/>
        </w:rPr>
        <w:t>and</w:t>
      </w:r>
      <w:r w:rsidRPr="006D6338">
        <w:rPr>
          <w:rFonts w:ascii="Calibri" w:eastAsia="Arial" w:hAnsi="Calibri" w:cs="Calibri"/>
          <w:b/>
          <w:spacing w:val="-6"/>
          <w:sz w:val="16"/>
          <w:szCs w:val="16"/>
        </w:rPr>
        <w:t xml:space="preserve"> </w:t>
      </w:r>
      <w:r w:rsidRPr="006D6338">
        <w:rPr>
          <w:rFonts w:ascii="Calibri" w:eastAsia="Arial" w:hAnsi="Calibri" w:cs="Calibri"/>
          <w:b/>
          <w:sz w:val="16"/>
          <w:szCs w:val="16"/>
        </w:rPr>
        <w:t>fully</w:t>
      </w:r>
      <w:r w:rsidRPr="006D6338">
        <w:rPr>
          <w:rFonts w:ascii="Calibri" w:eastAsia="Arial" w:hAnsi="Calibri" w:cs="Calibri"/>
          <w:b/>
          <w:spacing w:val="-9"/>
          <w:sz w:val="16"/>
          <w:szCs w:val="16"/>
        </w:rPr>
        <w:t xml:space="preserve"> </w:t>
      </w:r>
      <w:r w:rsidRPr="006D6338">
        <w:rPr>
          <w:rFonts w:ascii="Calibri" w:eastAsia="Arial" w:hAnsi="Calibri" w:cs="Calibri"/>
          <w:b/>
          <w:spacing w:val="-4"/>
          <w:sz w:val="16"/>
          <w:szCs w:val="16"/>
        </w:rPr>
        <w:t>paid</w:t>
      </w:r>
    </w:p>
    <w:p w14:paraId="2864DAFC" w14:textId="77777777" w:rsidR="00CC4100" w:rsidRPr="006D6338" w:rsidRDefault="00CC4100" w:rsidP="00CC4100">
      <w:pPr>
        <w:widowControl w:val="0"/>
        <w:tabs>
          <w:tab w:val="left" w:pos="0"/>
        </w:tabs>
        <w:autoSpaceDE w:val="0"/>
        <w:autoSpaceDN w:val="0"/>
        <w:ind w:right="-24"/>
        <w:jc w:val="both"/>
        <w:rPr>
          <w:rFonts w:ascii="Calibri" w:eastAsia="Arial" w:hAnsi="Calibri" w:cs="Calibri"/>
          <w:sz w:val="16"/>
          <w:szCs w:val="16"/>
        </w:rPr>
      </w:pPr>
    </w:p>
    <w:tbl>
      <w:tblPr>
        <w:tblStyle w:val="TableGrid1"/>
        <w:tblW w:w="1021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461"/>
        <w:gridCol w:w="299"/>
        <w:gridCol w:w="1506"/>
        <w:gridCol w:w="284"/>
        <w:gridCol w:w="1558"/>
        <w:gridCol w:w="284"/>
        <w:gridCol w:w="1558"/>
      </w:tblGrid>
      <w:tr w:rsidR="00CC4100" w:rsidRPr="006D6338" w14:paraId="2E235DA4" w14:textId="77777777" w:rsidTr="006D6338">
        <w:trPr>
          <w:trHeight w:val="20"/>
        </w:trPr>
        <w:tc>
          <w:tcPr>
            <w:tcW w:w="3261" w:type="dxa"/>
          </w:tcPr>
          <w:p w14:paraId="4031CFD6" w14:textId="77777777" w:rsidR="00CC4100" w:rsidRPr="006D6338" w:rsidRDefault="00CC4100" w:rsidP="00A44FCD">
            <w:pPr>
              <w:rPr>
                <w:rFonts w:cs="Calibri"/>
                <w:sz w:val="16"/>
                <w:szCs w:val="16"/>
              </w:rPr>
            </w:pPr>
          </w:p>
        </w:tc>
        <w:tc>
          <w:tcPr>
            <w:tcW w:w="1461" w:type="dxa"/>
            <w:hideMark/>
          </w:tcPr>
          <w:p w14:paraId="51FF19DC"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 xml:space="preserve">Number of Ordinary </w:t>
            </w:r>
          </w:p>
          <w:p w14:paraId="428FF3F3"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Share</w:t>
            </w:r>
          </w:p>
        </w:tc>
        <w:tc>
          <w:tcPr>
            <w:tcW w:w="299" w:type="dxa"/>
          </w:tcPr>
          <w:p w14:paraId="278E81C1" w14:textId="77777777" w:rsidR="00CC4100" w:rsidRPr="006D6338" w:rsidRDefault="00CC4100" w:rsidP="00A44FCD">
            <w:pPr>
              <w:jc w:val="right"/>
              <w:rPr>
                <w:rFonts w:cs="Calibri"/>
                <w:b/>
                <w:bCs/>
                <w:sz w:val="16"/>
                <w:szCs w:val="16"/>
              </w:rPr>
            </w:pPr>
          </w:p>
        </w:tc>
        <w:tc>
          <w:tcPr>
            <w:tcW w:w="1506" w:type="dxa"/>
            <w:hideMark/>
          </w:tcPr>
          <w:p w14:paraId="21147FBD"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 xml:space="preserve">Share </w:t>
            </w:r>
          </w:p>
          <w:p w14:paraId="2A753919"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Capital</w:t>
            </w:r>
          </w:p>
        </w:tc>
        <w:tc>
          <w:tcPr>
            <w:tcW w:w="284" w:type="dxa"/>
          </w:tcPr>
          <w:p w14:paraId="6E1C39D6" w14:textId="77777777" w:rsidR="00CC4100" w:rsidRPr="006D6338" w:rsidRDefault="00CC4100" w:rsidP="00A44FCD">
            <w:pPr>
              <w:jc w:val="right"/>
              <w:rPr>
                <w:rFonts w:cs="Calibri"/>
                <w:b/>
                <w:bCs/>
                <w:sz w:val="16"/>
                <w:szCs w:val="16"/>
              </w:rPr>
            </w:pPr>
          </w:p>
        </w:tc>
        <w:tc>
          <w:tcPr>
            <w:tcW w:w="1558" w:type="dxa"/>
            <w:hideMark/>
          </w:tcPr>
          <w:p w14:paraId="4BE3CB11"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 xml:space="preserve">Share </w:t>
            </w:r>
          </w:p>
          <w:p w14:paraId="7CF21C78"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Premium</w:t>
            </w:r>
          </w:p>
        </w:tc>
        <w:tc>
          <w:tcPr>
            <w:tcW w:w="284" w:type="dxa"/>
          </w:tcPr>
          <w:p w14:paraId="6F3B2ADE" w14:textId="77777777" w:rsidR="00CC4100" w:rsidRPr="006D6338" w:rsidRDefault="00CC4100" w:rsidP="00A44FCD">
            <w:pPr>
              <w:jc w:val="right"/>
              <w:rPr>
                <w:rFonts w:cs="Calibri"/>
                <w:b/>
                <w:bCs/>
                <w:sz w:val="16"/>
                <w:szCs w:val="16"/>
              </w:rPr>
            </w:pPr>
          </w:p>
        </w:tc>
        <w:tc>
          <w:tcPr>
            <w:tcW w:w="1558" w:type="dxa"/>
            <w:hideMark/>
          </w:tcPr>
          <w:p w14:paraId="4BE8697A" w14:textId="77777777" w:rsidR="00CC4100" w:rsidRPr="006D6338" w:rsidRDefault="00CC4100" w:rsidP="00A44FCD">
            <w:pPr>
              <w:jc w:val="right"/>
              <w:rPr>
                <w:rFonts w:cs="Calibri"/>
                <w:b/>
                <w:bCs/>
                <w:sz w:val="16"/>
                <w:szCs w:val="16"/>
              </w:rPr>
            </w:pPr>
            <w:r w:rsidRPr="006D6338">
              <w:rPr>
                <w:rFonts w:ascii="Times New Roman" w:hAnsi="Times New Roman" w:cs="Calibri"/>
                <w:b/>
                <w:bCs/>
                <w:sz w:val="16"/>
                <w:szCs w:val="16"/>
              </w:rPr>
              <w:t>Total</w:t>
            </w:r>
          </w:p>
        </w:tc>
      </w:tr>
      <w:tr w:rsidR="00CC4100" w:rsidRPr="006D6338" w14:paraId="3BAF0A52" w14:textId="77777777" w:rsidTr="006D6338">
        <w:trPr>
          <w:trHeight w:val="20"/>
        </w:trPr>
        <w:tc>
          <w:tcPr>
            <w:tcW w:w="3261" w:type="dxa"/>
          </w:tcPr>
          <w:p w14:paraId="1DCC1AC5" w14:textId="77777777" w:rsidR="00CC4100" w:rsidRPr="006D6338" w:rsidRDefault="00CC4100" w:rsidP="00A44FCD">
            <w:pPr>
              <w:rPr>
                <w:rFonts w:cs="Calibri"/>
                <w:sz w:val="16"/>
                <w:szCs w:val="16"/>
              </w:rPr>
            </w:pPr>
          </w:p>
        </w:tc>
        <w:tc>
          <w:tcPr>
            <w:tcW w:w="1461" w:type="dxa"/>
            <w:vAlign w:val="bottom"/>
          </w:tcPr>
          <w:p w14:paraId="3A2BC844" w14:textId="77777777" w:rsidR="00CC4100" w:rsidRPr="006D6338" w:rsidRDefault="00CC4100" w:rsidP="00A44FCD">
            <w:pPr>
              <w:jc w:val="right"/>
              <w:rPr>
                <w:rFonts w:cs="Calibri"/>
                <w:sz w:val="16"/>
                <w:szCs w:val="16"/>
              </w:rPr>
            </w:pPr>
          </w:p>
        </w:tc>
        <w:tc>
          <w:tcPr>
            <w:tcW w:w="299" w:type="dxa"/>
            <w:vAlign w:val="bottom"/>
          </w:tcPr>
          <w:p w14:paraId="3CAEA43B" w14:textId="77777777" w:rsidR="00CC4100" w:rsidRPr="006D6338" w:rsidRDefault="00CC4100" w:rsidP="00A44FCD">
            <w:pPr>
              <w:jc w:val="right"/>
              <w:rPr>
                <w:rFonts w:cs="Calibri"/>
                <w:sz w:val="16"/>
                <w:szCs w:val="16"/>
              </w:rPr>
            </w:pPr>
          </w:p>
        </w:tc>
        <w:tc>
          <w:tcPr>
            <w:tcW w:w="1506" w:type="dxa"/>
            <w:hideMark/>
          </w:tcPr>
          <w:p w14:paraId="12DF48DF" w14:textId="77777777" w:rsidR="00CC4100" w:rsidRPr="006D6338" w:rsidRDefault="00CC4100" w:rsidP="00A44FCD">
            <w:pPr>
              <w:jc w:val="right"/>
              <w:rPr>
                <w:rFonts w:cs="Calibri"/>
                <w:sz w:val="16"/>
                <w:szCs w:val="16"/>
              </w:rPr>
            </w:pPr>
            <w:r w:rsidRPr="006D6338">
              <w:rPr>
                <w:rFonts w:cs="Calibri"/>
                <w:b/>
                <w:spacing w:val="-10"/>
                <w:sz w:val="16"/>
                <w:szCs w:val="16"/>
              </w:rPr>
              <w:t>£</w:t>
            </w:r>
          </w:p>
        </w:tc>
        <w:tc>
          <w:tcPr>
            <w:tcW w:w="284" w:type="dxa"/>
          </w:tcPr>
          <w:p w14:paraId="1AFB59E5" w14:textId="77777777" w:rsidR="00CC4100" w:rsidRPr="006D6338" w:rsidRDefault="00CC4100" w:rsidP="00A44FCD">
            <w:pPr>
              <w:jc w:val="right"/>
              <w:rPr>
                <w:rFonts w:cs="Calibri"/>
                <w:sz w:val="16"/>
                <w:szCs w:val="16"/>
              </w:rPr>
            </w:pPr>
          </w:p>
        </w:tc>
        <w:tc>
          <w:tcPr>
            <w:tcW w:w="1558" w:type="dxa"/>
            <w:hideMark/>
          </w:tcPr>
          <w:p w14:paraId="37B47996" w14:textId="77777777" w:rsidR="00CC4100" w:rsidRPr="006D6338" w:rsidRDefault="00CC4100" w:rsidP="00A44FCD">
            <w:pPr>
              <w:jc w:val="right"/>
              <w:rPr>
                <w:rFonts w:cs="Calibri"/>
                <w:sz w:val="16"/>
                <w:szCs w:val="16"/>
              </w:rPr>
            </w:pPr>
            <w:r w:rsidRPr="006D6338">
              <w:rPr>
                <w:rFonts w:cs="Calibri"/>
                <w:b/>
                <w:spacing w:val="-10"/>
                <w:sz w:val="16"/>
                <w:szCs w:val="16"/>
              </w:rPr>
              <w:t>£</w:t>
            </w:r>
          </w:p>
        </w:tc>
        <w:tc>
          <w:tcPr>
            <w:tcW w:w="284" w:type="dxa"/>
          </w:tcPr>
          <w:p w14:paraId="21A94FB4" w14:textId="77777777" w:rsidR="00CC4100" w:rsidRPr="006D6338" w:rsidRDefault="00CC4100" w:rsidP="00A44FCD">
            <w:pPr>
              <w:jc w:val="right"/>
              <w:rPr>
                <w:rFonts w:cs="Calibri"/>
                <w:sz w:val="16"/>
                <w:szCs w:val="16"/>
              </w:rPr>
            </w:pPr>
          </w:p>
        </w:tc>
        <w:tc>
          <w:tcPr>
            <w:tcW w:w="1558" w:type="dxa"/>
            <w:hideMark/>
          </w:tcPr>
          <w:p w14:paraId="7763688E" w14:textId="77777777" w:rsidR="00CC4100" w:rsidRPr="006D6338" w:rsidRDefault="00CC4100" w:rsidP="00A44FCD">
            <w:pPr>
              <w:jc w:val="right"/>
              <w:rPr>
                <w:rFonts w:cs="Calibri"/>
                <w:sz w:val="16"/>
                <w:szCs w:val="16"/>
              </w:rPr>
            </w:pPr>
            <w:r w:rsidRPr="006D6338">
              <w:rPr>
                <w:rFonts w:cs="Calibri"/>
                <w:b/>
                <w:spacing w:val="-10"/>
                <w:sz w:val="16"/>
                <w:szCs w:val="16"/>
              </w:rPr>
              <w:t>£</w:t>
            </w:r>
          </w:p>
        </w:tc>
      </w:tr>
      <w:tr w:rsidR="00CC4100" w:rsidRPr="006D6338" w14:paraId="0979AB9B" w14:textId="77777777" w:rsidTr="006D6338">
        <w:trPr>
          <w:trHeight w:val="20"/>
        </w:trPr>
        <w:tc>
          <w:tcPr>
            <w:tcW w:w="3261" w:type="dxa"/>
            <w:vAlign w:val="center"/>
            <w:hideMark/>
          </w:tcPr>
          <w:p w14:paraId="452BB37F" w14:textId="77777777" w:rsidR="00CC4100" w:rsidRPr="006D6338" w:rsidRDefault="00CC4100" w:rsidP="00A44FCD">
            <w:pPr>
              <w:rPr>
                <w:rFonts w:cs="Calibri"/>
                <w:b/>
                <w:bCs/>
                <w:color w:val="000000"/>
                <w:sz w:val="16"/>
                <w:szCs w:val="16"/>
              </w:rPr>
            </w:pPr>
            <w:r w:rsidRPr="006D6338">
              <w:rPr>
                <w:rFonts w:ascii="Times New Roman" w:hAnsi="Times New Roman" w:cs="Calibri"/>
                <w:b/>
                <w:bCs/>
                <w:color w:val="000000"/>
                <w:sz w:val="16"/>
                <w:szCs w:val="16"/>
              </w:rPr>
              <w:t>At 01 January 2025</w:t>
            </w:r>
          </w:p>
        </w:tc>
        <w:tc>
          <w:tcPr>
            <w:tcW w:w="1461" w:type="dxa"/>
            <w:vAlign w:val="bottom"/>
            <w:hideMark/>
          </w:tcPr>
          <w:p w14:paraId="3891E275"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61,825,943</w:t>
            </w:r>
          </w:p>
        </w:tc>
        <w:tc>
          <w:tcPr>
            <w:tcW w:w="299" w:type="dxa"/>
            <w:vAlign w:val="bottom"/>
          </w:tcPr>
          <w:p w14:paraId="4FA97BBE" w14:textId="77777777" w:rsidR="00CC4100" w:rsidRPr="006D6338" w:rsidRDefault="00CC4100" w:rsidP="00A44FCD">
            <w:pPr>
              <w:jc w:val="right"/>
              <w:rPr>
                <w:rFonts w:cs="Calibri"/>
                <w:b/>
                <w:bCs/>
                <w:color w:val="000000"/>
                <w:sz w:val="16"/>
                <w:szCs w:val="16"/>
              </w:rPr>
            </w:pPr>
          </w:p>
        </w:tc>
        <w:tc>
          <w:tcPr>
            <w:tcW w:w="1506" w:type="dxa"/>
            <w:vAlign w:val="bottom"/>
            <w:hideMark/>
          </w:tcPr>
          <w:p w14:paraId="33FD0EAD"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618,259</w:t>
            </w:r>
          </w:p>
        </w:tc>
        <w:tc>
          <w:tcPr>
            <w:tcW w:w="284" w:type="dxa"/>
            <w:vAlign w:val="bottom"/>
          </w:tcPr>
          <w:p w14:paraId="0E28D6D8" w14:textId="77777777" w:rsidR="00CC4100" w:rsidRPr="006D6338" w:rsidRDefault="00CC4100" w:rsidP="00A44FCD">
            <w:pPr>
              <w:jc w:val="right"/>
              <w:rPr>
                <w:rFonts w:cs="Calibri"/>
                <w:b/>
                <w:bCs/>
                <w:color w:val="000000"/>
                <w:sz w:val="16"/>
                <w:szCs w:val="16"/>
              </w:rPr>
            </w:pPr>
          </w:p>
        </w:tc>
        <w:tc>
          <w:tcPr>
            <w:tcW w:w="1558" w:type="dxa"/>
            <w:vAlign w:val="bottom"/>
            <w:hideMark/>
          </w:tcPr>
          <w:p w14:paraId="4FC6E7B2"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6,145,651</w:t>
            </w:r>
          </w:p>
        </w:tc>
        <w:tc>
          <w:tcPr>
            <w:tcW w:w="284" w:type="dxa"/>
            <w:vAlign w:val="bottom"/>
          </w:tcPr>
          <w:p w14:paraId="1CB37F98" w14:textId="77777777" w:rsidR="00CC4100" w:rsidRPr="006D6338" w:rsidRDefault="00CC4100" w:rsidP="00A44FCD">
            <w:pPr>
              <w:jc w:val="right"/>
              <w:rPr>
                <w:rFonts w:cs="Calibri"/>
                <w:b/>
                <w:bCs/>
                <w:color w:val="000000"/>
                <w:sz w:val="16"/>
                <w:szCs w:val="16"/>
              </w:rPr>
            </w:pPr>
          </w:p>
        </w:tc>
        <w:tc>
          <w:tcPr>
            <w:tcW w:w="1558" w:type="dxa"/>
            <w:vAlign w:val="bottom"/>
            <w:hideMark/>
          </w:tcPr>
          <w:p w14:paraId="2D329B39"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6,763,910</w:t>
            </w:r>
          </w:p>
        </w:tc>
      </w:tr>
      <w:tr w:rsidR="00CC4100" w:rsidRPr="006D6338" w14:paraId="442775A4" w14:textId="77777777" w:rsidTr="006D6338">
        <w:trPr>
          <w:trHeight w:val="20"/>
        </w:trPr>
        <w:tc>
          <w:tcPr>
            <w:tcW w:w="3261" w:type="dxa"/>
            <w:vAlign w:val="center"/>
          </w:tcPr>
          <w:p w14:paraId="1BB9213E" w14:textId="77777777" w:rsidR="00CC4100" w:rsidRPr="006D6338" w:rsidRDefault="00CC4100" w:rsidP="00A44FCD">
            <w:pPr>
              <w:rPr>
                <w:rFonts w:cs="Calibri"/>
                <w:b/>
                <w:bCs/>
                <w:color w:val="000000"/>
                <w:sz w:val="16"/>
                <w:szCs w:val="16"/>
              </w:rPr>
            </w:pPr>
            <w:r w:rsidRPr="006D6338">
              <w:rPr>
                <w:rFonts w:ascii="Times New Roman" w:hAnsi="Times New Roman" w:cs="Calibri"/>
                <w:color w:val="000000"/>
                <w:sz w:val="16"/>
                <w:szCs w:val="16"/>
              </w:rPr>
              <w:t>Share issue 6 June 2025</w:t>
            </w:r>
          </w:p>
        </w:tc>
        <w:tc>
          <w:tcPr>
            <w:tcW w:w="1461" w:type="dxa"/>
            <w:vAlign w:val="bottom"/>
          </w:tcPr>
          <w:p w14:paraId="283D0963"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color w:val="000000"/>
                <w:sz w:val="16"/>
                <w:szCs w:val="16"/>
              </w:rPr>
              <w:t>2,800,000</w:t>
            </w:r>
          </w:p>
        </w:tc>
        <w:tc>
          <w:tcPr>
            <w:tcW w:w="299" w:type="dxa"/>
            <w:vAlign w:val="bottom"/>
          </w:tcPr>
          <w:p w14:paraId="489DE7D7" w14:textId="77777777" w:rsidR="00CC4100" w:rsidRPr="006D6338" w:rsidRDefault="00CC4100" w:rsidP="00A44FCD">
            <w:pPr>
              <w:jc w:val="right"/>
              <w:rPr>
                <w:rFonts w:cs="Calibri"/>
                <w:b/>
                <w:bCs/>
                <w:color w:val="000000"/>
                <w:sz w:val="16"/>
                <w:szCs w:val="16"/>
              </w:rPr>
            </w:pPr>
          </w:p>
        </w:tc>
        <w:tc>
          <w:tcPr>
            <w:tcW w:w="1506" w:type="dxa"/>
            <w:vAlign w:val="bottom"/>
          </w:tcPr>
          <w:p w14:paraId="6CD40AE1"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color w:val="000000"/>
                <w:sz w:val="16"/>
                <w:szCs w:val="16"/>
              </w:rPr>
              <w:t>28,000</w:t>
            </w:r>
          </w:p>
        </w:tc>
        <w:tc>
          <w:tcPr>
            <w:tcW w:w="284" w:type="dxa"/>
            <w:vAlign w:val="bottom"/>
          </w:tcPr>
          <w:p w14:paraId="1DB24989" w14:textId="77777777" w:rsidR="00CC4100" w:rsidRPr="006D6338" w:rsidRDefault="00CC4100" w:rsidP="00A44FCD">
            <w:pPr>
              <w:jc w:val="right"/>
              <w:rPr>
                <w:rFonts w:cs="Calibri"/>
                <w:b/>
                <w:bCs/>
                <w:color w:val="000000"/>
                <w:sz w:val="16"/>
                <w:szCs w:val="16"/>
              </w:rPr>
            </w:pPr>
          </w:p>
        </w:tc>
        <w:tc>
          <w:tcPr>
            <w:tcW w:w="1558" w:type="dxa"/>
            <w:vAlign w:val="bottom"/>
          </w:tcPr>
          <w:p w14:paraId="5BBBC08B"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color w:val="000000"/>
                <w:sz w:val="16"/>
                <w:szCs w:val="16"/>
              </w:rPr>
              <w:t>112,000</w:t>
            </w:r>
          </w:p>
        </w:tc>
        <w:tc>
          <w:tcPr>
            <w:tcW w:w="284" w:type="dxa"/>
            <w:vAlign w:val="bottom"/>
          </w:tcPr>
          <w:p w14:paraId="4CD6820A" w14:textId="77777777" w:rsidR="00CC4100" w:rsidRPr="006D6338" w:rsidRDefault="00CC4100" w:rsidP="00A44FCD">
            <w:pPr>
              <w:jc w:val="right"/>
              <w:rPr>
                <w:rFonts w:cs="Calibri"/>
                <w:b/>
                <w:bCs/>
                <w:color w:val="000000"/>
                <w:sz w:val="16"/>
                <w:szCs w:val="16"/>
              </w:rPr>
            </w:pPr>
          </w:p>
        </w:tc>
        <w:tc>
          <w:tcPr>
            <w:tcW w:w="1558" w:type="dxa"/>
            <w:vAlign w:val="bottom"/>
          </w:tcPr>
          <w:p w14:paraId="5C47A8E6"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color w:val="000000"/>
                <w:sz w:val="16"/>
                <w:szCs w:val="16"/>
              </w:rPr>
              <w:t>140,000</w:t>
            </w:r>
          </w:p>
        </w:tc>
      </w:tr>
      <w:tr w:rsidR="00CC4100" w:rsidRPr="006D6338" w14:paraId="49965521" w14:textId="77777777" w:rsidTr="006D6338">
        <w:trPr>
          <w:trHeight w:val="20"/>
        </w:trPr>
        <w:tc>
          <w:tcPr>
            <w:tcW w:w="3261" w:type="dxa"/>
            <w:vAlign w:val="center"/>
            <w:hideMark/>
          </w:tcPr>
          <w:p w14:paraId="38D8F89C" w14:textId="77777777" w:rsidR="00CC4100" w:rsidRPr="006D6338" w:rsidRDefault="00CC4100" w:rsidP="00A44FCD">
            <w:pPr>
              <w:rPr>
                <w:rFonts w:cs="Calibri"/>
                <w:b/>
                <w:bCs/>
                <w:color w:val="000000"/>
                <w:sz w:val="16"/>
                <w:szCs w:val="16"/>
              </w:rPr>
            </w:pPr>
            <w:r w:rsidRPr="006D6338">
              <w:rPr>
                <w:rFonts w:ascii="Times New Roman" w:hAnsi="Times New Roman" w:cs="Calibri"/>
                <w:b/>
                <w:bCs/>
                <w:color w:val="000000"/>
                <w:sz w:val="16"/>
                <w:szCs w:val="16"/>
              </w:rPr>
              <w:t>At 30 June 2025</w:t>
            </w:r>
          </w:p>
        </w:tc>
        <w:tc>
          <w:tcPr>
            <w:tcW w:w="1461" w:type="dxa"/>
            <w:tcBorders>
              <w:top w:val="single" w:sz="4" w:space="0" w:color="auto"/>
              <w:left w:val="nil"/>
              <w:bottom w:val="nil"/>
              <w:right w:val="nil"/>
            </w:tcBorders>
            <w:vAlign w:val="bottom"/>
            <w:hideMark/>
          </w:tcPr>
          <w:p w14:paraId="76C63EF4"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64,625,943</w:t>
            </w:r>
          </w:p>
        </w:tc>
        <w:tc>
          <w:tcPr>
            <w:tcW w:w="299" w:type="dxa"/>
            <w:vAlign w:val="bottom"/>
          </w:tcPr>
          <w:p w14:paraId="2E69FF04" w14:textId="77777777" w:rsidR="00CC4100" w:rsidRPr="006D6338" w:rsidRDefault="00CC4100" w:rsidP="00A44FCD">
            <w:pPr>
              <w:jc w:val="right"/>
              <w:rPr>
                <w:rFonts w:cs="Calibri"/>
                <w:b/>
                <w:bCs/>
                <w:color w:val="000000"/>
                <w:sz w:val="16"/>
                <w:szCs w:val="16"/>
              </w:rPr>
            </w:pPr>
          </w:p>
        </w:tc>
        <w:tc>
          <w:tcPr>
            <w:tcW w:w="1506" w:type="dxa"/>
            <w:tcBorders>
              <w:top w:val="single" w:sz="4" w:space="0" w:color="auto"/>
              <w:left w:val="nil"/>
              <w:bottom w:val="nil"/>
              <w:right w:val="nil"/>
            </w:tcBorders>
            <w:vAlign w:val="bottom"/>
            <w:hideMark/>
          </w:tcPr>
          <w:p w14:paraId="33691758"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646,259</w:t>
            </w:r>
          </w:p>
        </w:tc>
        <w:tc>
          <w:tcPr>
            <w:tcW w:w="284" w:type="dxa"/>
            <w:vAlign w:val="bottom"/>
          </w:tcPr>
          <w:p w14:paraId="61B14B1B"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nil"/>
              <w:right w:val="nil"/>
            </w:tcBorders>
            <w:vAlign w:val="bottom"/>
            <w:hideMark/>
          </w:tcPr>
          <w:p w14:paraId="699B373A"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6,257,651</w:t>
            </w:r>
          </w:p>
        </w:tc>
        <w:tc>
          <w:tcPr>
            <w:tcW w:w="284" w:type="dxa"/>
            <w:vAlign w:val="bottom"/>
          </w:tcPr>
          <w:p w14:paraId="02A2A5E8"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nil"/>
              <w:right w:val="nil"/>
            </w:tcBorders>
            <w:vAlign w:val="bottom"/>
            <w:hideMark/>
          </w:tcPr>
          <w:p w14:paraId="34C37618"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6,903,910</w:t>
            </w:r>
          </w:p>
        </w:tc>
      </w:tr>
      <w:tr w:rsidR="00CC4100" w:rsidRPr="006D6338" w14:paraId="5784DF82" w14:textId="77777777" w:rsidTr="006D6338">
        <w:trPr>
          <w:trHeight w:val="20"/>
        </w:trPr>
        <w:tc>
          <w:tcPr>
            <w:tcW w:w="3261" w:type="dxa"/>
            <w:vAlign w:val="center"/>
          </w:tcPr>
          <w:p w14:paraId="274CBEBD" w14:textId="77777777" w:rsidR="00CC4100" w:rsidRPr="006D6338" w:rsidRDefault="00CC4100" w:rsidP="00A44FCD">
            <w:pPr>
              <w:rPr>
                <w:rFonts w:cs="Calibri"/>
                <w:b/>
                <w:bCs/>
                <w:sz w:val="16"/>
                <w:szCs w:val="16"/>
              </w:rPr>
            </w:pPr>
          </w:p>
        </w:tc>
        <w:tc>
          <w:tcPr>
            <w:tcW w:w="1461" w:type="dxa"/>
            <w:tcBorders>
              <w:top w:val="single" w:sz="4" w:space="0" w:color="auto"/>
              <w:left w:val="nil"/>
              <w:bottom w:val="nil"/>
              <w:right w:val="nil"/>
            </w:tcBorders>
            <w:vAlign w:val="bottom"/>
          </w:tcPr>
          <w:p w14:paraId="463E13C7" w14:textId="77777777" w:rsidR="00CC4100" w:rsidRPr="006D6338" w:rsidRDefault="00CC4100" w:rsidP="00A44FCD">
            <w:pPr>
              <w:jc w:val="right"/>
              <w:rPr>
                <w:rFonts w:cs="Calibri"/>
                <w:b/>
                <w:bCs/>
                <w:sz w:val="16"/>
                <w:szCs w:val="16"/>
              </w:rPr>
            </w:pPr>
          </w:p>
        </w:tc>
        <w:tc>
          <w:tcPr>
            <w:tcW w:w="299" w:type="dxa"/>
            <w:vAlign w:val="bottom"/>
          </w:tcPr>
          <w:p w14:paraId="56899F32" w14:textId="77777777" w:rsidR="00CC4100" w:rsidRPr="006D6338" w:rsidRDefault="00CC4100" w:rsidP="00A44FCD">
            <w:pPr>
              <w:jc w:val="right"/>
              <w:rPr>
                <w:rFonts w:cs="Calibri"/>
                <w:b/>
                <w:bCs/>
                <w:sz w:val="16"/>
                <w:szCs w:val="16"/>
              </w:rPr>
            </w:pPr>
          </w:p>
        </w:tc>
        <w:tc>
          <w:tcPr>
            <w:tcW w:w="1506" w:type="dxa"/>
            <w:tcBorders>
              <w:top w:val="single" w:sz="4" w:space="0" w:color="auto"/>
              <w:left w:val="nil"/>
              <w:bottom w:val="nil"/>
              <w:right w:val="nil"/>
            </w:tcBorders>
            <w:vAlign w:val="bottom"/>
          </w:tcPr>
          <w:p w14:paraId="78AD1C33" w14:textId="77777777" w:rsidR="00CC4100" w:rsidRPr="006D6338" w:rsidRDefault="00CC4100" w:rsidP="00A44FCD">
            <w:pPr>
              <w:jc w:val="right"/>
              <w:rPr>
                <w:rFonts w:cs="Calibri"/>
                <w:b/>
                <w:bCs/>
                <w:sz w:val="16"/>
                <w:szCs w:val="16"/>
              </w:rPr>
            </w:pPr>
          </w:p>
        </w:tc>
        <w:tc>
          <w:tcPr>
            <w:tcW w:w="284" w:type="dxa"/>
            <w:vAlign w:val="bottom"/>
          </w:tcPr>
          <w:p w14:paraId="241FC4F8" w14:textId="77777777" w:rsidR="00CC4100" w:rsidRPr="006D6338" w:rsidRDefault="00CC4100" w:rsidP="00A44FCD">
            <w:pPr>
              <w:jc w:val="right"/>
              <w:rPr>
                <w:rFonts w:cs="Calibri"/>
                <w:b/>
                <w:bCs/>
                <w:sz w:val="16"/>
                <w:szCs w:val="16"/>
              </w:rPr>
            </w:pPr>
          </w:p>
        </w:tc>
        <w:tc>
          <w:tcPr>
            <w:tcW w:w="1558" w:type="dxa"/>
            <w:tcBorders>
              <w:top w:val="single" w:sz="4" w:space="0" w:color="auto"/>
              <w:left w:val="nil"/>
              <w:bottom w:val="nil"/>
              <w:right w:val="nil"/>
            </w:tcBorders>
            <w:vAlign w:val="bottom"/>
          </w:tcPr>
          <w:p w14:paraId="71D41BE8" w14:textId="77777777" w:rsidR="00CC4100" w:rsidRPr="006D6338" w:rsidRDefault="00CC4100" w:rsidP="00A44FCD">
            <w:pPr>
              <w:jc w:val="right"/>
              <w:rPr>
                <w:rFonts w:cs="Calibri"/>
                <w:b/>
                <w:bCs/>
                <w:sz w:val="16"/>
                <w:szCs w:val="16"/>
              </w:rPr>
            </w:pPr>
          </w:p>
        </w:tc>
        <w:tc>
          <w:tcPr>
            <w:tcW w:w="284" w:type="dxa"/>
            <w:vAlign w:val="bottom"/>
          </w:tcPr>
          <w:p w14:paraId="713F8DDC" w14:textId="77777777" w:rsidR="00CC4100" w:rsidRPr="006D6338" w:rsidRDefault="00CC4100" w:rsidP="00A44FCD">
            <w:pPr>
              <w:jc w:val="right"/>
              <w:rPr>
                <w:rFonts w:cs="Calibri"/>
                <w:b/>
                <w:bCs/>
                <w:sz w:val="16"/>
                <w:szCs w:val="16"/>
              </w:rPr>
            </w:pPr>
          </w:p>
        </w:tc>
        <w:tc>
          <w:tcPr>
            <w:tcW w:w="1558" w:type="dxa"/>
            <w:tcBorders>
              <w:top w:val="single" w:sz="4" w:space="0" w:color="auto"/>
              <w:left w:val="nil"/>
              <w:bottom w:val="nil"/>
              <w:right w:val="nil"/>
            </w:tcBorders>
            <w:vAlign w:val="bottom"/>
          </w:tcPr>
          <w:p w14:paraId="2E32376B" w14:textId="77777777" w:rsidR="00CC4100" w:rsidRPr="006D6338" w:rsidRDefault="00CC4100" w:rsidP="00A44FCD">
            <w:pPr>
              <w:jc w:val="right"/>
              <w:rPr>
                <w:rFonts w:cs="Calibri"/>
                <w:b/>
                <w:bCs/>
                <w:sz w:val="16"/>
                <w:szCs w:val="16"/>
              </w:rPr>
            </w:pPr>
          </w:p>
        </w:tc>
      </w:tr>
      <w:tr w:rsidR="00CC4100" w:rsidRPr="006D6338" w14:paraId="06338933" w14:textId="77777777" w:rsidTr="006D6338">
        <w:trPr>
          <w:trHeight w:val="20"/>
        </w:trPr>
        <w:tc>
          <w:tcPr>
            <w:tcW w:w="3261" w:type="dxa"/>
            <w:vAlign w:val="center"/>
            <w:hideMark/>
          </w:tcPr>
          <w:p w14:paraId="1F7F5DB0"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19 August 2025</w:t>
            </w:r>
          </w:p>
        </w:tc>
        <w:tc>
          <w:tcPr>
            <w:tcW w:w="1461" w:type="dxa"/>
            <w:vAlign w:val="bottom"/>
            <w:hideMark/>
          </w:tcPr>
          <w:p w14:paraId="7439EC25"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34,833,333</w:t>
            </w:r>
          </w:p>
        </w:tc>
        <w:tc>
          <w:tcPr>
            <w:tcW w:w="299" w:type="dxa"/>
            <w:vAlign w:val="bottom"/>
          </w:tcPr>
          <w:p w14:paraId="6D254505" w14:textId="77777777" w:rsidR="00CC4100" w:rsidRPr="006D6338" w:rsidRDefault="00CC4100" w:rsidP="00A44FCD">
            <w:pPr>
              <w:jc w:val="right"/>
              <w:rPr>
                <w:rFonts w:cs="Calibri"/>
                <w:color w:val="000000"/>
                <w:sz w:val="16"/>
                <w:szCs w:val="16"/>
              </w:rPr>
            </w:pPr>
          </w:p>
        </w:tc>
        <w:tc>
          <w:tcPr>
            <w:tcW w:w="1506" w:type="dxa"/>
            <w:vAlign w:val="bottom"/>
            <w:hideMark/>
          </w:tcPr>
          <w:p w14:paraId="49D5BB24"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348,333</w:t>
            </w:r>
          </w:p>
        </w:tc>
        <w:tc>
          <w:tcPr>
            <w:tcW w:w="284" w:type="dxa"/>
            <w:vAlign w:val="bottom"/>
          </w:tcPr>
          <w:p w14:paraId="27792454" w14:textId="77777777" w:rsidR="00CC4100" w:rsidRPr="006D6338" w:rsidRDefault="00CC4100" w:rsidP="00A44FCD">
            <w:pPr>
              <w:jc w:val="right"/>
              <w:rPr>
                <w:rFonts w:cs="Calibri"/>
                <w:color w:val="000000"/>
                <w:sz w:val="16"/>
                <w:szCs w:val="16"/>
              </w:rPr>
            </w:pPr>
          </w:p>
        </w:tc>
        <w:tc>
          <w:tcPr>
            <w:tcW w:w="1558" w:type="dxa"/>
            <w:vAlign w:val="bottom"/>
            <w:hideMark/>
          </w:tcPr>
          <w:p w14:paraId="6D737298"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696,667</w:t>
            </w:r>
          </w:p>
        </w:tc>
        <w:tc>
          <w:tcPr>
            <w:tcW w:w="284" w:type="dxa"/>
            <w:vAlign w:val="bottom"/>
          </w:tcPr>
          <w:p w14:paraId="01002763" w14:textId="77777777" w:rsidR="00CC4100" w:rsidRPr="006D6338" w:rsidRDefault="00CC4100" w:rsidP="00A44FCD">
            <w:pPr>
              <w:jc w:val="right"/>
              <w:rPr>
                <w:rFonts w:cs="Calibri"/>
                <w:color w:val="000000"/>
                <w:sz w:val="16"/>
                <w:szCs w:val="16"/>
              </w:rPr>
            </w:pPr>
          </w:p>
        </w:tc>
        <w:tc>
          <w:tcPr>
            <w:tcW w:w="1558" w:type="dxa"/>
            <w:vAlign w:val="bottom"/>
            <w:hideMark/>
          </w:tcPr>
          <w:p w14:paraId="7DF39F4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1,045,000</w:t>
            </w:r>
          </w:p>
        </w:tc>
      </w:tr>
      <w:tr w:rsidR="00CC4100" w:rsidRPr="006D6338" w14:paraId="2F25EBC0" w14:textId="77777777" w:rsidTr="006D6338">
        <w:trPr>
          <w:trHeight w:val="20"/>
        </w:trPr>
        <w:tc>
          <w:tcPr>
            <w:tcW w:w="3261" w:type="dxa"/>
            <w:vAlign w:val="center"/>
            <w:hideMark/>
          </w:tcPr>
          <w:p w14:paraId="02230CF9"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27 August 2025</w:t>
            </w:r>
          </w:p>
        </w:tc>
        <w:tc>
          <w:tcPr>
            <w:tcW w:w="1461" w:type="dxa"/>
            <w:vAlign w:val="bottom"/>
            <w:hideMark/>
          </w:tcPr>
          <w:p w14:paraId="15B55CB7"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8,166,990</w:t>
            </w:r>
          </w:p>
        </w:tc>
        <w:tc>
          <w:tcPr>
            <w:tcW w:w="299" w:type="dxa"/>
            <w:vAlign w:val="bottom"/>
          </w:tcPr>
          <w:p w14:paraId="69B28B0F" w14:textId="77777777" w:rsidR="00CC4100" w:rsidRPr="006D6338" w:rsidRDefault="00CC4100" w:rsidP="00A44FCD">
            <w:pPr>
              <w:jc w:val="right"/>
              <w:rPr>
                <w:rFonts w:cs="Calibri"/>
                <w:color w:val="000000"/>
                <w:sz w:val="16"/>
                <w:szCs w:val="16"/>
              </w:rPr>
            </w:pPr>
          </w:p>
        </w:tc>
        <w:tc>
          <w:tcPr>
            <w:tcW w:w="1506" w:type="dxa"/>
            <w:vAlign w:val="bottom"/>
            <w:hideMark/>
          </w:tcPr>
          <w:p w14:paraId="018DA03C"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81,667</w:t>
            </w:r>
          </w:p>
        </w:tc>
        <w:tc>
          <w:tcPr>
            <w:tcW w:w="284" w:type="dxa"/>
            <w:vAlign w:val="bottom"/>
          </w:tcPr>
          <w:p w14:paraId="3148D2D9" w14:textId="77777777" w:rsidR="00CC4100" w:rsidRPr="006D6338" w:rsidRDefault="00CC4100" w:rsidP="00A44FCD">
            <w:pPr>
              <w:jc w:val="right"/>
              <w:rPr>
                <w:rFonts w:cs="Calibri"/>
                <w:color w:val="000000"/>
                <w:sz w:val="16"/>
                <w:szCs w:val="16"/>
              </w:rPr>
            </w:pPr>
          </w:p>
        </w:tc>
        <w:tc>
          <w:tcPr>
            <w:tcW w:w="1558" w:type="dxa"/>
            <w:vAlign w:val="bottom"/>
            <w:hideMark/>
          </w:tcPr>
          <w:p w14:paraId="51CD9963"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163,333</w:t>
            </w:r>
          </w:p>
        </w:tc>
        <w:tc>
          <w:tcPr>
            <w:tcW w:w="284" w:type="dxa"/>
            <w:vAlign w:val="bottom"/>
          </w:tcPr>
          <w:p w14:paraId="5782460A" w14:textId="77777777" w:rsidR="00CC4100" w:rsidRPr="006D6338" w:rsidRDefault="00CC4100" w:rsidP="00A44FCD">
            <w:pPr>
              <w:jc w:val="right"/>
              <w:rPr>
                <w:rFonts w:cs="Calibri"/>
                <w:color w:val="000000"/>
                <w:sz w:val="16"/>
                <w:szCs w:val="16"/>
              </w:rPr>
            </w:pPr>
          </w:p>
        </w:tc>
        <w:tc>
          <w:tcPr>
            <w:tcW w:w="1558" w:type="dxa"/>
            <w:vAlign w:val="bottom"/>
            <w:hideMark/>
          </w:tcPr>
          <w:p w14:paraId="3BC5D269"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245,000</w:t>
            </w:r>
          </w:p>
        </w:tc>
      </w:tr>
      <w:tr w:rsidR="00CC4100" w:rsidRPr="006D6338" w14:paraId="1DE76629" w14:textId="77777777" w:rsidTr="006D6338">
        <w:trPr>
          <w:trHeight w:val="20"/>
        </w:trPr>
        <w:tc>
          <w:tcPr>
            <w:tcW w:w="3261" w:type="dxa"/>
            <w:vAlign w:val="center"/>
            <w:hideMark/>
          </w:tcPr>
          <w:p w14:paraId="5CD1E3EA"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CLN Share Issue 1 September 2025</w:t>
            </w:r>
          </w:p>
        </w:tc>
        <w:tc>
          <w:tcPr>
            <w:tcW w:w="1461" w:type="dxa"/>
            <w:vAlign w:val="bottom"/>
            <w:hideMark/>
          </w:tcPr>
          <w:p w14:paraId="7B216690"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14,335,946</w:t>
            </w:r>
          </w:p>
        </w:tc>
        <w:tc>
          <w:tcPr>
            <w:tcW w:w="299" w:type="dxa"/>
            <w:vAlign w:val="bottom"/>
          </w:tcPr>
          <w:p w14:paraId="4B68AB5B" w14:textId="77777777" w:rsidR="00CC4100" w:rsidRPr="006D6338" w:rsidRDefault="00CC4100" w:rsidP="00A44FCD">
            <w:pPr>
              <w:jc w:val="right"/>
              <w:rPr>
                <w:rFonts w:cs="Calibri"/>
                <w:color w:val="000000"/>
                <w:sz w:val="16"/>
                <w:szCs w:val="16"/>
              </w:rPr>
            </w:pPr>
          </w:p>
        </w:tc>
        <w:tc>
          <w:tcPr>
            <w:tcW w:w="1506" w:type="dxa"/>
            <w:vAlign w:val="bottom"/>
            <w:hideMark/>
          </w:tcPr>
          <w:p w14:paraId="0982A471"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141,515</w:t>
            </w:r>
          </w:p>
        </w:tc>
        <w:tc>
          <w:tcPr>
            <w:tcW w:w="284" w:type="dxa"/>
            <w:vAlign w:val="bottom"/>
          </w:tcPr>
          <w:p w14:paraId="73EB497B" w14:textId="77777777" w:rsidR="00CC4100" w:rsidRPr="006D6338" w:rsidRDefault="00CC4100" w:rsidP="00A44FCD">
            <w:pPr>
              <w:jc w:val="right"/>
              <w:rPr>
                <w:rFonts w:cs="Calibri"/>
                <w:color w:val="000000"/>
                <w:sz w:val="16"/>
                <w:szCs w:val="16"/>
              </w:rPr>
            </w:pPr>
          </w:p>
        </w:tc>
        <w:tc>
          <w:tcPr>
            <w:tcW w:w="1558" w:type="dxa"/>
            <w:vAlign w:val="bottom"/>
            <w:hideMark/>
          </w:tcPr>
          <w:p w14:paraId="246EE9F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335,394</w:t>
            </w:r>
          </w:p>
        </w:tc>
        <w:tc>
          <w:tcPr>
            <w:tcW w:w="284" w:type="dxa"/>
            <w:vAlign w:val="bottom"/>
          </w:tcPr>
          <w:p w14:paraId="4E13AE48" w14:textId="77777777" w:rsidR="00CC4100" w:rsidRPr="006D6338" w:rsidRDefault="00CC4100" w:rsidP="00A44FCD">
            <w:pPr>
              <w:jc w:val="right"/>
              <w:rPr>
                <w:rFonts w:cs="Calibri"/>
                <w:color w:val="000000"/>
                <w:sz w:val="16"/>
                <w:szCs w:val="16"/>
              </w:rPr>
            </w:pPr>
          </w:p>
        </w:tc>
        <w:tc>
          <w:tcPr>
            <w:tcW w:w="1558" w:type="dxa"/>
            <w:vAlign w:val="bottom"/>
            <w:hideMark/>
          </w:tcPr>
          <w:p w14:paraId="6411E768"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476,909</w:t>
            </w:r>
          </w:p>
        </w:tc>
      </w:tr>
      <w:tr w:rsidR="00CC4100" w:rsidRPr="006D6338" w14:paraId="6978676A" w14:textId="77777777" w:rsidTr="006D6338">
        <w:trPr>
          <w:trHeight w:val="20"/>
        </w:trPr>
        <w:tc>
          <w:tcPr>
            <w:tcW w:w="3261" w:type="dxa"/>
            <w:vAlign w:val="center"/>
            <w:hideMark/>
          </w:tcPr>
          <w:p w14:paraId="51470384"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Exercise of Warrants 15 October 2025</w:t>
            </w:r>
          </w:p>
        </w:tc>
        <w:tc>
          <w:tcPr>
            <w:tcW w:w="1461" w:type="dxa"/>
            <w:vAlign w:val="bottom"/>
            <w:hideMark/>
          </w:tcPr>
          <w:p w14:paraId="2C5EC9E1"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2,550,000</w:t>
            </w:r>
          </w:p>
        </w:tc>
        <w:tc>
          <w:tcPr>
            <w:tcW w:w="299" w:type="dxa"/>
            <w:vAlign w:val="bottom"/>
          </w:tcPr>
          <w:p w14:paraId="4B7377EE" w14:textId="77777777" w:rsidR="00CC4100" w:rsidRPr="006D6338" w:rsidRDefault="00CC4100" w:rsidP="00A44FCD">
            <w:pPr>
              <w:jc w:val="right"/>
              <w:rPr>
                <w:rFonts w:cs="Calibri"/>
                <w:color w:val="000000"/>
                <w:sz w:val="16"/>
                <w:szCs w:val="16"/>
              </w:rPr>
            </w:pPr>
          </w:p>
        </w:tc>
        <w:tc>
          <w:tcPr>
            <w:tcW w:w="1506" w:type="dxa"/>
            <w:vAlign w:val="bottom"/>
            <w:hideMark/>
          </w:tcPr>
          <w:p w14:paraId="27CCD255"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25,500</w:t>
            </w:r>
          </w:p>
        </w:tc>
        <w:tc>
          <w:tcPr>
            <w:tcW w:w="284" w:type="dxa"/>
            <w:vAlign w:val="bottom"/>
          </w:tcPr>
          <w:p w14:paraId="77ADDDCB" w14:textId="77777777" w:rsidR="00CC4100" w:rsidRPr="006D6338" w:rsidRDefault="00CC4100" w:rsidP="00A44FCD">
            <w:pPr>
              <w:jc w:val="right"/>
              <w:rPr>
                <w:rFonts w:cs="Calibri"/>
                <w:color w:val="000000"/>
                <w:sz w:val="16"/>
                <w:szCs w:val="16"/>
              </w:rPr>
            </w:pPr>
          </w:p>
        </w:tc>
        <w:tc>
          <w:tcPr>
            <w:tcW w:w="1558" w:type="dxa"/>
            <w:vAlign w:val="bottom"/>
            <w:hideMark/>
          </w:tcPr>
          <w:p w14:paraId="6422A98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51,000</w:t>
            </w:r>
          </w:p>
        </w:tc>
        <w:tc>
          <w:tcPr>
            <w:tcW w:w="284" w:type="dxa"/>
            <w:vAlign w:val="bottom"/>
          </w:tcPr>
          <w:p w14:paraId="20CFB3AF" w14:textId="77777777" w:rsidR="00CC4100" w:rsidRPr="006D6338" w:rsidRDefault="00CC4100" w:rsidP="00A44FCD">
            <w:pPr>
              <w:jc w:val="right"/>
              <w:rPr>
                <w:rFonts w:cs="Calibri"/>
                <w:color w:val="000000"/>
                <w:sz w:val="16"/>
                <w:szCs w:val="16"/>
              </w:rPr>
            </w:pPr>
          </w:p>
        </w:tc>
        <w:tc>
          <w:tcPr>
            <w:tcW w:w="1558" w:type="dxa"/>
            <w:vAlign w:val="bottom"/>
            <w:hideMark/>
          </w:tcPr>
          <w:p w14:paraId="5B2D0728"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76,500</w:t>
            </w:r>
          </w:p>
        </w:tc>
      </w:tr>
      <w:tr w:rsidR="00CC4100" w:rsidRPr="006D6338" w14:paraId="1DFEAFCF" w14:textId="77777777" w:rsidTr="006D6338">
        <w:trPr>
          <w:trHeight w:val="20"/>
        </w:trPr>
        <w:tc>
          <w:tcPr>
            <w:tcW w:w="3261" w:type="dxa"/>
            <w:vAlign w:val="center"/>
            <w:hideMark/>
          </w:tcPr>
          <w:p w14:paraId="4B243E33"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costs</w:t>
            </w:r>
          </w:p>
        </w:tc>
        <w:tc>
          <w:tcPr>
            <w:tcW w:w="1461" w:type="dxa"/>
            <w:tcBorders>
              <w:top w:val="nil"/>
              <w:left w:val="nil"/>
              <w:bottom w:val="single" w:sz="4" w:space="0" w:color="auto"/>
              <w:right w:val="nil"/>
            </w:tcBorders>
            <w:vAlign w:val="bottom"/>
            <w:hideMark/>
          </w:tcPr>
          <w:p w14:paraId="48730B8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w:t>
            </w:r>
          </w:p>
        </w:tc>
        <w:tc>
          <w:tcPr>
            <w:tcW w:w="299" w:type="dxa"/>
            <w:vAlign w:val="bottom"/>
          </w:tcPr>
          <w:p w14:paraId="008F4F69" w14:textId="77777777" w:rsidR="00CC4100" w:rsidRPr="006D6338" w:rsidRDefault="00CC4100" w:rsidP="00A44FCD">
            <w:pPr>
              <w:jc w:val="right"/>
              <w:rPr>
                <w:rFonts w:cs="Calibri"/>
                <w:color w:val="000000"/>
                <w:sz w:val="16"/>
                <w:szCs w:val="16"/>
              </w:rPr>
            </w:pPr>
          </w:p>
        </w:tc>
        <w:tc>
          <w:tcPr>
            <w:tcW w:w="1506" w:type="dxa"/>
            <w:tcBorders>
              <w:top w:val="nil"/>
              <w:left w:val="nil"/>
              <w:bottom w:val="single" w:sz="4" w:space="0" w:color="auto"/>
              <w:right w:val="nil"/>
            </w:tcBorders>
            <w:vAlign w:val="bottom"/>
            <w:hideMark/>
          </w:tcPr>
          <w:p w14:paraId="14E6162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w:t>
            </w:r>
          </w:p>
        </w:tc>
        <w:tc>
          <w:tcPr>
            <w:tcW w:w="284" w:type="dxa"/>
            <w:vAlign w:val="bottom"/>
          </w:tcPr>
          <w:p w14:paraId="59EDD4E7" w14:textId="77777777" w:rsidR="00CC4100" w:rsidRPr="006D6338" w:rsidRDefault="00CC4100" w:rsidP="00A44FCD">
            <w:pPr>
              <w:jc w:val="right"/>
              <w:rPr>
                <w:rFonts w:cs="Calibri"/>
                <w:color w:val="000000"/>
                <w:sz w:val="16"/>
                <w:szCs w:val="16"/>
              </w:rPr>
            </w:pPr>
          </w:p>
        </w:tc>
        <w:tc>
          <w:tcPr>
            <w:tcW w:w="1558" w:type="dxa"/>
            <w:tcBorders>
              <w:top w:val="nil"/>
              <w:left w:val="nil"/>
              <w:bottom w:val="single" w:sz="4" w:space="0" w:color="auto"/>
              <w:right w:val="nil"/>
            </w:tcBorders>
            <w:vAlign w:val="bottom"/>
            <w:hideMark/>
          </w:tcPr>
          <w:p w14:paraId="140D805E"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(147,936)</w:t>
            </w:r>
          </w:p>
        </w:tc>
        <w:tc>
          <w:tcPr>
            <w:tcW w:w="284" w:type="dxa"/>
            <w:vAlign w:val="bottom"/>
          </w:tcPr>
          <w:p w14:paraId="65025B3B" w14:textId="77777777" w:rsidR="00CC4100" w:rsidRPr="006D6338" w:rsidRDefault="00CC4100" w:rsidP="00A44FCD">
            <w:pPr>
              <w:jc w:val="right"/>
              <w:rPr>
                <w:rFonts w:cs="Calibri"/>
                <w:color w:val="000000"/>
                <w:sz w:val="16"/>
                <w:szCs w:val="16"/>
              </w:rPr>
            </w:pPr>
          </w:p>
        </w:tc>
        <w:tc>
          <w:tcPr>
            <w:tcW w:w="1558" w:type="dxa"/>
            <w:tcBorders>
              <w:top w:val="nil"/>
              <w:left w:val="nil"/>
              <w:bottom w:val="single" w:sz="4" w:space="0" w:color="auto"/>
              <w:right w:val="nil"/>
            </w:tcBorders>
            <w:vAlign w:val="bottom"/>
            <w:hideMark/>
          </w:tcPr>
          <w:p w14:paraId="2672D268"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(147,936)</w:t>
            </w:r>
          </w:p>
        </w:tc>
      </w:tr>
      <w:tr w:rsidR="00CC4100" w:rsidRPr="006D6338" w14:paraId="5050BD08" w14:textId="77777777" w:rsidTr="006D6338">
        <w:trPr>
          <w:trHeight w:val="20"/>
        </w:trPr>
        <w:tc>
          <w:tcPr>
            <w:tcW w:w="3261" w:type="dxa"/>
            <w:vAlign w:val="center"/>
            <w:hideMark/>
          </w:tcPr>
          <w:p w14:paraId="4EAB4B60" w14:textId="77777777" w:rsidR="00CC4100" w:rsidRPr="006D6338" w:rsidRDefault="00CC4100" w:rsidP="00A44FCD">
            <w:pPr>
              <w:rPr>
                <w:rFonts w:cs="Calibri"/>
                <w:sz w:val="16"/>
                <w:szCs w:val="16"/>
              </w:rPr>
            </w:pPr>
            <w:r w:rsidRPr="006D6338">
              <w:rPr>
                <w:rFonts w:ascii="Times New Roman" w:hAnsi="Times New Roman" w:cs="Calibri"/>
                <w:b/>
                <w:bCs/>
                <w:color w:val="000000"/>
                <w:sz w:val="16"/>
                <w:szCs w:val="16"/>
              </w:rPr>
              <w:t>At 31 December 2025</w:t>
            </w:r>
          </w:p>
        </w:tc>
        <w:tc>
          <w:tcPr>
            <w:tcW w:w="1461" w:type="dxa"/>
            <w:tcBorders>
              <w:top w:val="single" w:sz="4" w:space="0" w:color="auto"/>
              <w:left w:val="nil"/>
              <w:bottom w:val="double" w:sz="4" w:space="0" w:color="auto"/>
              <w:right w:val="nil"/>
            </w:tcBorders>
            <w:vAlign w:val="bottom"/>
            <w:hideMark/>
          </w:tcPr>
          <w:p w14:paraId="1C777E0A"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124,512,212</w:t>
            </w:r>
          </w:p>
        </w:tc>
        <w:tc>
          <w:tcPr>
            <w:tcW w:w="299" w:type="dxa"/>
            <w:vAlign w:val="bottom"/>
          </w:tcPr>
          <w:p w14:paraId="2F2B0925" w14:textId="77777777" w:rsidR="00CC4100" w:rsidRPr="006D6338" w:rsidRDefault="00CC4100" w:rsidP="00A44FCD">
            <w:pPr>
              <w:jc w:val="right"/>
              <w:rPr>
                <w:rFonts w:cs="Calibri"/>
                <w:b/>
                <w:bCs/>
                <w:color w:val="000000"/>
                <w:sz w:val="16"/>
                <w:szCs w:val="16"/>
              </w:rPr>
            </w:pPr>
          </w:p>
        </w:tc>
        <w:tc>
          <w:tcPr>
            <w:tcW w:w="1506" w:type="dxa"/>
            <w:tcBorders>
              <w:top w:val="single" w:sz="4" w:space="0" w:color="auto"/>
              <w:left w:val="nil"/>
              <w:bottom w:val="double" w:sz="4" w:space="0" w:color="auto"/>
              <w:right w:val="nil"/>
            </w:tcBorders>
            <w:vAlign w:val="bottom"/>
            <w:hideMark/>
          </w:tcPr>
          <w:p w14:paraId="210A9D2C"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1,243,275</w:t>
            </w:r>
          </w:p>
        </w:tc>
        <w:tc>
          <w:tcPr>
            <w:tcW w:w="284" w:type="dxa"/>
            <w:vAlign w:val="bottom"/>
          </w:tcPr>
          <w:p w14:paraId="2F3C5476"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double" w:sz="4" w:space="0" w:color="auto"/>
              <w:right w:val="nil"/>
            </w:tcBorders>
            <w:vAlign w:val="bottom"/>
            <w:hideMark/>
          </w:tcPr>
          <w:p w14:paraId="3881048A"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7,356,109</w:t>
            </w:r>
          </w:p>
        </w:tc>
        <w:tc>
          <w:tcPr>
            <w:tcW w:w="284" w:type="dxa"/>
            <w:vAlign w:val="bottom"/>
          </w:tcPr>
          <w:p w14:paraId="4897FB86"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double" w:sz="4" w:space="0" w:color="auto"/>
              <w:right w:val="nil"/>
            </w:tcBorders>
            <w:vAlign w:val="bottom"/>
            <w:hideMark/>
          </w:tcPr>
          <w:p w14:paraId="099911E9"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8,599,384</w:t>
            </w:r>
          </w:p>
        </w:tc>
      </w:tr>
      <w:tr w:rsidR="00CC4100" w:rsidRPr="006D6338" w14:paraId="07F7A44F" w14:textId="77777777" w:rsidTr="006D6338">
        <w:trPr>
          <w:trHeight w:val="20"/>
        </w:trPr>
        <w:tc>
          <w:tcPr>
            <w:tcW w:w="3261" w:type="dxa"/>
            <w:vAlign w:val="center"/>
          </w:tcPr>
          <w:p w14:paraId="4470CE3F" w14:textId="77777777" w:rsidR="00CC4100" w:rsidRPr="006D6338" w:rsidRDefault="00CC4100" w:rsidP="00A44FCD">
            <w:pPr>
              <w:rPr>
                <w:rFonts w:cs="Calibri"/>
                <w:b/>
                <w:color w:val="010101"/>
                <w:sz w:val="16"/>
                <w:szCs w:val="16"/>
              </w:rPr>
            </w:pPr>
          </w:p>
        </w:tc>
        <w:tc>
          <w:tcPr>
            <w:tcW w:w="1461" w:type="dxa"/>
            <w:tcBorders>
              <w:top w:val="double" w:sz="4" w:space="0" w:color="auto"/>
              <w:left w:val="nil"/>
              <w:bottom w:val="nil"/>
              <w:right w:val="nil"/>
            </w:tcBorders>
            <w:vAlign w:val="bottom"/>
          </w:tcPr>
          <w:p w14:paraId="36A527C5" w14:textId="77777777" w:rsidR="00CC4100" w:rsidRPr="006D6338" w:rsidRDefault="00CC4100" w:rsidP="00A44FCD">
            <w:pPr>
              <w:jc w:val="right"/>
              <w:rPr>
                <w:rFonts w:cs="Calibri"/>
                <w:b/>
                <w:bCs/>
                <w:color w:val="000000"/>
                <w:sz w:val="16"/>
                <w:szCs w:val="16"/>
              </w:rPr>
            </w:pPr>
          </w:p>
        </w:tc>
        <w:tc>
          <w:tcPr>
            <w:tcW w:w="299" w:type="dxa"/>
            <w:vAlign w:val="bottom"/>
          </w:tcPr>
          <w:p w14:paraId="78F38515" w14:textId="77777777" w:rsidR="00CC4100" w:rsidRPr="006D6338" w:rsidRDefault="00CC4100" w:rsidP="00A44FCD">
            <w:pPr>
              <w:jc w:val="right"/>
              <w:rPr>
                <w:rFonts w:cs="Calibri"/>
                <w:b/>
                <w:bCs/>
                <w:color w:val="000000"/>
                <w:sz w:val="16"/>
                <w:szCs w:val="16"/>
              </w:rPr>
            </w:pPr>
          </w:p>
        </w:tc>
        <w:tc>
          <w:tcPr>
            <w:tcW w:w="1506" w:type="dxa"/>
            <w:tcBorders>
              <w:top w:val="double" w:sz="4" w:space="0" w:color="auto"/>
              <w:left w:val="nil"/>
              <w:bottom w:val="nil"/>
              <w:right w:val="nil"/>
            </w:tcBorders>
            <w:vAlign w:val="bottom"/>
          </w:tcPr>
          <w:p w14:paraId="314572A3" w14:textId="77777777" w:rsidR="00CC4100" w:rsidRPr="006D6338" w:rsidRDefault="00CC4100" w:rsidP="00A44FCD">
            <w:pPr>
              <w:jc w:val="right"/>
              <w:rPr>
                <w:rFonts w:cs="Calibri"/>
                <w:b/>
                <w:bCs/>
                <w:color w:val="000000"/>
                <w:sz w:val="16"/>
                <w:szCs w:val="16"/>
              </w:rPr>
            </w:pPr>
          </w:p>
        </w:tc>
        <w:tc>
          <w:tcPr>
            <w:tcW w:w="284" w:type="dxa"/>
            <w:vAlign w:val="bottom"/>
          </w:tcPr>
          <w:p w14:paraId="504BA25E" w14:textId="77777777" w:rsidR="00CC4100" w:rsidRPr="006D6338" w:rsidRDefault="00CC4100" w:rsidP="00A44FCD">
            <w:pPr>
              <w:jc w:val="right"/>
              <w:rPr>
                <w:rFonts w:cs="Calibri"/>
                <w:b/>
                <w:bCs/>
                <w:color w:val="000000"/>
                <w:sz w:val="16"/>
                <w:szCs w:val="16"/>
              </w:rPr>
            </w:pPr>
          </w:p>
        </w:tc>
        <w:tc>
          <w:tcPr>
            <w:tcW w:w="1558" w:type="dxa"/>
            <w:tcBorders>
              <w:top w:val="double" w:sz="4" w:space="0" w:color="auto"/>
              <w:left w:val="nil"/>
              <w:bottom w:val="nil"/>
              <w:right w:val="nil"/>
            </w:tcBorders>
            <w:vAlign w:val="bottom"/>
          </w:tcPr>
          <w:p w14:paraId="00A0D11C" w14:textId="77777777" w:rsidR="00CC4100" w:rsidRPr="006D6338" w:rsidRDefault="00CC4100" w:rsidP="00A44FCD">
            <w:pPr>
              <w:jc w:val="right"/>
              <w:rPr>
                <w:rFonts w:cs="Calibri"/>
                <w:b/>
                <w:bCs/>
                <w:color w:val="000000"/>
                <w:sz w:val="16"/>
                <w:szCs w:val="16"/>
              </w:rPr>
            </w:pPr>
          </w:p>
        </w:tc>
        <w:tc>
          <w:tcPr>
            <w:tcW w:w="284" w:type="dxa"/>
            <w:vAlign w:val="bottom"/>
          </w:tcPr>
          <w:p w14:paraId="3482D44C" w14:textId="77777777" w:rsidR="00CC4100" w:rsidRPr="006D6338" w:rsidRDefault="00CC4100" w:rsidP="00A44FCD">
            <w:pPr>
              <w:jc w:val="right"/>
              <w:rPr>
                <w:rFonts w:cs="Calibri"/>
                <w:b/>
                <w:bCs/>
                <w:color w:val="000000"/>
                <w:sz w:val="16"/>
                <w:szCs w:val="16"/>
              </w:rPr>
            </w:pPr>
          </w:p>
        </w:tc>
        <w:tc>
          <w:tcPr>
            <w:tcW w:w="1558" w:type="dxa"/>
            <w:tcBorders>
              <w:top w:val="double" w:sz="4" w:space="0" w:color="auto"/>
              <w:left w:val="nil"/>
              <w:bottom w:val="nil"/>
              <w:right w:val="nil"/>
            </w:tcBorders>
            <w:vAlign w:val="bottom"/>
          </w:tcPr>
          <w:p w14:paraId="1A173923" w14:textId="77777777" w:rsidR="00CC4100" w:rsidRPr="006D6338" w:rsidRDefault="00CC4100" w:rsidP="00A44FCD">
            <w:pPr>
              <w:jc w:val="right"/>
              <w:rPr>
                <w:rFonts w:cs="Calibri"/>
                <w:b/>
                <w:bCs/>
                <w:color w:val="000000"/>
                <w:sz w:val="16"/>
                <w:szCs w:val="16"/>
              </w:rPr>
            </w:pPr>
          </w:p>
        </w:tc>
      </w:tr>
      <w:tr w:rsidR="00CC4100" w:rsidRPr="006D6338" w14:paraId="33272F60" w14:textId="77777777" w:rsidTr="006D6338">
        <w:trPr>
          <w:trHeight w:val="20"/>
        </w:trPr>
        <w:tc>
          <w:tcPr>
            <w:tcW w:w="3261" w:type="dxa"/>
            <w:vAlign w:val="center"/>
          </w:tcPr>
          <w:p w14:paraId="42672974"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Warrants exercised 16 January 2026</w:t>
            </w:r>
          </w:p>
        </w:tc>
        <w:tc>
          <w:tcPr>
            <w:tcW w:w="1461" w:type="dxa"/>
            <w:vAlign w:val="bottom"/>
          </w:tcPr>
          <w:p w14:paraId="0AAE128F"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13,774,827</w:t>
            </w:r>
          </w:p>
        </w:tc>
        <w:tc>
          <w:tcPr>
            <w:tcW w:w="299" w:type="dxa"/>
            <w:vAlign w:val="bottom"/>
          </w:tcPr>
          <w:p w14:paraId="530AB7CA" w14:textId="77777777" w:rsidR="00CC4100" w:rsidRPr="006D6338" w:rsidRDefault="00CC4100" w:rsidP="00A44FCD">
            <w:pPr>
              <w:jc w:val="right"/>
              <w:rPr>
                <w:rFonts w:cs="Calibri"/>
                <w:color w:val="000000"/>
                <w:sz w:val="16"/>
                <w:szCs w:val="16"/>
              </w:rPr>
            </w:pPr>
          </w:p>
        </w:tc>
        <w:tc>
          <w:tcPr>
            <w:tcW w:w="1506" w:type="dxa"/>
            <w:vAlign w:val="bottom"/>
          </w:tcPr>
          <w:p w14:paraId="5D3990EE"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137,748</w:t>
            </w:r>
          </w:p>
        </w:tc>
        <w:tc>
          <w:tcPr>
            <w:tcW w:w="284" w:type="dxa"/>
            <w:vAlign w:val="bottom"/>
          </w:tcPr>
          <w:p w14:paraId="0479DE6B" w14:textId="77777777" w:rsidR="00CC4100" w:rsidRPr="006D6338" w:rsidRDefault="00CC4100" w:rsidP="00A44FCD">
            <w:pPr>
              <w:jc w:val="right"/>
              <w:rPr>
                <w:rFonts w:cs="Calibri"/>
                <w:color w:val="000000"/>
                <w:sz w:val="16"/>
                <w:szCs w:val="16"/>
              </w:rPr>
            </w:pPr>
          </w:p>
        </w:tc>
        <w:tc>
          <w:tcPr>
            <w:tcW w:w="1558" w:type="dxa"/>
            <w:vAlign w:val="bottom"/>
          </w:tcPr>
          <w:p w14:paraId="52566E2F"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550,981</w:t>
            </w:r>
          </w:p>
        </w:tc>
        <w:tc>
          <w:tcPr>
            <w:tcW w:w="284" w:type="dxa"/>
            <w:vAlign w:val="bottom"/>
          </w:tcPr>
          <w:p w14:paraId="58CDED92" w14:textId="77777777" w:rsidR="00CC4100" w:rsidRPr="006D6338" w:rsidRDefault="00CC4100" w:rsidP="00A44FCD">
            <w:pPr>
              <w:jc w:val="right"/>
              <w:rPr>
                <w:rFonts w:cs="Calibri"/>
                <w:color w:val="000000"/>
                <w:sz w:val="16"/>
                <w:szCs w:val="16"/>
              </w:rPr>
            </w:pPr>
          </w:p>
        </w:tc>
        <w:tc>
          <w:tcPr>
            <w:tcW w:w="1558" w:type="dxa"/>
            <w:vAlign w:val="bottom"/>
          </w:tcPr>
          <w:p w14:paraId="6F1FD47A"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688,729</w:t>
            </w:r>
          </w:p>
        </w:tc>
      </w:tr>
      <w:tr w:rsidR="00CC4100" w:rsidRPr="006D6338" w14:paraId="71A416FE" w14:textId="77777777" w:rsidTr="006D6338">
        <w:trPr>
          <w:trHeight w:val="20"/>
        </w:trPr>
        <w:tc>
          <w:tcPr>
            <w:tcW w:w="3261" w:type="dxa"/>
            <w:vAlign w:val="center"/>
          </w:tcPr>
          <w:p w14:paraId="015154AA"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Warrants exercised 20 February 2026</w:t>
            </w:r>
          </w:p>
        </w:tc>
        <w:tc>
          <w:tcPr>
            <w:tcW w:w="1461" w:type="dxa"/>
            <w:vAlign w:val="bottom"/>
          </w:tcPr>
          <w:p w14:paraId="2829A89E"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2,916,668</w:t>
            </w:r>
          </w:p>
        </w:tc>
        <w:tc>
          <w:tcPr>
            <w:tcW w:w="299" w:type="dxa"/>
            <w:vAlign w:val="bottom"/>
          </w:tcPr>
          <w:p w14:paraId="61368B57" w14:textId="77777777" w:rsidR="00CC4100" w:rsidRPr="006D6338" w:rsidRDefault="00CC4100" w:rsidP="00A44FCD">
            <w:pPr>
              <w:jc w:val="right"/>
              <w:rPr>
                <w:rFonts w:cs="Calibri"/>
                <w:color w:val="000000"/>
                <w:sz w:val="16"/>
                <w:szCs w:val="16"/>
              </w:rPr>
            </w:pPr>
          </w:p>
        </w:tc>
        <w:tc>
          <w:tcPr>
            <w:tcW w:w="1506" w:type="dxa"/>
            <w:vAlign w:val="bottom"/>
          </w:tcPr>
          <w:p w14:paraId="048C7B10"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29,167</w:t>
            </w:r>
          </w:p>
        </w:tc>
        <w:tc>
          <w:tcPr>
            <w:tcW w:w="284" w:type="dxa"/>
            <w:vAlign w:val="bottom"/>
          </w:tcPr>
          <w:p w14:paraId="1C59C6A4" w14:textId="77777777" w:rsidR="00CC4100" w:rsidRPr="006D6338" w:rsidRDefault="00CC4100" w:rsidP="00A44FCD">
            <w:pPr>
              <w:jc w:val="right"/>
              <w:rPr>
                <w:rFonts w:cs="Calibri"/>
                <w:color w:val="000000"/>
                <w:sz w:val="16"/>
                <w:szCs w:val="16"/>
              </w:rPr>
            </w:pPr>
          </w:p>
        </w:tc>
        <w:tc>
          <w:tcPr>
            <w:tcW w:w="1558" w:type="dxa"/>
            <w:vAlign w:val="bottom"/>
          </w:tcPr>
          <w:p w14:paraId="3B265367"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116,667</w:t>
            </w:r>
          </w:p>
        </w:tc>
        <w:tc>
          <w:tcPr>
            <w:tcW w:w="284" w:type="dxa"/>
            <w:vAlign w:val="bottom"/>
          </w:tcPr>
          <w:p w14:paraId="485A5761" w14:textId="77777777" w:rsidR="00CC4100" w:rsidRPr="006D6338" w:rsidRDefault="00CC4100" w:rsidP="00A44FCD">
            <w:pPr>
              <w:jc w:val="right"/>
              <w:rPr>
                <w:rFonts w:cs="Calibri"/>
                <w:color w:val="000000"/>
                <w:sz w:val="16"/>
                <w:szCs w:val="16"/>
              </w:rPr>
            </w:pPr>
          </w:p>
        </w:tc>
        <w:tc>
          <w:tcPr>
            <w:tcW w:w="1558" w:type="dxa"/>
            <w:vAlign w:val="bottom"/>
          </w:tcPr>
          <w:p w14:paraId="4CD71096" w14:textId="77777777" w:rsidR="00CC4100" w:rsidRPr="006D6338" w:rsidDel="00AF125D" w:rsidRDefault="00CC4100" w:rsidP="00A44FCD">
            <w:pPr>
              <w:jc w:val="right"/>
              <w:rPr>
                <w:rFonts w:cs="Calibri"/>
                <w:color w:val="000000"/>
                <w:sz w:val="16"/>
                <w:szCs w:val="16"/>
              </w:rPr>
            </w:pPr>
            <w:r w:rsidRPr="006D6338">
              <w:rPr>
                <w:rFonts w:ascii="Times New Roman" w:hAnsi="Times New Roman" w:cs="Calibri"/>
                <w:color w:val="000000"/>
                <w:sz w:val="16"/>
                <w:szCs w:val="16"/>
              </w:rPr>
              <w:t>145,834</w:t>
            </w:r>
          </w:p>
        </w:tc>
      </w:tr>
      <w:tr w:rsidR="00CC4100" w:rsidRPr="006D6338" w14:paraId="25B2C025" w14:textId="77777777" w:rsidTr="006D6338">
        <w:trPr>
          <w:trHeight w:val="20"/>
        </w:trPr>
        <w:tc>
          <w:tcPr>
            <w:tcW w:w="3261" w:type="dxa"/>
            <w:vAlign w:val="center"/>
            <w:hideMark/>
          </w:tcPr>
          <w:p w14:paraId="3F12F992" w14:textId="77777777" w:rsidR="00CC4100" w:rsidRPr="006D6338" w:rsidRDefault="00CC4100" w:rsidP="00A44FCD">
            <w:pPr>
              <w:rPr>
                <w:rFonts w:cs="Calibri"/>
                <w:bCs/>
                <w:color w:val="010101"/>
                <w:sz w:val="16"/>
                <w:szCs w:val="16"/>
              </w:rPr>
            </w:pPr>
            <w:r w:rsidRPr="006D6338">
              <w:rPr>
                <w:rFonts w:ascii="Times New Roman" w:hAnsi="Times New Roman" w:cs="Calibri"/>
                <w:color w:val="000000"/>
                <w:sz w:val="16"/>
                <w:szCs w:val="16"/>
              </w:rPr>
              <w:t>Share issue 23 February 2026</w:t>
            </w:r>
          </w:p>
        </w:tc>
        <w:tc>
          <w:tcPr>
            <w:tcW w:w="1461" w:type="dxa"/>
            <w:vAlign w:val="bottom"/>
            <w:hideMark/>
          </w:tcPr>
          <w:p w14:paraId="55FD3413"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927,045</w:t>
            </w:r>
          </w:p>
        </w:tc>
        <w:tc>
          <w:tcPr>
            <w:tcW w:w="299" w:type="dxa"/>
            <w:vAlign w:val="bottom"/>
          </w:tcPr>
          <w:p w14:paraId="6DC3952A" w14:textId="77777777" w:rsidR="00CC4100" w:rsidRPr="006D6338" w:rsidRDefault="00CC4100" w:rsidP="00A44FCD">
            <w:pPr>
              <w:jc w:val="right"/>
              <w:rPr>
                <w:rFonts w:cs="Calibri"/>
                <w:color w:val="000000"/>
                <w:sz w:val="16"/>
                <w:szCs w:val="16"/>
              </w:rPr>
            </w:pPr>
          </w:p>
        </w:tc>
        <w:tc>
          <w:tcPr>
            <w:tcW w:w="1506" w:type="dxa"/>
            <w:vAlign w:val="bottom"/>
            <w:hideMark/>
          </w:tcPr>
          <w:p w14:paraId="033E6B6A"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9,270</w:t>
            </w:r>
          </w:p>
        </w:tc>
        <w:tc>
          <w:tcPr>
            <w:tcW w:w="284" w:type="dxa"/>
            <w:vAlign w:val="bottom"/>
          </w:tcPr>
          <w:p w14:paraId="0CAB7E6E" w14:textId="77777777" w:rsidR="00CC4100" w:rsidRPr="006D6338" w:rsidRDefault="00CC4100" w:rsidP="00A44FCD">
            <w:pPr>
              <w:jc w:val="right"/>
              <w:rPr>
                <w:rFonts w:cs="Calibri"/>
                <w:color w:val="000000"/>
                <w:sz w:val="16"/>
                <w:szCs w:val="16"/>
              </w:rPr>
            </w:pPr>
          </w:p>
        </w:tc>
        <w:tc>
          <w:tcPr>
            <w:tcW w:w="1558" w:type="dxa"/>
            <w:vAlign w:val="bottom"/>
            <w:hideMark/>
          </w:tcPr>
          <w:p w14:paraId="2A1DE8ED"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88,980</w:t>
            </w:r>
          </w:p>
        </w:tc>
        <w:tc>
          <w:tcPr>
            <w:tcW w:w="284" w:type="dxa"/>
            <w:vAlign w:val="bottom"/>
          </w:tcPr>
          <w:p w14:paraId="587DA7F3" w14:textId="77777777" w:rsidR="00CC4100" w:rsidRPr="006D6338" w:rsidRDefault="00CC4100" w:rsidP="00A44FCD">
            <w:pPr>
              <w:jc w:val="right"/>
              <w:rPr>
                <w:rFonts w:cs="Calibri"/>
                <w:color w:val="000000"/>
                <w:sz w:val="16"/>
                <w:szCs w:val="16"/>
              </w:rPr>
            </w:pPr>
          </w:p>
        </w:tc>
        <w:tc>
          <w:tcPr>
            <w:tcW w:w="1558" w:type="dxa"/>
            <w:vAlign w:val="bottom"/>
            <w:hideMark/>
          </w:tcPr>
          <w:p w14:paraId="67A0FA64"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98,250</w:t>
            </w:r>
          </w:p>
        </w:tc>
      </w:tr>
      <w:tr w:rsidR="00CC4100" w:rsidRPr="006D6338" w14:paraId="6A0C91CD" w14:textId="77777777" w:rsidTr="006D6338">
        <w:trPr>
          <w:trHeight w:val="20"/>
        </w:trPr>
        <w:tc>
          <w:tcPr>
            <w:tcW w:w="3261" w:type="dxa"/>
            <w:vAlign w:val="center"/>
          </w:tcPr>
          <w:p w14:paraId="558221E8"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5 March 2026</w:t>
            </w:r>
          </w:p>
        </w:tc>
        <w:tc>
          <w:tcPr>
            <w:tcW w:w="1461" w:type="dxa"/>
            <w:vAlign w:val="bottom"/>
          </w:tcPr>
          <w:p w14:paraId="7C5BB2A5"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5,000,000</w:t>
            </w:r>
          </w:p>
        </w:tc>
        <w:tc>
          <w:tcPr>
            <w:tcW w:w="299" w:type="dxa"/>
            <w:vAlign w:val="bottom"/>
          </w:tcPr>
          <w:p w14:paraId="64E15D53" w14:textId="77777777" w:rsidR="00CC4100" w:rsidRPr="006D6338" w:rsidRDefault="00CC4100" w:rsidP="00A44FCD">
            <w:pPr>
              <w:jc w:val="right"/>
              <w:rPr>
                <w:rFonts w:cs="Calibri"/>
                <w:color w:val="000000"/>
                <w:sz w:val="16"/>
                <w:szCs w:val="16"/>
              </w:rPr>
            </w:pPr>
          </w:p>
        </w:tc>
        <w:tc>
          <w:tcPr>
            <w:tcW w:w="1506" w:type="dxa"/>
            <w:vAlign w:val="bottom"/>
          </w:tcPr>
          <w:p w14:paraId="34C61CE2"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50,000</w:t>
            </w:r>
          </w:p>
        </w:tc>
        <w:tc>
          <w:tcPr>
            <w:tcW w:w="284" w:type="dxa"/>
            <w:vAlign w:val="bottom"/>
          </w:tcPr>
          <w:p w14:paraId="2F4EDAE0" w14:textId="77777777" w:rsidR="00CC4100" w:rsidRPr="006D6338" w:rsidRDefault="00CC4100" w:rsidP="00A44FCD">
            <w:pPr>
              <w:jc w:val="right"/>
              <w:rPr>
                <w:rFonts w:cs="Calibri"/>
                <w:color w:val="000000"/>
                <w:sz w:val="16"/>
                <w:szCs w:val="16"/>
              </w:rPr>
            </w:pPr>
          </w:p>
        </w:tc>
        <w:tc>
          <w:tcPr>
            <w:tcW w:w="1558" w:type="dxa"/>
            <w:vAlign w:val="bottom"/>
          </w:tcPr>
          <w:p w14:paraId="7F2F95DE"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500,000</w:t>
            </w:r>
          </w:p>
        </w:tc>
        <w:tc>
          <w:tcPr>
            <w:tcW w:w="284" w:type="dxa"/>
            <w:vAlign w:val="bottom"/>
          </w:tcPr>
          <w:p w14:paraId="5F956553" w14:textId="77777777" w:rsidR="00CC4100" w:rsidRPr="006D6338" w:rsidRDefault="00CC4100" w:rsidP="00A44FCD">
            <w:pPr>
              <w:jc w:val="right"/>
              <w:rPr>
                <w:rFonts w:cs="Calibri"/>
                <w:color w:val="000000"/>
                <w:sz w:val="16"/>
                <w:szCs w:val="16"/>
              </w:rPr>
            </w:pPr>
          </w:p>
        </w:tc>
        <w:tc>
          <w:tcPr>
            <w:tcW w:w="1558" w:type="dxa"/>
            <w:vAlign w:val="bottom"/>
          </w:tcPr>
          <w:p w14:paraId="015D0EC7"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550,000</w:t>
            </w:r>
          </w:p>
        </w:tc>
      </w:tr>
      <w:tr w:rsidR="00CC4100" w:rsidRPr="006D6338" w14:paraId="0B3C3A08" w14:textId="77777777" w:rsidTr="006D6338">
        <w:trPr>
          <w:trHeight w:val="20"/>
        </w:trPr>
        <w:tc>
          <w:tcPr>
            <w:tcW w:w="3261" w:type="dxa"/>
            <w:vAlign w:val="center"/>
          </w:tcPr>
          <w:p w14:paraId="7F425770"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6 May 2026</w:t>
            </w:r>
          </w:p>
        </w:tc>
        <w:tc>
          <w:tcPr>
            <w:tcW w:w="1461" w:type="dxa"/>
            <w:vAlign w:val="bottom"/>
          </w:tcPr>
          <w:p w14:paraId="2F21538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5,714,286</w:t>
            </w:r>
          </w:p>
        </w:tc>
        <w:tc>
          <w:tcPr>
            <w:tcW w:w="299" w:type="dxa"/>
            <w:vAlign w:val="bottom"/>
          </w:tcPr>
          <w:p w14:paraId="2C8F4FC5" w14:textId="77777777" w:rsidR="00CC4100" w:rsidRPr="006D6338" w:rsidRDefault="00CC4100" w:rsidP="00A44FCD">
            <w:pPr>
              <w:jc w:val="right"/>
              <w:rPr>
                <w:rFonts w:cs="Calibri"/>
                <w:color w:val="000000"/>
                <w:sz w:val="16"/>
                <w:szCs w:val="16"/>
              </w:rPr>
            </w:pPr>
          </w:p>
        </w:tc>
        <w:tc>
          <w:tcPr>
            <w:tcW w:w="1506" w:type="dxa"/>
            <w:vAlign w:val="bottom"/>
          </w:tcPr>
          <w:p w14:paraId="10F40299"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57,143</w:t>
            </w:r>
          </w:p>
        </w:tc>
        <w:tc>
          <w:tcPr>
            <w:tcW w:w="284" w:type="dxa"/>
            <w:vAlign w:val="bottom"/>
          </w:tcPr>
          <w:p w14:paraId="7C146CBD" w14:textId="77777777" w:rsidR="00CC4100" w:rsidRPr="006D6338" w:rsidRDefault="00CC4100" w:rsidP="00A44FCD">
            <w:pPr>
              <w:jc w:val="right"/>
              <w:rPr>
                <w:rFonts w:cs="Calibri"/>
                <w:color w:val="000000"/>
                <w:sz w:val="16"/>
                <w:szCs w:val="16"/>
              </w:rPr>
            </w:pPr>
          </w:p>
        </w:tc>
        <w:tc>
          <w:tcPr>
            <w:tcW w:w="1558" w:type="dxa"/>
            <w:vAlign w:val="bottom"/>
          </w:tcPr>
          <w:p w14:paraId="369C819A"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442,857</w:t>
            </w:r>
          </w:p>
        </w:tc>
        <w:tc>
          <w:tcPr>
            <w:tcW w:w="284" w:type="dxa"/>
            <w:vAlign w:val="bottom"/>
          </w:tcPr>
          <w:p w14:paraId="2D24BCD9" w14:textId="77777777" w:rsidR="00CC4100" w:rsidRPr="006D6338" w:rsidRDefault="00CC4100" w:rsidP="00A44FCD">
            <w:pPr>
              <w:jc w:val="right"/>
              <w:rPr>
                <w:rFonts w:cs="Calibri"/>
                <w:color w:val="000000"/>
                <w:sz w:val="16"/>
                <w:szCs w:val="16"/>
              </w:rPr>
            </w:pPr>
          </w:p>
        </w:tc>
        <w:tc>
          <w:tcPr>
            <w:tcW w:w="1558" w:type="dxa"/>
            <w:vAlign w:val="bottom"/>
          </w:tcPr>
          <w:p w14:paraId="756DAABE"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500,000</w:t>
            </w:r>
          </w:p>
        </w:tc>
      </w:tr>
      <w:tr w:rsidR="00CC4100" w:rsidRPr="006D6338" w14:paraId="294FCE30" w14:textId="77777777" w:rsidTr="006D6338">
        <w:trPr>
          <w:trHeight w:val="20"/>
        </w:trPr>
        <w:tc>
          <w:tcPr>
            <w:tcW w:w="3261" w:type="dxa"/>
            <w:vAlign w:val="center"/>
          </w:tcPr>
          <w:p w14:paraId="208AF3E3" w14:textId="77777777" w:rsidR="00CC4100" w:rsidRPr="006D6338" w:rsidRDefault="00CC4100" w:rsidP="00A44FCD">
            <w:pPr>
              <w:rPr>
                <w:rFonts w:cs="Calibri"/>
                <w:b/>
                <w:color w:val="010101"/>
                <w:sz w:val="16"/>
                <w:szCs w:val="16"/>
              </w:rPr>
            </w:pPr>
            <w:r w:rsidRPr="006D6338">
              <w:rPr>
                <w:rFonts w:ascii="Times New Roman" w:hAnsi="Times New Roman" w:cs="Calibri"/>
                <w:color w:val="000000"/>
                <w:sz w:val="16"/>
                <w:szCs w:val="16"/>
              </w:rPr>
              <w:t>Share issue 19 May 2026</w:t>
            </w:r>
          </w:p>
        </w:tc>
        <w:tc>
          <w:tcPr>
            <w:tcW w:w="1461" w:type="dxa"/>
            <w:vAlign w:val="bottom"/>
          </w:tcPr>
          <w:p w14:paraId="0DBB2109"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312,987</w:t>
            </w:r>
          </w:p>
        </w:tc>
        <w:tc>
          <w:tcPr>
            <w:tcW w:w="299" w:type="dxa"/>
            <w:vAlign w:val="bottom"/>
          </w:tcPr>
          <w:p w14:paraId="5EEF1A61" w14:textId="77777777" w:rsidR="00CC4100" w:rsidRPr="006D6338" w:rsidRDefault="00CC4100" w:rsidP="00A44FCD">
            <w:pPr>
              <w:jc w:val="right"/>
              <w:rPr>
                <w:rFonts w:cs="Calibri"/>
                <w:color w:val="000000"/>
                <w:sz w:val="16"/>
                <w:szCs w:val="16"/>
              </w:rPr>
            </w:pPr>
          </w:p>
        </w:tc>
        <w:tc>
          <w:tcPr>
            <w:tcW w:w="1506" w:type="dxa"/>
            <w:vAlign w:val="bottom"/>
          </w:tcPr>
          <w:p w14:paraId="15D3D95A"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3,130</w:t>
            </w:r>
          </w:p>
        </w:tc>
        <w:tc>
          <w:tcPr>
            <w:tcW w:w="284" w:type="dxa"/>
            <w:vAlign w:val="bottom"/>
          </w:tcPr>
          <w:p w14:paraId="7B460A90" w14:textId="77777777" w:rsidR="00CC4100" w:rsidRPr="006D6338" w:rsidRDefault="00CC4100" w:rsidP="00A44FCD">
            <w:pPr>
              <w:jc w:val="right"/>
              <w:rPr>
                <w:rFonts w:cs="Calibri"/>
                <w:color w:val="000000"/>
                <w:sz w:val="16"/>
                <w:szCs w:val="16"/>
              </w:rPr>
            </w:pPr>
          </w:p>
        </w:tc>
        <w:tc>
          <w:tcPr>
            <w:tcW w:w="1558" w:type="dxa"/>
            <w:vAlign w:val="bottom"/>
          </w:tcPr>
          <w:p w14:paraId="49103158"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29,370</w:t>
            </w:r>
          </w:p>
        </w:tc>
        <w:tc>
          <w:tcPr>
            <w:tcW w:w="284" w:type="dxa"/>
            <w:vAlign w:val="bottom"/>
          </w:tcPr>
          <w:p w14:paraId="0D41E08D" w14:textId="77777777" w:rsidR="00CC4100" w:rsidRPr="006D6338" w:rsidRDefault="00CC4100" w:rsidP="00A44FCD">
            <w:pPr>
              <w:jc w:val="right"/>
              <w:rPr>
                <w:rFonts w:cs="Calibri"/>
                <w:color w:val="000000"/>
                <w:sz w:val="16"/>
                <w:szCs w:val="16"/>
              </w:rPr>
            </w:pPr>
          </w:p>
        </w:tc>
        <w:tc>
          <w:tcPr>
            <w:tcW w:w="1558" w:type="dxa"/>
            <w:vAlign w:val="bottom"/>
          </w:tcPr>
          <w:p w14:paraId="3350440F"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32,500</w:t>
            </w:r>
          </w:p>
        </w:tc>
      </w:tr>
      <w:tr w:rsidR="00CC4100" w:rsidRPr="006D6338" w14:paraId="71701AA6" w14:textId="77777777" w:rsidTr="006D6338">
        <w:trPr>
          <w:trHeight w:val="20"/>
        </w:trPr>
        <w:tc>
          <w:tcPr>
            <w:tcW w:w="3261" w:type="dxa"/>
            <w:vAlign w:val="center"/>
          </w:tcPr>
          <w:p w14:paraId="75A5E000"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Warrants exercised 16 June 2026</w:t>
            </w:r>
          </w:p>
        </w:tc>
        <w:tc>
          <w:tcPr>
            <w:tcW w:w="1461" w:type="dxa"/>
            <w:vAlign w:val="bottom"/>
          </w:tcPr>
          <w:p w14:paraId="778F54A9"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466,667</w:t>
            </w:r>
          </w:p>
        </w:tc>
        <w:tc>
          <w:tcPr>
            <w:tcW w:w="299" w:type="dxa"/>
            <w:vAlign w:val="bottom"/>
          </w:tcPr>
          <w:p w14:paraId="50AFD08E" w14:textId="77777777" w:rsidR="00CC4100" w:rsidRPr="006D6338" w:rsidRDefault="00CC4100" w:rsidP="00A44FCD">
            <w:pPr>
              <w:jc w:val="right"/>
              <w:rPr>
                <w:rFonts w:cs="Calibri"/>
                <w:color w:val="000000"/>
                <w:sz w:val="16"/>
                <w:szCs w:val="16"/>
              </w:rPr>
            </w:pPr>
          </w:p>
        </w:tc>
        <w:tc>
          <w:tcPr>
            <w:tcW w:w="1506" w:type="dxa"/>
            <w:vAlign w:val="bottom"/>
          </w:tcPr>
          <w:p w14:paraId="03E0A67D"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4,667</w:t>
            </w:r>
          </w:p>
        </w:tc>
        <w:tc>
          <w:tcPr>
            <w:tcW w:w="284" w:type="dxa"/>
            <w:vAlign w:val="bottom"/>
          </w:tcPr>
          <w:p w14:paraId="5C5FC726" w14:textId="77777777" w:rsidR="00CC4100" w:rsidRPr="006D6338" w:rsidRDefault="00CC4100" w:rsidP="00A44FCD">
            <w:pPr>
              <w:jc w:val="right"/>
              <w:rPr>
                <w:rFonts w:cs="Calibri"/>
                <w:color w:val="000000"/>
                <w:sz w:val="16"/>
                <w:szCs w:val="16"/>
              </w:rPr>
            </w:pPr>
          </w:p>
        </w:tc>
        <w:tc>
          <w:tcPr>
            <w:tcW w:w="1558" w:type="dxa"/>
            <w:vAlign w:val="bottom"/>
          </w:tcPr>
          <w:p w14:paraId="6167F06B"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9,333</w:t>
            </w:r>
          </w:p>
        </w:tc>
        <w:tc>
          <w:tcPr>
            <w:tcW w:w="284" w:type="dxa"/>
            <w:vAlign w:val="bottom"/>
          </w:tcPr>
          <w:p w14:paraId="6B7F1D1F" w14:textId="77777777" w:rsidR="00CC4100" w:rsidRPr="006D6338" w:rsidRDefault="00CC4100" w:rsidP="00A44FCD">
            <w:pPr>
              <w:jc w:val="right"/>
              <w:rPr>
                <w:rFonts w:cs="Calibri"/>
                <w:color w:val="000000"/>
                <w:sz w:val="16"/>
                <w:szCs w:val="16"/>
              </w:rPr>
            </w:pPr>
          </w:p>
        </w:tc>
        <w:tc>
          <w:tcPr>
            <w:tcW w:w="1558" w:type="dxa"/>
            <w:vAlign w:val="bottom"/>
          </w:tcPr>
          <w:p w14:paraId="068D2FD1"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14,000</w:t>
            </w:r>
          </w:p>
        </w:tc>
      </w:tr>
      <w:tr w:rsidR="00CC4100" w:rsidRPr="006D6338" w14:paraId="17DB1D63" w14:textId="77777777" w:rsidTr="006D6338">
        <w:trPr>
          <w:trHeight w:val="20"/>
        </w:trPr>
        <w:tc>
          <w:tcPr>
            <w:tcW w:w="3261" w:type="dxa"/>
            <w:vAlign w:val="center"/>
          </w:tcPr>
          <w:p w14:paraId="74BB3535" w14:textId="77777777" w:rsidR="00CC4100" w:rsidRPr="006D6338" w:rsidRDefault="00CC4100" w:rsidP="00A44FCD">
            <w:pPr>
              <w:rPr>
                <w:rFonts w:cs="Calibri"/>
                <w:color w:val="000000"/>
                <w:sz w:val="16"/>
                <w:szCs w:val="16"/>
              </w:rPr>
            </w:pPr>
            <w:r w:rsidRPr="006D6338">
              <w:rPr>
                <w:rFonts w:ascii="Times New Roman" w:hAnsi="Times New Roman" w:cs="Calibri"/>
                <w:color w:val="000000"/>
                <w:sz w:val="16"/>
                <w:szCs w:val="16"/>
              </w:rPr>
              <w:t>Share issue costs</w:t>
            </w:r>
          </w:p>
        </w:tc>
        <w:tc>
          <w:tcPr>
            <w:tcW w:w="1461" w:type="dxa"/>
            <w:tcBorders>
              <w:bottom w:val="single" w:sz="4" w:space="0" w:color="auto"/>
            </w:tcBorders>
            <w:vAlign w:val="bottom"/>
          </w:tcPr>
          <w:p w14:paraId="4CF52977"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w:t>
            </w:r>
          </w:p>
        </w:tc>
        <w:tc>
          <w:tcPr>
            <w:tcW w:w="299" w:type="dxa"/>
            <w:tcBorders>
              <w:bottom w:val="single" w:sz="4" w:space="0" w:color="auto"/>
            </w:tcBorders>
            <w:vAlign w:val="bottom"/>
          </w:tcPr>
          <w:p w14:paraId="744493C4" w14:textId="77777777" w:rsidR="00CC4100" w:rsidRPr="006D6338" w:rsidRDefault="00CC4100" w:rsidP="00A44FCD">
            <w:pPr>
              <w:jc w:val="right"/>
              <w:rPr>
                <w:rFonts w:cs="Calibri"/>
                <w:color w:val="000000"/>
                <w:sz w:val="16"/>
                <w:szCs w:val="16"/>
              </w:rPr>
            </w:pPr>
          </w:p>
        </w:tc>
        <w:tc>
          <w:tcPr>
            <w:tcW w:w="1506" w:type="dxa"/>
            <w:tcBorders>
              <w:bottom w:val="single" w:sz="4" w:space="0" w:color="auto"/>
            </w:tcBorders>
            <w:vAlign w:val="bottom"/>
          </w:tcPr>
          <w:p w14:paraId="05E5C8BB"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w:t>
            </w:r>
          </w:p>
        </w:tc>
        <w:tc>
          <w:tcPr>
            <w:tcW w:w="284" w:type="dxa"/>
            <w:tcBorders>
              <w:bottom w:val="single" w:sz="4" w:space="0" w:color="auto"/>
            </w:tcBorders>
            <w:vAlign w:val="bottom"/>
          </w:tcPr>
          <w:p w14:paraId="5B527171" w14:textId="77777777" w:rsidR="00CC4100" w:rsidRPr="006D6338" w:rsidRDefault="00CC4100" w:rsidP="00A44FCD">
            <w:pPr>
              <w:jc w:val="right"/>
              <w:rPr>
                <w:rFonts w:cs="Calibri"/>
                <w:color w:val="000000"/>
                <w:sz w:val="16"/>
                <w:szCs w:val="16"/>
              </w:rPr>
            </w:pPr>
          </w:p>
        </w:tc>
        <w:tc>
          <w:tcPr>
            <w:tcW w:w="1558" w:type="dxa"/>
            <w:tcBorders>
              <w:bottom w:val="single" w:sz="4" w:space="0" w:color="auto"/>
            </w:tcBorders>
            <w:vAlign w:val="bottom"/>
          </w:tcPr>
          <w:p w14:paraId="04D6EF25"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(65,750)</w:t>
            </w:r>
          </w:p>
        </w:tc>
        <w:tc>
          <w:tcPr>
            <w:tcW w:w="284" w:type="dxa"/>
            <w:tcBorders>
              <w:bottom w:val="single" w:sz="4" w:space="0" w:color="auto"/>
            </w:tcBorders>
            <w:vAlign w:val="bottom"/>
          </w:tcPr>
          <w:p w14:paraId="44A111EB" w14:textId="77777777" w:rsidR="00CC4100" w:rsidRPr="006D6338" w:rsidRDefault="00CC4100" w:rsidP="00A44FCD">
            <w:pPr>
              <w:jc w:val="right"/>
              <w:rPr>
                <w:rFonts w:cs="Calibri"/>
                <w:color w:val="000000"/>
                <w:sz w:val="16"/>
                <w:szCs w:val="16"/>
              </w:rPr>
            </w:pPr>
          </w:p>
        </w:tc>
        <w:tc>
          <w:tcPr>
            <w:tcW w:w="1558" w:type="dxa"/>
            <w:tcBorders>
              <w:bottom w:val="single" w:sz="4" w:space="0" w:color="auto"/>
            </w:tcBorders>
            <w:vAlign w:val="bottom"/>
          </w:tcPr>
          <w:p w14:paraId="7239360A" w14:textId="77777777" w:rsidR="00CC4100" w:rsidRPr="006D6338" w:rsidRDefault="00CC4100" w:rsidP="00A44FCD">
            <w:pPr>
              <w:jc w:val="right"/>
              <w:rPr>
                <w:rFonts w:cs="Calibri"/>
                <w:color w:val="000000"/>
                <w:sz w:val="16"/>
                <w:szCs w:val="16"/>
              </w:rPr>
            </w:pPr>
            <w:r w:rsidRPr="006D6338">
              <w:rPr>
                <w:rFonts w:ascii="Times New Roman" w:hAnsi="Times New Roman" w:cs="Calibri"/>
                <w:color w:val="000000"/>
                <w:sz w:val="16"/>
                <w:szCs w:val="16"/>
              </w:rPr>
              <w:t>(65,750)</w:t>
            </w:r>
          </w:p>
        </w:tc>
      </w:tr>
      <w:tr w:rsidR="00CC4100" w:rsidRPr="006D6338" w14:paraId="7DBDF0FB" w14:textId="77777777" w:rsidTr="006D6338">
        <w:trPr>
          <w:trHeight w:val="20"/>
        </w:trPr>
        <w:tc>
          <w:tcPr>
            <w:tcW w:w="3261" w:type="dxa"/>
            <w:vAlign w:val="center"/>
            <w:hideMark/>
          </w:tcPr>
          <w:p w14:paraId="4C032D44" w14:textId="77777777" w:rsidR="00CC4100" w:rsidRPr="006D6338" w:rsidRDefault="00CC4100" w:rsidP="00A44FCD">
            <w:pPr>
              <w:rPr>
                <w:rFonts w:cs="Calibri"/>
                <w:b/>
                <w:color w:val="010101"/>
                <w:sz w:val="16"/>
                <w:szCs w:val="16"/>
              </w:rPr>
            </w:pPr>
            <w:r w:rsidRPr="006D6338">
              <w:rPr>
                <w:rFonts w:ascii="Times New Roman" w:hAnsi="Times New Roman" w:cs="Calibri"/>
                <w:b/>
                <w:bCs/>
                <w:color w:val="000000"/>
                <w:sz w:val="16"/>
                <w:szCs w:val="16"/>
              </w:rPr>
              <w:t>At 30 June 2026</w:t>
            </w:r>
          </w:p>
        </w:tc>
        <w:tc>
          <w:tcPr>
            <w:tcW w:w="1461" w:type="dxa"/>
            <w:tcBorders>
              <w:top w:val="single" w:sz="4" w:space="0" w:color="auto"/>
              <w:left w:val="nil"/>
              <w:bottom w:val="double" w:sz="4" w:space="0" w:color="auto"/>
              <w:right w:val="nil"/>
            </w:tcBorders>
            <w:vAlign w:val="bottom"/>
            <w:hideMark/>
          </w:tcPr>
          <w:p w14:paraId="30EC5C6D"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153,624,692</w:t>
            </w:r>
          </w:p>
        </w:tc>
        <w:tc>
          <w:tcPr>
            <w:tcW w:w="299" w:type="dxa"/>
            <w:tcBorders>
              <w:top w:val="single" w:sz="4" w:space="0" w:color="auto"/>
            </w:tcBorders>
            <w:vAlign w:val="bottom"/>
          </w:tcPr>
          <w:p w14:paraId="76A28973" w14:textId="77777777" w:rsidR="00CC4100" w:rsidRPr="006D6338" w:rsidRDefault="00CC4100" w:rsidP="00A44FCD">
            <w:pPr>
              <w:jc w:val="right"/>
              <w:rPr>
                <w:rFonts w:cs="Calibri"/>
                <w:b/>
                <w:bCs/>
                <w:color w:val="000000"/>
                <w:sz w:val="16"/>
                <w:szCs w:val="16"/>
              </w:rPr>
            </w:pPr>
          </w:p>
        </w:tc>
        <w:tc>
          <w:tcPr>
            <w:tcW w:w="1506" w:type="dxa"/>
            <w:tcBorders>
              <w:top w:val="single" w:sz="4" w:space="0" w:color="auto"/>
              <w:left w:val="nil"/>
              <w:bottom w:val="double" w:sz="4" w:space="0" w:color="auto"/>
              <w:right w:val="nil"/>
            </w:tcBorders>
            <w:vAlign w:val="bottom"/>
            <w:hideMark/>
          </w:tcPr>
          <w:p w14:paraId="54800866"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1,534,400</w:t>
            </w:r>
          </w:p>
        </w:tc>
        <w:tc>
          <w:tcPr>
            <w:tcW w:w="284" w:type="dxa"/>
            <w:tcBorders>
              <w:top w:val="single" w:sz="4" w:space="0" w:color="auto"/>
            </w:tcBorders>
            <w:vAlign w:val="bottom"/>
          </w:tcPr>
          <w:p w14:paraId="4ECF020D"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double" w:sz="4" w:space="0" w:color="auto"/>
              <w:right w:val="nil"/>
            </w:tcBorders>
            <w:vAlign w:val="bottom"/>
            <w:hideMark/>
          </w:tcPr>
          <w:p w14:paraId="768E941F"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9,028,547</w:t>
            </w:r>
          </w:p>
        </w:tc>
        <w:tc>
          <w:tcPr>
            <w:tcW w:w="284" w:type="dxa"/>
            <w:tcBorders>
              <w:top w:val="single" w:sz="4" w:space="0" w:color="auto"/>
            </w:tcBorders>
            <w:vAlign w:val="bottom"/>
          </w:tcPr>
          <w:p w14:paraId="56D55C93" w14:textId="77777777" w:rsidR="00CC4100" w:rsidRPr="006D6338" w:rsidRDefault="00CC4100" w:rsidP="00A44FCD">
            <w:pPr>
              <w:jc w:val="right"/>
              <w:rPr>
                <w:rFonts w:cs="Calibri"/>
                <w:b/>
                <w:bCs/>
                <w:color w:val="000000"/>
                <w:sz w:val="16"/>
                <w:szCs w:val="16"/>
              </w:rPr>
            </w:pPr>
          </w:p>
        </w:tc>
        <w:tc>
          <w:tcPr>
            <w:tcW w:w="1558" w:type="dxa"/>
            <w:tcBorders>
              <w:top w:val="single" w:sz="4" w:space="0" w:color="auto"/>
              <w:left w:val="nil"/>
              <w:bottom w:val="double" w:sz="4" w:space="0" w:color="auto"/>
              <w:right w:val="nil"/>
            </w:tcBorders>
            <w:vAlign w:val="bottom"/>
            <w:hideMark/>
          </w:tcPr>
          <w:p w14:paraId="524D6238" w14:textId="77777777" w:rsidR="00CC4100" w:rsidRPr="006D6338" w:rsidRDefault="00CC4100" w:rsidP="00A44FCD">
            <w:pPr>
              <w:jc w:val="right"/>
              <w:rPr>
                <w:rFonts w:cs="Calibri"/>
                <w:b/>
                <w:bCs/>
                <w:color w:val="000000"/>
                <w:sz w:val="16"/>
                <w:szCs w:val="16"/>
              </w:rPr>
            </w:pPr>
            <w:r w:rsidRPr="006D6338">
              <w:rPr>
                <w:rFonts w:ascii="Times New Roman" w:hAnsi="Times New Roman" w:cs="Calibri"/>
                <w:b/>
                <w:bCs/>
                <w:color w:val="000000"/>
                <w:sz w:val="16"/>
                <w:szCs w:val="16"/>
              </w:rPr>
              <w:t>10,562,947</w:t>
            </w:r>
          </w:p>
        </w:tc>
      </w:tr>
      <w:tr w:rsidR="00CC4100" w:rsidRPr="006D6338" w14:paraId="53C79A10" w14:textId="77777777" w:rsidTr="006D6338">
        <w:trPr>
          <w:trHeight w:val="20"/>
        </w:trPr>
        <w:tc>
          <w:tcPr>
            <w:tcW w:w="3261" w:type="dxa"/>
          </w:tcPr>
          <w:p w14:paraId="7AD2C9F0" w14:textId="77777777" w:rsidR="00CC4100" w:rsidRPr="006D6338" w:rsidRDefault="00CC4100" w:rsidP="00A44FCD">
            <w:pPr>
              <w:rPr>
                <w:rFonts w:cs="Calibri"/>
                <w:sz w:val="16"/>
                <w:szCs w:val="16"/>
              </w:rPr>
            </w:pPr>
          </w:p>
        </w:tc>
        <w:tc>
          <w:tcPr>
            <w:tcW w:w="1461" w:type="dxa"/>
            <w:tcBorders>
              <w:top w:val="double" w:sz="4" w:space="0" w:color="auto"/>
              <w:left w:val="nil"/>
              <w:bottom w:val="nil"/>
              <w:right w:val="nil"/>
            </w:tcBorders>
            <w:vAlign w:val="bottom"/>
          </w:tcPr>
          <w:p w14:paraId="0399E6AA" w14:textId="77777777" w:rsidR="00CC4100" w:rsidRPr="006D6338" w:rsidRDefault="00CC4100" w:rsidP="00A44FCD">
            <w:pPr>
              <w:jc w:val="right"/>
              <w:rPr>
                <w:rFonts w:cs="Calibri"/>
                <w:sz w:val="16"/>
                <w:szCs w:val="16"/>
              </w:rPr>
            </w:pPr>
          </w:p>
        </w:tc>
        <w:tc>
          <w:tcPr>
            <w:tcW w:w="299" w:type="dxa"/>
            <w:vAlign w:val="bottom"/>
          </w:tcPr>
          <w:p w14:paraId="4232BF94" w14:textId="77777777" w:rsidR="00CC4100" w:rsidRPr="006D6338" w:rsidRDefault="00CC4100" w:rsidP="00A44FCD">
            <w:pPr>
              <w:jc w:val="right"/>
              <w:rPr>
                <w:rFonts w:cs="Calibri"/>
                <w:sz w:val="16"/>
                <w:szCs w:val="16"/>
              </w:rPr>
            </w:pPr>
          </w:p>
        </w:tc>
        <w:tc>
          <w:tcPr>
            <w:tcW w:w="1506" w:type="dxa"/>
            <w:tcBorders>
              <w:top w:val="double" w:sz="4" w:space="0" w:color="auto"/>
              <w:left w:val="nil"/>
              <w:bottom w:val="nil"/>
              <w:right w:val="nil"/>
            </w:tcBorders>
            <w:vAlign w:val="bottom"/>
          </w:tcPr>
          <w:p w14:paraId="2FEC76F8" w14:textId="77777777" w:rsidR="00CC4100" w:rsidRPr="006D6338" w:rsidRDefault="00CC4100" w:rsidP="00A44FCD">
            <w:pPr>
              <w:jc w:val="right"/>
              <w:rPr>
                <w:rFonts w:cs="Calibri"/>
                <w:sz w:val="16"/>
                <w:szCs w:val="16"/>
              </w:rPr>
            </w:pPr>
          </w:p>
        </w:tc>
        <w:tc>
          <w:tcPr>
            <w:tcW w:w="284" w:type="dxa"/>
            <w:vAlign w:val="bottom"/>
          </w:tcPr>
          <w:p w14:paraId="1D9CD8A5" w14:textId="77777777" w:rsidR="00CC4100" w:rsidRPr="006D6338" w:rsidRDefault="00CC4100" w:rsidP="00A44FCD">
            <w:pPr>
              <w:jc w:val="right"/>
              <w:rPr>
                <w:rFonts w:cs="Calibri"/>
                <w:sz w:val="16"/>
                <w:szCs w:val="16"/>
              </w:rPr>
            </w:pPr>
          </w:p>
        </w:tc>
        <w:tc>
          <w:tcPr>
            <w:tcW w:w="1558" w:type="dxa"/>
            <w:tcBorders>
              <w:top w:val="double" w:sz="4" w:space="0" w:color="auto"/>
              <w:left w:val="nil"/>
              <w:bottom w:val="nil"/>
              <w:right w:val="nil"/>
            </w:tcBorders>
            <w:vAlign w:val="bottom"/>
          </w:tcPr>
          <w:p w14:paraId="252FEF89" w14:textId="77777777" w:rsidR="00CC4100" w:rsidRPr="006D6338" w:rsidRDefault="00CC4100" w:rsidP="00A44FCD">
            <w:pPr>
              <w:jc w:val="right"/>
              <w:rPr>
                <w:rFonts w:cs="Calibri"/>
                <w:sz w:val="16"/>
                <w:szCs w:val="16"/>
              </w:rPr>
            </w:pPr>
          </w:p>
        </w:tc>
        <w:tc>
          <w:tcPr>
            <w:tcW w:w="284" w:type="dxa"/>
            <w:vAlign w:val="bottom"/>
          </w:tcPr>
          <w:p w14:paraId="3B051A16" w14:textId="77777777" w:rsidR="00CC4100" w:rsidRPr="006D6338" w:rsidRDefault="00CC4100" w:rsidP="00A44FCD">
            <w:pPr>
              <w:jc w:val="right"/>
              <w:rPr>
                <w:rFonts w:cs="Calibri"/>
                <w:sz w:val="16"/>
                <w:szCs w:val="16"/>
              </w:rPr>
            </w:pPr>
          </w:p>
        </w:tc>
        <w:tc>
          <w:tcPr>
            <w:tcW w:w="1558" w:type="dxa"/>
            <w:tcBorders>
              <w:top w:val="double" w:sz="4" w:space="0" w:color="auto"/>
              <w:left w:val="nil"/>
              <w:bottom w:val="nil"/>
              <w:right w:val="nil"/>
            </w:tcBorders>
            <w:vAlign w:val="bottom"/>
          </w:tcPr>
          <w:p w14:paraId="4DC68420" w14:textId="77777777" w:rsidR="00CC4100" w:rsidRPr="006D6338" w:rsidRDefault="00CC4100" w:rsidP="00A44FCD">
            <w:pPr>
              <w:jc w:val="right"/>
              <w:rPr>
                <w:rFonts w:cs="Calibri"/>
                <w:sz w:val="16"/>
                <w:szCs w:val="16"/>
              </w:rPr>
            </w:pPr>
          </w:p>
        </w:tc>
      </w:tr>
    </w:tbl>
    <w:p w14:paraId="2B6E3ADF" w14:textId="77777777" w:rsidR="00CC4100" w:rsidRPr="006D6338" w:rsidRDefault="00CC4100" w:rsidP="00CC4100">
      <w:pPr>
        <w:widowControl w:val="0"/>
        <w:tabs>
          <w:tab w:val="left" w:pos="0"/>
        </w:tabs>
        <w:autoSpaceDE w:val="0"/>
        <w:autoSpaceDN w:val="0"/>
        <w:ind w:right="-24"/>
        <w:jc w:val="both"/>
        <w:rPr>
          <w:rFonts w:ascii="Calibri" w:eastAsia="Arial" w:hAnsi="Calibri" w:cs="Calibri"/>
          <w:sz w:val="16"/>
          <w:szCs w:val="16"/>
        </w:rPr>
      </w:pPr>
    </w:p>
    <w:p w14:paraId="3ED5356F"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All shares hold the same voting and dividend rights.</w:t>
      </w:r>
    </w:p>
    <w:p w14:paraId="146FB48D"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 xml:space="preserve">On 16 January 2026, the Company issued 13,774,827 ordinary shares at a price of £0.05 per ordinary share in respect of warrants exercised. Gross proceeds of £688,741 are presented net of a directly attributable bank charge of £12.  </w:t>
      </w:r>
    </w:p>
    <w:p w14:paraId="1C6E34CE"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 xml:space="preserve">On 20 February 2026, the Company issued 2,916,668 ordinary shares at a price of £0.05 per ordinary share in respect of warrants exercised. </w:t>
      </w:r>
    </w:p>
    <w:p w14:paraId="4AEC836C"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On 23 February 2026, the Company issued 554,545 ordinary shares at a price of £0.11 per ordinary share and 372,500 ordinary shares at a price of £0.10 per ordinary share to service providers in lieu of cash payments.</w:t>
      </w:r>
    </w:p>
    <w:p w14:paraId="6E7AB61A"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 xml:space="preserve">On 5 March 2026, the Company issued 5,000,000 ordinary shares at a price of £0.11 per ordinary share, raising a total of £550,000. </w:t>
      </w:r>
    </w:p>
    <w:p w14:paraId="74A8E48D"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On 6 May 2026, the Company issued 5,714,286 ordinary shares at a price of £0.0875 per ordinary share raising gross proceeds of £500,000. Share issue costs of £900 were incurred, resulting in net proceeds of £499,100.</w:t>
      </w:r>
    </w:p>
    <w:p w14:paraId="0E54DEA6"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On 19 May 2026, the Company issued 85,714 ordinary shares at a price of £0.0875 per ordinary share and 227,273 ordinary shares at a price of £0.11 per ordinary share to service providers in lieu of cash payments.</w:t>
      </w:r>
    </w:p>
    <w:p w14:paraId="68EE4FA8"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 xml:space="preserve">On 16 June 2026, the Company issued 466,667 ordinary shares at a price of £0.03 per ordinary share in respect of warrants exercised. </w:t>
      </w:r>
    </w:p>
    <w:p w14:paraId="1972D991" w14:textId="77777777" w:rsidR="00CC4100" w:rsidRPr="006D6338" w:rsidRDefault="00CC4100" w:rsidP="00CC4100">
      <w:pPr>
        <w:pStyle w:val="BodyText"/>
        <w:ind w:right="-12"/>
        <w:rPr>
          <w:rFonts w:ascii="Calibri" w:hAnsi="Calibri" w:cs="Calibri"/>
        </w:rPr>
      </w:pPr>
    </w:p>
    <w:p w14:paraId="66115AFA"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Share option reserve</w:t>
      </w:r>
    </w:p>
    <w:p w14:paraId="42DC17B7" w14:textId="77777777" w:rsidR="00CC4100" w:rsidRPr="006D6338" w:rsidRDefault="00CC4100" w:rsidP="00CC4100">
      <w:pPr>
        <w:widowControl w:val="0"/>
        <w:autoSpaceDE w:val="0"/>
        <w:autoSpaceDN w:val="0"/>
        <w:rPr>
          <w:rFonts w:ascii="Calibri" w:eastAsia="Arial" w:hAnsi="Calibri" w:cs="Calibri"/>
          <w:b/>
          <w:bCs/>
          <w:sz w:val="16"/>
          <w:szCs w:val="16"/>
        </w:rPr>
      </w:pPr>
    </w:p>
    <w:p w14:paraId="10869ABB"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 xml:space="preserve">During the period, the Group granted 8,345,751 warrants under the bonus warrant issue and issued a further 5,000,000 warrants to the lender in connection with the CLN financing agreement. The financing warrants are exercisable at £0.13125 per share, have a contractual term of three years and were not exercisable at 30 June 2026. During the period, 17,158,162 warrants were exercised and 1,099,431 warrants lapsed. </w:t>
      </w:r>
    </w:p>
    <w:p w14:paraId="15732435" w14:textId="77777777" w:rsidR="00002FD1" w:rsidRPr="006D6338" w:rsidRDefault="00002FD1" w:rsidP="00CC4100">
      <w:pPr>
        <w:spacing w:line="256" w:lineRule="auto"/>
        <w:rPr>
          <w:rFonts w:ascii="Calibri" w:eastAsia="Calibri" w:hAnsi="Calibri" w:cs="Calibri"/>
          <w:sz w:val="16"/>
          <w:szCs w:val="16"/>
        </w:rPr>
      </w:pPr>
    </w:p>
    <w:p w14:paraId="16EAA3D8" w14:textId="77777777" w:rsidR="00CC4100" w:rsidRPr="006D6338" w:rsidRDefault="00CC4100" w:rsidP="00CC4100">
      <w:pPr>
        <w:spacing w:line="256" w:lineRule="auto"/>
        <w:rPr>
          <w:rFonts w:ascii="Calibri" w:eastAsia="Calibri" w:hAnsi="Calibri" w:cs="Calibri"/>
          <w:sz w:val="16"/>
          <w:szCs w:val="16"/>
        </w:rPr>
      </w:pPr>
      <w:r w:rsidRPr="006D6338">
        <w:rPr>
          <w:rFonts w:ascii="Calibri" w:eastAsia="Calibri" w:hAnsi="Calibri" w:cs="Calibri"/>
          <w:sz w:val="16"/>
          <w:szCs w:val="16"/>
        </w:rPr>
        <w:t>As at 30 June 2026, the Group had 27,830,191 warrants outstanding, with a weighted-average exercise price of £0.08 and a weighted-average remaining contractual life of 1.19 years.</w:t>
      </w:r>
    </w:p>
    <w:p w14:paraId="429C59E1" w14:textId="77777777" w:rsidR="00CC4100" w:rsidRPr="006D6338" w:rsidRDefault="00CC4100" w:rsidP="00CC4100">
      <w:pPr>
        <w:spacing w:after="160" w:line="256" w:lineRule="auto"/>
        <w:rPr>
          <w:rFonts w:ascii="Calibri" w:eastAsia="Calibri" w:hAnsi="Calibri" w:cs="Calibri"/>
          <w:sz w:val="16"/>
          <w:szCs w:val="16"/>
        </w:rPr>
      </w:pPr>
      <w:r w:rsidRPr="006D6338">
        <w:rPr>
          <w:rFonts w:ascii="Calibri" w:eastAsia="Calibri" w:hAnsi="Calibri" w:cs="Calibri"/>
          <w:sz w:val="16"/>
          <w:szCs w:val="16"/>
        </w:rPr>
        <w:t>The movement in the share option reserve was as follows:</w:t>
      </w:r>
    </w:p>
    <w:tbl>
      <w:tblPr>
        <w:tblStyle w:val="TableGrid"/>
        <w:tblW w:w="10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4"/>
        <w:gridCol w:w="1596"/>
      </w:tblGrid>
      <w:tr w:rsidR="00CC4100" w:rsidRPr="006D6338" w14:paraId="01BDB544" w14:textId="77777777" w:rsidTr="00A44FCD">
        <w:trPr>
          <w:trHeight w:val="221"/>
        </w:trPr>
        <w:tc>
          <w:tcPr>
            <w:tcW w:w="8414" w:type="dxa"/>
          </w:tcPr>
          <w:p w14:paraId="0330E05D" w14:textId="77777777" w:rsidR="00CC4100" w:rsidRPr="006D6338" w:rsidRDefault="00CC4100" w:rsidP="00A44FCD">
            <w:pPr>
              <w:pStyle w:val="ListParagraph"/>
              <w:tabs>
                <w:tab w:val="left" w:pos="734"/>
              </w:tabs>
              <w:ind w:left="0" w:firstLine="0"/>
              <w:rPr>
                <w:rFonts w:ascii="Calibri" w:hAnsi="Calibri" w:cs="Calibri"/>
                <w:b/>
                <w:bCs/>
                <w:sz w:val="20"/>
              </w:rPr>
            </w:pPr>
          </w:p>
          <w:p w14:paraId="051BF82D" w14:textId="77777777" w:rsidR="00CC4100" w:rsidRPr="006D6338" w:rsidRDefault="00CC4100" w:rsidP="00A44FCD">
            <w:pPr>
              <w:pStyle w:val="ListParagraph"/>
              <w:tabs>
                <w:tab w:val="left" w:pos="734"/>
              </w:tabs>
              <w:ind w:left="0" w:firstLine="0"/>
              <w:rPr>
                <w:rFonts w:ascii="Calibri" w:hAnsi="Calibri" w:cs="Calibri"/>
                <w:b/>
                <w:bCs/>
                <w:sz w:val="20"/>
              </w:rPr>
            </w:pPr>
          </w:p>
          <w:p w14:paraId="1D0C8628" w14:textId="77777777" w:rsidR="00CC4100" w:rsidRPr="006D6338" w:rsidRDefault="00CC4100" w:rsidP="00A44FCD">
            <w:pPr>
              <w:pStyle w:val="ListParagraph"/>
              <w:tabs>
                <w:tab w:val="left" w:pos="734"/>
              </w:tabs>
              <w:ind w:left="0" w:firstLine="0"/>
              <w:rPr>
                <w:rFonts w:ascii="Calibri" w:hAnsi="Calibri" w:cs="Calibri"/>
                <w:b/>
                <w:bCs/>
                <w:sz w:val="20"/>
              </w:rPr>
            </w:pPr>
          </w:p>
          <w:p w14:paraId="048372AA" w14:textId="77777777" w:rsidR="00CC4100" w:rsidRPr="006D6338" w:rsidRDefault="00CC4100" w:rsidP="00A44FCD">
            <w:pPr>
              <w:pStyle w:val="ListParagraph"/>
              <w:tabs>
                <w:tab w:val="left" w:pos="734"/>
              </w:tabs>
              <w:ind w:left="0" w:firstLine="0"/>
              <w:rPr>
                <w:rFonts w:ascii="Calibri" w:hAnsi="Calibri" w:cs="Calibri"/>
                <w:b/>
                <w:bCs/>
                <w:sz w:val="20"/>
              </w:rPr>
            </w:pPr>
          </w:p>
        </w:tc>
        <w:tc>
          <w:tcPr>
            <w:tcW w:w="1596" w:type="dxa"/>
          </w:tcPr>
          <w:p w14:paraId="41D29031"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r w:rsidRPr="006D6338">
              <w:rPr>
                <w:rFonts w:ascii="Calibri" w:hAnsi="Calibri" w:cs="Calibri"/>
                <w:b/>
                <w:sz w:val="16"/>
                <w:szCs w:val="16"/>
              </w:rPr>
              <w:t xml:space="preserve">Share option reserve </w:t>
            </w:r>
          </w:p>
          <w:p w14:paraId="45F276A0"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r w:rsidRPr="006D6338">
              <w:rPr>
                <w:rFonts w:ascii="Calibri" w:hAnsi="Calibri" w:cs="Calibri"/>
                <w:b/>
                <w:sz w:val="16"/>
                <w:szCs w:val="16"/>
              </w:rPr>
              <w:t>£</w:t>
            </w:r>
          </w:p>
        </w:tc>
      </w:tr>
      <w:tr w:rsidR="00CC4100" w:rsidRPr="006D6338" w14:paraId="659D8D59" w14:textId="77777777" w:rsidTr="00A44FCD">
        <w:trPr>
          <w:trHeight w:val="221"/>
        </w:trPr>
        <w:tc>
          <w:tcPr>
            <w:tcW w:w="8414" w:type="dxa"/>
          </w:tcPr>
          <w:p w14:paraId="65DF9CB6" w14:textId="77777777" w:rsidR="00CC4100" w:rsidRPr="006D6338" w:rsidRDefault="00CC4100" w:rsidP="00A44FCD">
            <w:pPr>
              <w:widowControl w:val="0"/>
              <w:autoSpaceDE w:val="0"/>
              <w:autoSpaceDN w:val="0"/>
              <w:rPr>
                <w:rFonts w:ascii="Calibri" w:eastAsia="Arial" w:hAnsi="Calibri" w:cs="Calibri"/>
                <w:b/>
                <w:sz w:val="16"/>
                <w:szCs w:val="16"/>
              </w:rPr>
            </w:pPr>
            <w:r w:rsidRPr="006D6338">
              <w:rPr>
                <w:rFonts w:ascii="Calibri" w:eastAsia="Arial" w:hAnsi="Calibri" w:cs="Calibri"/>
                <w:b/>
                <w:sz w:val="16"/>
                <w:szCs w:val="16"/>
              </w:rPr>
              <w:t>At 1 January 2025</w:t>
            </w:r>
          </w:p>
        </w:tc>
        <w:tc>
          <w:tcPr>
            <w:tcW w:w="1596" w:type="dxa"/>
          </w:tcPr>
          <w:p w14:paraId="4E8BD600"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288,122</w:t>
            </w:r>
          </w:p>
        </w:tc>
      </w:tr>
      <w:tr w:rsidR="00CC4100" w:rsidRPr="006D6338" w14:paraId="5D5A4E69" w14:textId="77777777" w:rsidTr="00A44FCD">
        <w:trPr>
          <w:trHeight w:val="221"/>
        </w:trPr>
        <w:tc>
          <w:tcPr>
            <w:tcW w:w="8414" w:type="dxa"/>
          </w:tcPr>
          <w:p w14:paraId="684476E1" w14:textId="77777777" w:rsidR="00CC4100" w:rsidRPr="006D6338" w:rsidRDefault="00CC4100" w:rsidP="00A44FCD">
            <w:pPr>
              <w:widowControl w:val="0"/>
              <w:autoSpaceDE w:val="0"/>
              <w:autoSpaceDN w:val="0"/>
              <w:rPr>
                <w:rFonts w:ascii="Calibri" w:eastAsia="Arial" w:hAnsi="Calibri" w:cs="Calibri"/>
                <w:b/>
                <w:sz w:val="16"/>
                <w:szCs w:val="16"/>
              </w:rPr>
            </w:pPr>
            <w:r w:rsidRPr="006D6338">
              <w:rPr>
                <w:rFonts w:ascii="Calibri" w:hAnsi="Calibri" w:cs="Calibri"/>
                <w:bCs/>
                <w:sz w:val="16"/>
                <w:szCs w:val="16"/>
              </w:rPr>
              <w:t>Lapsed in period</w:t>
            </w:r>
          </w:p>
        </w:tc>
        <w:tc>
          <w:tcPr>
            <w:tcW w:w="1596" w:type="dxa"/>
            <w:tcBorders>
              <w:bottom w:val="single" w:sz="4" w:space="0" w:color="auto"/>
            </w:tcBorders>
          </w:tcPr>
          <w:p w14:paraId="259196FE"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(128,761)</w:t>
            </w:r>
          </w:p>
        </w:tc>
      </w:tr>
      <w:tr w:rsidR="00CC4100" w:rsidRPr="006D6338" w14:paraId="0AEF769F" w14:textId="77777777" w:rsidTr="00A44FCD">
        <w:trPr>
          <w:trHeight w:val="221"/>
        </w:trPr>
        <w:tc>
          <w:tcPr>
            <w:tcW w:w="8414" w:type="dxa"/>
          </w:tcPr>
          <w:p w14:paraId="6C7EFE90" w14:textId="77777777" w:rsidR="00CC4100" w:rsidRPr="006D6338" w:rsidRDefault="00CC4100" w:rsidP="00A44FCD">
            <w:pPr>
              <w:widowControl w:val="0"/>
              <w:autoSpaceDE w:val="0"/>
              <w:autoSpaceDN w:val="0"/>
              <w:spacing w:before="240"/>
              <w:rPr>
                <w:rFonts w:ascii="Calibri" w:eastAsia="Arial" w:hAnsi="Calibri" w:cs="Calibri"/>
                <w:b/>
                <w:sz w:val="16"/>
                <w:szCs w:val="16"/>
              </w:rPr>
            </w:pPr>
            <w:r w:rsidRPr="006D6338">
              <w:rPr>
                <w:rFonts w:ascii="Calibri" w:eastAsia="Arial" w:hAnsi="Calibri" w:cs="Calibri"/>
                <w:b/>
                <w:sz w:val="16"/>
                <w:szCs w:val="16"/>
              </w:rPr>
              <w:t>At 30 June 2025</w:t>
            </w:r>
          </w:p>
        </w:tc>
        <w:tc>
          <w:tcPr>
            <w:tcW w:w="1596" w:type="dxa"/>
            <w:tcBorders>
              <w:top w:val="single" w:sz="4" w:space="0" w:color="auto"/>
              <w:bottom w:val="double" w:sz="4" w:space="0" w:color="auto"/>
            </w:tcBorders>
          </w:tcPr>
          <w:p w14:paraId="5EF8D425" w14:textId="77777777" w:rsidR="00CC4100" w:rsidRPr="006D6338" w:rsidRDefault="00CC4100" w:rsidP="00A44FCD">
            <w:pPr>
              <w:widowControl w:val="0"/>
              <w:autoSpaceDE w:val="0"/>
              <w:autoSpaceDN w:val="0"/>
              <w:spacing w:before="240" w:line="276" w:lineRule="auto"/>
              <w:ind w:left="421" w:right="52" w:hanging="135"/>
              <w:jc w:val="right"/>
              <w:rPr>
                <w:rFonts w:ascii="Calibri" w:eastAsia="Arial" w:hAnsi="Calibri" w:cs="Calibri"/>
                <w:b/>
                <w:spacing w:val="-2"/>
                <w:sz w:val="16"/>
                <w:szCs w:val="16"/>
              </w:rPr>
            </w:pPr>
            <w:r w:rsidRPr="006D6338">
              <w:rPr>
                <w:rFonts w:ascii="Calibri" w:eastAsia="Arial" w:hAnsi="Calibri" w:cs="Calibri"/>
                <w:b/>
                <w:spacing w:val="-2"/>
                <w:sz w:val="16"/>
                <w:szCs w:val="16"/>
              </w:rPr>
              <w:t>159,361</w:t>
            </w:r>
          </w:p>
        </w:tc>
      </w:tr>
      <w:tr w:rsidR="00CC4100" w:rsidRPr="006D6338" w14:paraId="08824E1A" w14:textId="77777777" w:rsidTr="00A44FCD">
        <w:trPr>
          <w:trHeight w:val="221"/>
        </w:trPr>
        <w:tc>
          <w:tcPr>
            <w:tcW w:w="8414" w:type="dxa"/>
          </w:tcPr>
          <w:p w14:paraId="1FA669CF" w14:textId="77777777" w:rsidR="00CC4100" w:rsidRPr="006D6338" w:rsidRDefault="00CC4100" w:rsidP="00A44FCD">
            <w:pPr>
              <w:widowControl w:val="0"/>
              <w:autoSpaceDE w:val="0"/>
              <w:autoSpaceDN w:val="0"/>
              <w:rPr>
                <w:rFonts w:ascii="Calibri" w:eastAsia="Arial" w:hAnsi="Calibri" w:cs="Calibri"/>
                <w:b/>
                <w:sz w:val="16"/>
                <w:szCs w:val="16"/>
              </w:rPr>
            </w:pPr>
          </w:p>
        </w:tc>
        <w:tc>
          <w:tcPr>
            <w:tcW w:w="1596" w:type="dxa"/>
            <w:tcBorders>
              <w:top w:val="double" w:sz="4" w:space="0" w:color="auto"/>
            </w:tcBorders>
          </w:tcPr>
          <w:p w14:paraId="4E35FEF1"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r>
      <w:tr w:rsidR="00CC4100" w:rsidRPr="006D6338" w14:paraId="69946BC5" w14:textId="77777777" w:rsidTr="00A44FCD">
        <w:trPr>
          <w:trHeight w:val="221"/>
        </w:trPr>
        <w:tc>
          <w:tcPr>
            <w:tcW w:w="8414" w:type="dxa"/>
          </w:tcPr>
          <w:p w14:paraId="09FAFA2A" w14:textId="77777777" w:rsidR="00CC4100" w:rsidRPr="006D6338" w:rsidRDefault="00CC4100" w:rsidP="00A44FCD">
            <w:pPr>
              <w:widowControl w:val="0"/>
              <w:autoSpaceDE w:val="0"/>
              <w:autoSpaceDN w:val="0"/>
              <w:rPr>
                <w:rFonts w:ascii="Calibri" w:eastAsia="Arial" w:hAnsi="Calibri" w:cs="Calibri"/>
                <w:b/>
                <w:sz w:val="16"/>
                <w:szCs w:val="16"/>
              </w:rPr>
            </w:pPr>
          </w:p>
        </w:tc>
        <w:tc>
          <w:tcPr>
            <w:tcW w:w="1596" w:type="dxa"/>
          </w:tcPr>
          <w:p w14:paraId="7C5BD201"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r>
      <w:tr w:rsidR="00CC4100" w:rsidRPr="006D6338" w14:paraId="0CBA1359" w14:textId="77777777" w:rsidTr="00A44FCD">
        <w:trPr>
          <w:trHeight w:val="221"/>
        </w:trPr>
        <w:tc>
          <w:tcPr>
            <w:tcW w:w="8414" w:type="dxa"/>
          </w:tcPr>
          <w:p w14:paraId="7DF744B2" w14:textId="77777777" w:rsidR="00CC4100" w:rsidRPr="006D6338" w:rsidRDefault="00CC4100" w:rsidP="00A44FCD">
            <w:pPr>
              <w:widowControl w:val="0"/>
              <w:autoSpaceDE w:val="0"/>
              <w:autoSpaceDN w:val="0"/>
              <w:rPr>
                <w:rFonts w:ascii="Calibri" w:hAnsi="Calibri" w:cs="Calibri"/>
                <w:b/>
                <w:bCs/>
                <w:sz w:val="20"/>
              </w:rPr>
            </w:pPr>
            <w:r w:rsidRPr="006D6338">
              <w:rPr>
                <w:rFonts w:ascii="Calibri" w:eastAsia="Arial" w:hAnsi="Calibri" w:cs="Calibri"/>
                <w:b/>
                <w:sz w:val="16"/>
                <w:szCs w:val="16"/>
              </w:rPr>
              <w:t>At 1 January 2025</w:t>
            </w:r>
          </w:p>
        </w:tc>
        <w:tc>
          <w:tcPr>
            <w:tcW w:w="1596" w:type="dxa"/>
          </w:tcPr>
          <w:p w14:paraId="1213629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288,122</w:t>
            </w:r>
          </w:p>
        </w:tc>
      </w:tr>
      <w:tr w:rsidR="00CC4100" w:rsidRPr="006D6338" w14:paraId="21530F6E" w14:textId="77777777" w:rsidTr="00A44FCD">
        <w:trPr>
          <w:trHeight w:val="221"/>
        </w:trPr>
        <w:tc>
          <w:tcPr>
            <w:tcW w:w="8414" w:type="dxa"/>
          </w:tcPr>
          <w:p w14:paraId="598504AA" w14:textId="77777777" w:rsidR="00CC4100" w:rsidRPr="006D6338" w:rsidRDefault="00CC4100" w:rsidP="00A44FCD">
            <w:pPr>
              <w:pStyle w:val="ListParagraph"/>
              <w:tabs>
                <w:tab w:val="left" w:pos="734"/>
              </w:tabs>
              <w:ind w:left="0" w:firstLine="0"/>
              <w:rPr>
                <w:rFonts w:ascii="Calibri" w:hAnsi="Calibri" w:cs="Calibri"/>
                <w:sz w:val="20"/>
              </w:rPr>
            </w:pPr>
            <w:r w:rsidRPr="006D6338">
              <w:rPr>
                <w:rFonts w:ascii="Calibri" w:hAnsi="Calibri" w:cs="Calibri"/>
                <w:bCs/>
                <w:sz w:val="16"/>
                <w:szCs w:val="16"/>
              </w:rPr>
              <w:t>Issued in the year</w:t>
            </w:r>
          </w:p>
        </w:tc>
        <w:tc>
          <w:tcPr>
            <w:tcW w:w="1596" w:type="dxa"/>
          </w:tcPr>
          <w:p w14:paraId="5F10C499"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99,863</w:t>
            </w:r>
          </w:p>
        </w:tc>
      </w:tr>
      <w:tr w:rsidR="00CC4100" w:rsidRPr="006D6338" w14:paraId="0BD42ADA" w14:textId="77777777" w:rsidTr="00A44FCD">
        <w:trPr>
          <w:trHeight w:val="221"/>
        </w:trPr>
        <w:tc>
          <w:tcPr>
            <w:tcW w:w="8414" w:type="dxa"/>
          </w:tcPr>
          <w:p w14:paraId="0A83AD61" w14:textId="77777777" w:rsidR="00CC4100" w:rsidRPr="006D6338" w:rsidRDefault="00CC4100" w:rsidP="00A44FCD">
            <w:pPr>
              <w:pStyle w:val="ListParagraph"/>
              <w:tabs>
                <w:tab w:val="left" w:pos="734"/>
              </w:tabs>
              <w:ind w:left="0" w:firstLine="0"/>
              <w:rPr>
                <w:rFonts w:ascii="Calibri" w:hAnsi="Calibri" w:cs="Calibri"/>
                <w:bCs/>
                <w:sz w:val="16"/>
                <w:szCs w:val="16"/>
              </w:rPr>
            </w:pPr>
            <w:r w:rsidRPr="006D6338">
              <w:rPr>
                <w:rFonts w:ascii="Calibri" w:hAnsi="Calibri" w:cs="Calibri"/>
                <w:bCs/>
                <w:sz w:val="16"/>
                <w:szCs w:val="16"/>
              </w:rPr>
              <w:t>Other movements</w:t>
            </w:r>
          </w:p>
        </w:tc>
        <w:tc>
          <w:tcPr>
            <w:tcW w:w="1596" w:type="dxa"/>
          </w:tcPr>
          <w:p w14:paraId="789F217A"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(61)</w:t>
            </w:r>
          </w:p>
        </w:tc>
      </w:tr>
      <w:tr w:rsidR="00CC4100" w:rsidRPr="006D6338" w14:paraId="553C28EC" w14:textId="77777777" w:rsidTr="00A44FCD">
        <w:trPr>
          <w:trHeight w:val="221"/>
        </w:trPr>
        <w:tc>
          <w:tcPr>
            <w:tcW w:w="8414" w:type="dxa"/>
          </w:tcPr>
          <w:p w14:paraId="657CA577" w14:textId="77777777" w:rsidR="00CC4100" w:rsidRPr="006D6338" w:rsidRDefault="00CC4100" w:rsidP="00A44FCD">
            <w:pPr>
              <w:pStyle w:val="ListParagraph"/>
              <w:tabs>
                <w:tab w:val="left" w:pos="734"/>
              </w:tabs>
              <w:ind w:left="0" w:firstLine="0"/>
              <w:rPr>
                <w:rFonts w:ascii="Calibri" w:hAnsi="Calibri" w:cs="Calibri"/>
                <w:bCs/>
                <w:sz w:val="16"/>
                <w:szCs w:val="16"/>
              </w:rPr>
            </w:pPr>
            <w:r w:rsidRPr="006D6338">
              <w:rPr>
                <w:rFonts w:ascii="Calibri" w:hAnsi="Calibri" w:cs="Calibri"/>
                <w:bCs/>
                <w:sz w:val="16"/>
                <w:szCs w:val="16"/>
              </w:rPr>
              <w:t>Lapsed in year</w:t>
            </w:r>
          </w:p>
        </w:tc>
        <w:tc>
          <w:tcPr>
            <w:tcW w:w="1596" w:type="dxa"/>
          </w:tcPr>
          <w:p w14:paraId="79E4AFE0"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(128,761)</w:t>
            </w:r>
          </w:p>
        </w:tc>
      </w:tr>
      <w:tr w:rsidR="00CC4100" w:rsidRPr="006D6338" w14:paraId="407A2824" w14:textId="77777777" w:rsidTr="00A44FCD">
        <w:trPr>
          <w:trHeight w:val="221"/>
        </w:trPr>
        <w:tc>
          <w:tcPr>
            <w:tcW w:w="8414" w:type="dxa"/>
          </w:tcPr>
          <w:p w14:paraId="7FFACC02" w14:textId="77777777" w:rsidR="00CC4100" w:rsidRPr="006D6338" w:rsidRDefault="00CC4100" w:rsidP="00A44FCD">
            <w:pPr>
              <w:pStyle w:val="ListParagraph"/>
              <w:tabs>
                <w:tab w:val="left" w:pos="734"/>
              </w:tabs>
              <w:ind w:left="0" w:firstLine="0"/>
              <w:rPr>
                <w:rFonts w:ascii="Calibri" w:hAnsi="Calibri" w:cs="Calibri"/>
                <w:sz w:val="20"/>
              </w:rPr>
            </w:pPr>
          </w:p>
        </w:tc>
        <w:tc>
          <w:tcPr>
            <w:tcW w:w="1596" w:type="dxa"/>
            <w:tcBorders>
              <w:top w:val="single" w:sz="4" w:space="0" w:color="auto"/>
            </w:tcBorders>
          </w:tcPr>
          <w:p w14:paraId="5371669B"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r>
      <w:tr w:rsidR="00CC4100" w:rsidRPr="006D6338" w14:paraId="7868A68F" w14:textId="77777777" w:rsidTr="00A44FCD">
        <w:trPr>
          <w:trHeight w:val="221"/>
        </w:trPr>
        <w:tc>
          <w:tcPr>
            <w:tcW w:w="8414" w:type="dxa"/>
          </w:tcPr>
          <w:p w14:paraId="2962D322" w14:textId="77777777" w:rsidR="00CC4100" w:rsidRPr="006D6338" w:rsidRDefault="00CC4100" w:rsidP="00A44FCD">
            <w:pPr>
              <w:widowControl w:val="0"/>
              <w:autoSpaceDE w:val="0"/>
              <w:autoSpaceDN w:val="0"/>
              <w:rPr>
                <w:rFonts w:ascii="Calibri" w:hAnsi="Calibri" w:cs="Calibri"/>
                <w:b/>
                <w:bCs/>
                <w:sz w:val="20"/>
              </w:rPr>
            </w:pPr>
            <w:r w:rsidRPr="006D6338">
              <w:rPr>
                <w:rFonts w:ascii="Calibri" w:eastAsia="Arial" w:hAnsi="Calibri" w:cs="Calibri"/>
                <w:b/>
                <w:sz w:val="16"/>
                <w:szCs w:val="16"/>
              </w:rPr>
              <w:t>At 31 December 2025</w:t>
            </w:r>
          </w:p>
        </w:tc>
        <w:tc>
          <w:tcPr>
            <w:tcW w:w="1596" w:type="dxa"/>
            <w:tcBorders>
              <w:bottom w:val="double" w:sz="4" w:space="0" w:color="auto"/>
            </w:tcBorders>
          </w:tcPr>
          <w:p w14:paraId="4F4A81F6"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259,163</w:t>
            </w:r>
          </w:p>
        </w:tc>
      </w:tr>
      <w:tr w:rsidR="00CC4100" w:rsidRPr="006D6338" w14:paraId="2FBC2A2F" w14:textId="77777777" w:rsidTr="00A44FCD">
        <w:trPr>
          <w:trHeight w:val="221"/>
        </w:trPr>
        <w:tc>
          <w:tcPr>
            <w:tcW w:w="8414" w:type="dxa"/>
          </w:tcPr>
          <w:p w14:paraId="61CAC73D" w14:textId="77777777" w:rsidR="00CC4100" w:rsidRPr="006D6338" w:rsidRDefault="00CC4100" w:rsidP="00A44FCD">
            <w:pPr>
              <w:pStyle w:val="ListParagraph"/>
              <w:tabs>
                <w:tab w:val="left" w:pos="734"/>
              </w:tabs>
              <w:ind w:left="0" w:firstLine="0"/>
              <w:rPr>
                <w:rFonts w:ascii="Calibri" w:hAnsi="Calibri" w:cs="Calibri"/>
                <w:sz w:val="20"/>
              </w:rPr>
            </w:pPr>
          </w:p>
        </w:tc>
        <w:tc>
          <w:tcPr>
            <w:tcW w:w="1596" w:type="dxa"/>
            <w:tcBorders>
              <w:top w:val="double" w:sz="4" w:space="0" w:color="auto"/>
            </w:tcBorders>
          </w:tcPr>
          <w:p w14:paraId="3B4A62C6"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r>
      <w:tr w:rsidR="00CC4100" w:rsidRPr="006D6338" w14:paraId="737A4EA1" w14:textId="77777777" w:rsidTr="00A44FCD">
        <w:trPr>
          <w:trHeight w:val="221"/>
        </w:trPr>
        <w:tc>
          <w:tcPr>
            <w:tcW w:w="8414" w:type="dxa"/>
          </w:tcPr>
          <w:p w14:paraId="60AB2843" w14:textId="77777777" w:rsidR="00CC4100" w:rsidRPr="006D6338" w:rsidRDefault="00CC4100" w:rsidP="00A44FCD">
            <w:pPr>
              <w:widowControl w:val="0"/>
              <w:autoSpaceDE w:val="0"/>
              <w:autoSpaceDN w:val="0"/>
              <w:rPr>
                <w:rFonts w:ascii="Calibri" w:hAnsi="Calibri" w:cs="Calibri"/>
                <w:b/>
                <w:bCs/>
                <w:sz w:val="20"/>
              </w:rPr>
            </w:pPr>
          </w:p>
        </w:tc>
        <w:tc>
          <w:tcPr>
            <w:tcW w:w="1596" w:type="dxa"/>
          </w:tcPr>
          <w:p w14:paraId="21346E5B"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p>
        </w:tc>
      </w:tr>
      <w:tr w:rsidR="00CC4100" w:rsidRPr="006D6338" w14:paraId="009F87F5" w14:textId="77777777" w:rsidTr="00A44FCD">
        <w:trPr>
          <w:trHeight w:val="221"/>
        </w:trPr>
        <w:tc>
          <w:tcPr>
            <w:tcW w:w="8414" w:type="dxa"/>
          </w:tcPr>
          <w:p w14:paraId="362771D2" w14:textId="77777777" w:rsidR="00CC4100" w:rsidRPr="006D6338" w:rsidRDefault="00CC4100" w:rsidP="00A44FCD">
            <w:pPr>
              <w:pStyle w:val="ListParagraph"/>
              <w:tabs>
                <w:tab w:val="left" w:pos="734"/>
              </w:tabs>
              <w:ind w:left="0" w:firstLine="0"/>
              <w:rPr>
                <w:rFonts w:ascii="Calibri" w:hAnsi="Calibri" w:cs="Calibri"/>
                <w:b/>
                <w:sz w:val="16"/>
                <w:szCs w:val="16"/>
              </w:rPr>
            </w:pPr>
            <w:r w:rsidRPr="006D6338">
              <w:rPr>
                <w:rFonts w:ascii="Calibri" w:hAnsi="Calibri" w:cs="Calibri"/>
                <w:b/>
                <w:sz w:val="16"/>
                <w:szCs w:val="16"/>
              </w:rPr>
              <w:t xml:space="preserve">At 1 January 2026 </w:t>
            </w:r>
          </w:p>
        </w:tc>
        <w:tc>
          <w:tcPr>
            <w:tcW w:w="1596" w:type="dxa"/>
          </w:tcPr>
          <w:p w14:paraId="22465E6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259,163</w:t>
            </w:r>
          </w:p>
        </w:tc>
      </w:tr>
      <w:tr w:rsidR="00CC4100" w:rsidRPr="006D6338" w14:paraId="3665E173" w14:textId="77777777" w:rsidTr="00A44FCD">
        <w:trPr>
          <w:trHeight w:val="221"/>
        </w:trPr>
        <w:tc>
          <w:tcPr>
            <w:tcW w:w="8414" w:type="dxa"/>
          </w:tcPr>
          <w:p w14:paraId="032F77E2" w14:textId="77777777" w:rsidR="00CC4100" w:rsidRPr="006D6338" w:rsidRDefault="00CC4100" w:rsidP="00A44FCD">
            <w:pPr>
              <w:pStyle w:val="ListParagraph"/>
              <w:tabs>
                <w:tab w:val="left" w:pos="734"/>
              </w:tabs>
              <w:ind w:left="0" w:firstLine="0"/>
              <w:rPr>
                <w:rFonts w:ascii="Calibri" w:hAnsi="Calibri" w:cs="Calibri"/>
                <w:bCs/>
                <w:sz w:val="16"/>
                <w:szCs w:val="16"/>
              </w:rPr>
            </w:pPr>
            <w:r w:rsidRPr="006D6338">
              <w:rPr>
                <w:rFonts w:ascii="Calibri" w:hAnsi="Calibri" w:cs="Calibri"/>
                <w:bCs/>
                <w:sz w:val="16"/>
                <w:szCs w:val="16"/>
              </w:rPr>
              <w:t>Issued in the period</w:t>
            </w:r>
          </w:p>
        </w:tc>
        <w:tc>
          <w:tcPr>
            <w:tcW w:w="1596" w:type="dxa"/>
          </w:tcPr>
          <w:p w14:paraId="4F16BD38"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164,084</w:t>
            </w:r>
          </w:p>
        </w:tc>
      </w:tr>
      <w:tr w:rsidR="00CC4100" w:rsidRPr="006D6338" w14:paraId="7EE8B884" w14:textId="77777777" w:rsidTr="00A44FCD">
        <w:trPr>
          <w:trHeight w:val="221"/>
        </w:trPr>
        <w:tc>
          <w:tcPr>
            <w:tcW w:w="8414" w:type="dxa"/>
          </w:tcPr>
          <w:p w14:paraId="7D86CAAC" w14:textId="77777777" w:rsidR="00CC4100" w:rsidRPr="006D6338" w:rsidRDefault="00CC4100" w:rsidP="00A44FCD">
            <w:pPr>
              <w:pStyle w:val="ListParagraph"/>
              <w:tabs>
                <w:tab w:val="left" w:pos="734"/>
              </w:tabs>
              <w:ind w:left="0" w:firstLine="0"/>
              <w:rPr>
                <w:rFonts w:ascii="Calibri" w:hAnsi="Calibri" w:cs="Calibri"/>
                <w:bCs/>
                <w:sz w:val="16"/>
                <w:szCs w:val="16"/>
              </w:rPr>
            </w:pPr>
            <w:r w:rsidRPr="006D6338">
              <w:rPr>
                <w:rFonts w:ascii="Calibri" w:hAnsi="Calibri" w:cs="Calibri"/>
                <w:bCs/>
                <w:sz w:val="16"/>
                <w:szCs w:val="16"/>
              </w:rPr>
              <w:t>Exercised in period</w:t>
            </w:r>
          </w:p>
        </w:tc>
        <w:tc>
          <w:tcPr>
            <w:tcW w:w="1596" w:type="dxa"/>
          </w:tcPr>
          <w:p w14:paraId="371A16C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(147,730)</w:t>
            </w:r>
          </w:p>
        </w:tc>
      </w:tr>
      <w:tr w:rsidR="00CC4100" w:rsidRPr="006D6338" w14:paraId="60E54532" w14:textId="77777777" w:rsidTr="00A44FCD">
        <w:trPr>
          <w:trHeight w:val="221"/>
        </w:trPr>
        <w:tc>
          <w:tcPr>
            <w:tcW w:w="8414" w:type="dxa"/>
          </w:tcPr>
          <w:p w14:paraId="40FB9331" w14:textId="77777777" w:rsidR="00CC4100" w:rsidRPr="006D6338" w:rsidRDefault="00CC4100" w:rsidP="00A44FCD">
            <w:pPr>
              <w:pStyle w:val="ListParagraph"/>
              <w:tabs>
                <w:tab w:val="left" w:pos="734"/>
              </w:tabs>
              <w:ind w:left="0" w:firstLine="0"/>
              <w:rPr>
                <w:rFonts w:ascii="Calibri" w:hAnsi="Calibri" w:cs="Calibri"/>
                <w:bCs/>
                <w:sz w:val="16"/>
                <w:szCs w:val="16"/>
              </w:rPr>
            </w:pPr>
            <w:r w:rsidRPr="006D6338">
              <w:rPr>
                <w:rFonts w:ascii="Calibri" w:hAnsi="Calibri" w:cs="Calibri"/>
                <w:bCs/>
                <w:sz w:val="16"/>
                <w:szCs w:val="16"/>
              </w:rPr>
              <w:t>Lapsed in period</w:t>
            </w:r>
          </w:p>
        </w:tc>
        <w:tc>
          <w:tcPr>
            <w:tcW w:w="1596" w:type="dxa"/>
            <w:tcBorders>
              <w:bottom w:val="single" w:sz="4" w:space="0" w:color="auto"/>
            </w:tcBorders>
          </w:tcPr>
          <w:p w14:paraId="0E4AA69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(72,844)</w:t>
            </w:r>
          </w:p>
        </w:tc>
      </w:tr>
      <w:tr w:rsidR="00CC4100" w:rsidRPr="006D6338" w14:paraId="66016338" w14:textId="77777777" w:rsidTr="00A44FCD">
        <w:trPr>
          <w:trHeight w:val="221"/>
        </w:trPr>
        <w:tc>
          <w:tcPr>
            <w:tcW w:w="8414" w:type="dxa"/>
          </w:tcPr>
          <w:p w14:paraId="569C694D" w14:textId="77777777" w:rsidR="00CC4100" w:rsidRPr="006D6338" w:rsidRDefault="00CC4100" w:rsidP="00A44FCD">
            <w:pPr>
              <w:pStyle w:val="ListParagraph"/>
              <w:tabs>
                <w:tab w:val="left" w:pos="734"/>
              </w:tabs>
              <w:ind w:left="0" w:firstLine="0"/>
              <w:rPr>
                <w:rFonts w:ascii="Calibri" w:hAnsi="Calibri" w:cs="Calibri"/>
                <w:sz w:val="20"/>
              </w:rPr>
            </w:pPr>
          </w:p>
        </w:tc>
        <w:tc>
          <w:tcPr>
            <w:tcW w:w="1596" w:type="dxa"/>
            <w:tcBorders>
              <w:top w:val="single" w:sz="4" w:space="0" w:color="auto"/>
            </w:tcBorders>
          </w:tcPr>
          <w:p w14:paraId="49809C8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r>
      <w:tr w:rsidR="00CC4100" w:rsidRPr="006D6338" w14:paraId="2A8CF28F" w14:textId="77777777" w:rsidTr="00A44FCD">
        <w:trPr>
          <w:trHeight w:val="221"/>
        </w:trPr>
        <w:tc>
          <w:tcPr>
            <w:tcW w:w="8414" w:type="dxa"/>
          </w:tcPr>
          <w:p w14:paraId="5E48516E" w14:textId="77777777" w:rsidR="00CC4100" w:rsidRPr="006D6338" w:rsidRDefault="00CC4100" w:rsidP="00A44FCD">
            <w:pPr>
              <w:widowControl w:val="0"/>
              <w:autoSpaceDE w:val="0"/>
              <w:autoSpaceDN w:val="0"/>
              <w:rPr>
                <w:rFonts w:ascii="Calibri" w:hAnsi="Calibri" w:cs="Calibri"/>
                <w:b/>
                <w:bCs/>
                <w:sz w:val="20"/>
              </w:rPr>
            </w:pPr>
            <w:r w:rsidRPr="006D6338">
              <w:rPr>
                <w:rFonts w:ascii="Calibri" w:eastAsia="Arial" w:hAnsi="Calibri" w:cs="Calibri"/>
                <w:b/>
                <w:sz w:val="16"/>
                <w:szCs w:val="16"/>
              </w:rPr>
              <w:t>At 30 June 2026</w:t>
            </w:r>
          </w:p>
        </w:tc>
        <w:tc>
          <w:tcPr>
            <w:tcW w:w="1596" w:type="dxa"/>
            <w:tcBorders>
              <w:bottom w:val="double" w:sz="4" w:space="0" w:color="auto"/>
            </w:tcBorders>
          </w:tcPr>
          <w:p w14:paraId="1768CCFE"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202,673</w:t>
            </w:r>
          </w:p>
        </w:tc>
      </w:tr>
    </w:tbl>
    <w:p w14:paraId="7C4219F5" w14:textId="77777777" w:rsidR="00CC4100" w:rsidRPr="006D6338" w:rsidRDefault="00CC4100" w:rsidP="00CC4100">
      <w:pPr>
        <w:widowControl w:val="0"/>
        <w:autoSpaceDE w:val="0"/>
        <w:autoSpaceDN w:val="0"/>
        <w:rPr>
          <w:rFonts w:ascii="Calibri" w:eastAsia="Arial" w:hAnsi="Calibri" w:cs="Calibri"/>
          <w:b/>
          <w:bCs/>
          <w:sz w:val="16"/>
          <w:szCs w:val="16"/>
        </w:rPr>
      </w:pPr>
    </w:p>
    <w:p w14:paraId="0EEACD2F" w14:textId="77777777" w:rsidR="00CC4100" w:rsidRPr="006D6338" w:rsidRDefault="00CC4100" w:rsidP="00CC4100">
      <w:pPr>
        <w:widowControl w:val="0"/>
        <w:autoSpaceDE w:val="0"/>
        <w:autoSpaceDN w:val="0"/>
        <w:rPr>
          <w:rFonts w:ascii="Calibri" w:eastAsia="Arial" w:hAnsi="Calibri" w:cs="Calibri"/>
          <w:b/>
          <w:bCs/>
          <w:sz w:val="16"/>
          <w:szCs w:val="16"/>
        </w:rPr>
      </w:pPr>
    </w:p>
    <w:p w14:paraId="60CE3D3E" w14:textId="77777777" w:rsidR="00CC4100" w:rsidRPr="006D6338" w:rsidRDefault="00CC4100" w:rsidP="00CC4100">
      <w:pPr>
        <w:widowControl w:val="0"/>
        <w:autoSpaceDE w:val="0"/>
        <w:autoSpaceDN w:val="0"/>
        <w:rPr>
          <w:rFonts w:ascii="Calibri" w:eastAsia="Arial" w:hAnsi="Calibri" w:cs="Calibri"/>
          <w:b/>
          <w:bCs/>
          <w:sz w:val="16"/>
          <w:szCs w:val="16"/>
        </w:rPr>
      </w:pPr>
    </w:p>
    <w:p w14:paraId="63106410" w14:textId="77777777" w:rsidR="00CC4100" w:rsidRPr="006D6338" w:rsidRDefault="00CC4100" w:rsidP="00CC4100">
      <w:pPr>
        <w:widowControl w:val="0"/>
        <w:autoSpaceDE w:val="0"/>
        <w:autoSpaceDN w:val="0"/>
        <w:rPr>
          <w:rFonts w:ascii="Calibri" w:eastAsia="Arial" w:hAnsi="Calibri" w:cs="Calibri"/>
          <w:b/>
          <w:bCs/>
          <w:sz w:val="16"/>
          <w:szCs w:val="16"/>
        </w:rPr>
      </w:pP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440"/>
        <w:gridCol w:w="236"/>
        <w:gridCol w:w="1287"/>
        <w:gridCol w:w="236"/>
        <w:gridCol w:w="1479"/>
      </w:tblGrid>
      <w:tr w:rsidR="00CC4100" w:rsidRPr="006D6338" w14:paraId="6D36C4AE" w14:textId="77777777" w:rsidTr="00A44FCD">
        <w:trPr>
          <w:trHeight w:val="227"/>
        </w:trPr>
        <w:tc>
          <w:tcPr>
            <w:tcW w:w="5103" w:type="dxa"/>
          </w:tcPr>
          <w:p w14:paraId="06DBB346" w14:textId="77777777" w:rsidR="00CC4100" w:rsidRPr="006D6338" w:rsidRDefault="00CC4100" w:rsidP="00A44FCD">
            <w:pPr>
              <w:pStyle w:val="TableParagraph"/>
              <w:spacing w:line="225" w:lineRule="exact"/>
              <w:rPr>
                <w:rFonts w:ascii="Calibri" w:hAnsi="Calibri" w:cs="Calibri"/>
                <w:b/>
                <w:sz w:val="20"/>
              </w:rPr>
            </w:pPr>
          </w:p>
        </w:tc>
        <w:tc>
          <w:tcPr>
            <w:tcW w:w="1440" w:type="dxa"/>
          </w:tcPr>
          <w:p w14:paraId="357948C4"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r w:rsidRPr="006D6338">
              <w:rPr>
                <w:rFonts w:ascii="Calibri" w:hAnsi="Calibri" w:cs="Calibri"/>
                <w:b/>
                <w:sz w:val="16"/>
                <w:szCs w:val="16"/>
              </w:rPr>
              <w:t>Number of Warrants</w:t>
            </w:r>
          </w:p>
        </w:tc>
        <w:tc>
          <w:tcPr>
            <w:tcW w:w="236" w:type="dxa"/>
          </w:tcPr>
          <w:p w14:paraId="08E953DC"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p>
        </w:tc>
        <w:tc>
          <w:tcPr>
            <w:tcW w:w="1287" w:type="dxa"/>
          </w:tcPr>
          <w:p w14:paraId="7A42CB6D"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r w:rsidRPr="006D6338">
              <w:rPr>
                <w:rFonts w:ascii="Calibri" w:hAnsi="Calibri" w:cs="Calibri"/>
                <w:b/>
                <w:sz w:val="16"/>
                <w:szCs w:val="16"/>
              </w:rPr>
              <w:t>Weighted average exercise price (£)</w:t>
            </w:r>
          </w:p>
        </w:tc>
        <w:tc>
          <w:tcPr>
            <w:tcW w:w="236" w:type="dxa"/>
          </w:tcPr>
          <w:p w14:paraId="6F8310C0"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p>
        </w:tc>
        <w:tc>
          <w:tcPr>
            <w:tcW w:w="1479" w:type="dxa"/>
          </w:tcPr>
          <w:p w14:paraId="12269535" w14:textId="77777777" w:rsidR="00CC4100" w:rsidRPr="006D6338" w:rsidRDefault="00CC4100" w:rsidP="00A44FCD">
            <w:pPr>
              <w:pStyle w:val="ListParagraph"/>
              <w:tabs>
                <w:tab w:val="left" w:pos="734"/>
              </w:tabs>
              <w:ind w:left="0" w:firstLine="0"/>
              <w:jc w:val="right"/>
              <w:rPr>
                <w:rFonts w:ascii="Calibri" w:hAnsi="Calibri" w:cs="Calibri"/>
                <w:b/>
                <w:sz w:val="16"/>
                <w:szCs w:val="16"/>
              </w:rPr>
            </w:pPr>
            <w:r w:rsidRPr="006D6338">
              <w:rPr>
                <w:rFonts w:ascii="Calibri" w:hAnsi="Calibri" w:cs="Calibri"/>
                <w:b/>
                <w:sz w:val="16"/>
                <w:szCs w:val="16"/>
              </w:rPr>
              <w:t>Weighted average remaining life (years)</w:t>
            </w:r>
          </w:p>
        </w:tc>
      </w:tr>
      <w:tr w:rsidR="00CC4100" w:rsidRPr="006D6338" w14:paraId="6C17A5D2" w14:textId="77777777" w:rsidTr="00A44FCD">
        <w:trPr>
          <w:trHeight w:val="212"/>
        </w:trPr>
        <w:tc>
          <w:tcPr>
            <w:tcW w:w="5103" w:type="dxa"/>
          </w:tcPr>
          <w:p w14:paraId="69242A6A" w14:textId="77777777" w:rsidR="00CC4100" w:rsidRPr="006D6338" w:rsidRDefault="00CC4100" w:rsidP="00A44FCD">
            <w:pPr>
              <w:widowControl w:val="0"/>
              <w:autoSpaceDE w:val="0"/>
              <w:autoSpaceDN w:val="0"/>
              <w:rPr>
                <w:rFonts w:ascii="Calibri" w:hAnsi="Calibri" w:cs="Calibri"/>
                <w:b/>
                <w:sz w:val="20"/>
              </w:rPr>
            </w:pPr>
            <w:r w:rsidRPr="006D6338">
              <w:rPr>
                <w:rFonts w:ascii="Calibri" w:eastAsia="Arial" w:hAnsi="Calibri" w:cs="Calibri"/>
                <w:b/>
                <w:sz w:val="16"/>
                <w:szCs w:val="16"/>
              </w:rPr>
              <w:t>Brought forward 1 January 2025</w:t>
            </w:r>
          </w:p>
        </w:tc>
        <w:tc>
          <w:tcPr>
            <w:tcW w:w="1440" w:type="dxa"/>
          </w:tcPr>
          <w:p w14:paraId="2B7C113B"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4,361,079</w:t>
            </w:r>
          </w:p>
        </w:tc>
        <w:tc>
          <w:tcPr>
            <w:tcW w:w="236" w:type="dxa"/>
          </w:tcPr>
          <w:p w14:paraId="51ADCD6A"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Pr>
          <w:p w14:paraId="13AE323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0.1876</w:t>
            </w:r>
          </w:p>
        </w:tc>
        <w:tc>
          <w:tcPr>
            <w:tcW w:w="236" w:type="dxa"/>
          </w:tcPr>
          <w:p w14:paraId="1CC8AE70"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Pr>
          <w:p w14:paraId="59D8C55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0.70</w:t>
            </w:r>
          </w:p>
        </w:tc>
      </w:tr>
      <w:tr w:rsidR="00CC4100" w:rsidRPr="006D6338" w14:paraId="718C4FFC" w14:textId="77777777" w:rsidTr="00A44FCD">
        <w:trPr>
          <w:trHeight w:val="227"/>
        </w:trPr>
        <w:tc>
          <w:tcPr>
            <w:tcW w:w="5103" w:type="dxa"/>
          </w:tcPr>
          <w:p w14:paraId="624155DC" w14:textId="77777777" w:rsidR="00CC4100" w:rsidRPr="006D6338" w:rsidRDefault="00CC4100" w:rsidP="00A44FCD">
            <w:pPr>
              <w:widowControl w:val="0"/>
              <w:autoSpaceDE w:val="0"/>
              <w:autoSpaceDN w:val="0"/>
              <w:rPr>
                <w:rFonts w:ascii="Calibri" w:hAnsi="Calibri" w:cs="Calibri"/>
                <w:bCs/>
                <w:sz w:val="16"/>
                <w:szCs w:val="16"/>
              </w:rPr>
            </w:pPr>
            <w:r w:rsidRPr="006D6338">
              <w:rPr>
                <w:rFonts w:ascii="Calibri" w:eastAsia="Arial" w:hAnsi="Calibri" w:cs="Calibri"/>
                <w:bCs/>
                <w:sz w:val="16"/>
                <w:szCs w:val="16"/>
              </w:rPr>
              <w:t>Lapsed</w:t>
            </w:r>
          </w:p>
        </w:tc>
        <w:tc>
          <w:tcPr>
            <w:tcW w:w="1440" w:type="dxa"/>
            <w:tcBorders>
              <w:bottom w:val="single" w:sz="4" w:space="0" w:color="auto"/>
            </w:tcBorders>
          </w:tcPr>
          <w:p w14:paraId="7F87BA66"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(2,003,850)</w:t>
            </w:r>
          </w:p>
        </w:tc>
        <w:tc>
          <w:tcPr>
            <w:tcW w:w="236" w:type="dxa"/>
          </w:tcPr>
          <w:p w14:paraId="1506E753"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Borders>
              <w:bottom w:val="single" w:sz="4" w:space="0" w:color="auto"/>
            </w:tcBorders>
          </w:tcPr>
          <w:p w14:paraId="44E50FD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0.1876</w:t>
            </w:r>
          </w:p>
        </w:tc>
        <w:tc>
          <w:tcPr>
            <w:tcW w:w="236" w:type="dxa"/>
          </w:tcPr>
          <w:p w14:paraId="229D061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Borders>
              <w:bottom w:val="single" w:sz="4" w:space="0" w:color="auto"/>
            </w:tcBorders>
          </w:tcPr>
          <w:p w14:paraId="7CFF848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w:t>
            </w:r>
          </w:p>
        </w:tc>
      </w:tr>
      <w:tr w:rsidR="00CC4100" w:rsidRPr="006D6338" w14:paraId="0DACF0E1" w14:textId="77777777" w:rsidTr="00A44FCD">
        <w:trPr>
          <w:trHeight w:val="227"/>
        </w:trPr>
        <w:tc>
          <w:tcPr>
            <w:tcW w:w="5103" w:type="dxa"/>
          </w:tcPr>
          <w:p w14:paraId="2EE57D0B" w14:textId="77777777" w:rsidR="00CC4100" w:rsidRPr="006D6338" w:rsidRDefault="00CC4100" w:rsidP="00A44FCD">
            <w:pPr>
              <w:widowControl w:val="0"/>
              <w:autoSpaceDE w:val="0"/>
              <w:autoSpaceDN w:val="0"/>
              <w:rPr>
                <w:rFonts w:ascii="Calibri" w:hAnsi="Calibri" w:cs="Calibri"/>
                <w:b/>
                <w:sz w:val="16"/>
                <w:szCs w:val="16"/>
              </w:rPr>
            </w:pPr>
            <w:r w:rsidRPr="006D6338">
              <w:rPr>
                <w:rFonts w:ascii="Calibri" w:eastAsia="Arial" w:hAnsi="Calibri" w:cs="Calibri"/>
                <w:b/>
                <w:sz w:val="16"/>
                <w:szCs w:val="16"/>
              </w:rPr>
              <w:t>Carried forward 30 June 2025</w:t>
            </w:r>
          </w:p>
        </w:tc>
        <w:tc>
          <w:tcPr>
            <w:tcW w:w="1440" w:type="dxa"/>
            <w:tcBorders>
              <w:top w:val="single" w:sz="4" w:space="0" w:color="auto"/>
              <w:bottom w:val="single" w:sz="4" w:space="0" w:color="auto"/>
            </w:tcBorders>
          </w:tcPr>
          <w:p w14:paraId="34FAEAA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2,357,229</w:t>
            </w:r>
          </w:p>
        </w:tc>
        <w:tc>
          <w:tcPr>
            <w:tcW w:w="236" w:type="dxa"/>
          </w:tcPr>
          <w:p w14:paraId="19082850"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p>
        </w:tc>
        <w:tc>
          <w:tcPr>
            <w:tcW w:w="1287" w:type="dxa"/>
            <w:tcBorders>
              <w:top w:val="single" w:sz="4" w:space="0" w:color="auto"/>
              <w:bottom w:val="single" w:sz="4" w:space="0" w:color="auto"/>
            </w:tcBorders>
          </w:tcPr>
          <w:p w14:paraId="68FF4845"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0.1938</w:t>
            </w:r>
          </w:p>
        </w:tc>
        <w:tc>
          <w:tcPr>
            <w:tcW w:w="236" w:type="dxa"/>
          </w:tcPr>
          <w:p w14:paraId="24847CA6"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p>
        </w:tc>
        <w:tc>
          <w:tcPr>
            <w:tcW w:w="1479" w:type="dxa"/>
            <w:tcBorders>
              <w:top w:val="single" w:sz="4" w:space="0" w:color="auto"/>
              <w:bottom w:val="single" w:sz="4" w:space="0" w:color="auto"/>
            </w:tcBorders>
          </w:tcPr>
          <w:p w14:paraId="09AEB045"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0.68</w:t>
            </w:r>
          </w:p>
        </w:tc>
      </w:tr>
      <w:tr w:rsidR="00CC4100" w:rsidRPr="006D6338" w14:paraId="100B7CBB" w14:textId="77777777" w:rsidTr="00A44FCD">
        <w:trPr>
          <w:trHeight w:val="227"/>
        </w:trPr>
        <w:tc>
          <w:tcPr>
            <w:tcW w:w="5103" w:type="dxa"/>
          </w:tcPr>
          <w:p w14:paraId="3EA1A8DA" w14:textId="77777777" w:rsidR="00CC4100" w:rsidRPr="006D6338" w:rsidRDefault="00CC4100" w:rsidP="00A44FCD">
            <w:pPr>
              <w:widowControl w:val="0"/>
              <w:autoSpaceDE w:val="0"/>
              <w:autoSpaceDN w:val="0"/>
              <w:rPr>
                <w:rFonts w:ascii="Calibri" w:hAnsi="Calibri" w:cs="Calibri"/>
                <w:b/>
                <w:sz w:val="16"/>
                <w:szCs w:val="16"/>
              </w:rPr>
            </w:pPr>
          </w:p>
        </w:tc>
        <w:tc>
          <w:tcPr>
            <w:tcW w:w="1440" w:type="dxa"/>
            <w:tcBorders>
              <w:top w:val="single" w:sz="4" w:space="0" w:color="auto"/>
            </w:tcBorders>
          </w:tcPr>
          <w:p w14:paraId="5AD7871D"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236" w:type="dxa"/>
          </w:tcPr>
          <w:p w14:paraId="19674E29"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Borders>
              <w:top w:val="single" w:sz="4" w:space="0" w:color="auto"/>
            </w:tcBorders>
          </w:tcPr>
          <w:p w14:paraId="2B2E409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236" w:type="dxa"/>
          </w:tcPr>
          <w:p w14:paraId="287044C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Borders>
              <w:top w:val="single" w:sz="4" w:space="0" w:color="auto"/>
            </w:tcBorders>
          </w:tcPr>
          <w:p w14:paraId="760A9BE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r>
      <w:tr w:rsidR="00CC4100" w:rsidRPr="006D6338" w14:paraId="0AD2B974" w14:textId="77777777" w:rsidTr="00A44FCD">
        <w:trPr>
          <w:trHeight w:val="227"/>
        </w:trPr>
        <w:tc>
          <w:tcPr>
            <w:tcW w:w="5103" w:type="dxa"/>
          </w:tcPr>
          <w:p w14:paraId="23BCD200" w14:textId="77777777" w:rsidR="00CC4100" w:rsidRPr="006D6338" w:rsidRDefault="00CC4100" w:rsidP="00A44FCD">
            <w:pPr>
              <w:widowControl w:val="0"/>
              <w:autoSpaceDE w:val="0"/>
              <w:autoSpaceDN w:val="0"/>
              <w:rPr>
                <w:rFonts w:ascii="Calibri" w:hAnsi="Calibri" w:cs="Calibri"/>
                <w:b/>
                <w:sz w:val="16"/>
                <w:szCs w:val="16"/>
              </w:rPr>
            </w:pPr>
            <w:r w:rsidRPr="006D6338">
              <w:rPr>
                <w:rFonts w:ascii="Calibri" w:eastAsia="Arial" w:hAnsi="Calibri" w:cs="Calibri"/>
                <w:b/>
                <w:sz w:val="16"/>
                <w:szCs w:val="16"/>
              </w:rPr>
              <w:t>Brought forward 1 January 2025</w:t>
            </w:r>
          </w:p>
        </w:tc>
        <w:tc>
          <w:tcPr>
            <w:tcW w:w="1440" w:type="dxa"/>
          </w:tcPr>
          <w:p w14:paraId="1DD10918"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4,361,079</w:t>
            </w:r>
          </w:p>
        </w:tc>
        <w:tc>
          <w:tcPr>
            <w:tcW w:w="236" w:type="dxa"/>
          </w:tcPr>
          <w:p w14:paraId="77568EF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Pr>
          <w:p w14:paraId="4EB6C0B7"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0.1876</w:t>
            </w:r>
          </w:p>
        </w:tc>
        <w:tc>
          <w:tcPr>
            <w:tcW w:w="236" w:type="dxa"/>
          </w:tcPr>
          <w:p w14:paraId="540C0E69"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Pr>
          <w:p w14:paraId="6D91BB7E"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0.70</w:t>
            </w:r>
          </w:p>
        </w:tc>
      </w:tr>
      <w:tr w:rsidR="00CC4100" w:rsidRPr="006D6338" w14:paraId="3C931E37" w14:textId="77777777" w:rsidTr="00A44FCD">
        <w:trPr>
          <w:trHeight w:val="227"/>
        </w:trPr>
        <w:tc>
          <w:tcPr>
            <w:tcW w:w="5103" w:type="dxa"/>
          </w:tcPr>
          <w:p w14:paraId="5121412D" w14:textId="77777777" w:rsidR="00CC4100" w:rsidRPr="006D6338" w:rsidRDefault="00CC4100" w:rsidP="00A44FCD">
            <w:pPr>
              <w:widowControl w:val="0"/>
              <w:autoSpaceDE w:val="0"/>
              <w:autoSpaceDN w:val="0"/>
              <w:rPr>
                <w:rFonts w:ascii="Calibri" w:hAnsi="Calibri" w:cs="Calibri"/>
                <w:bCs/>
                <w:sz w:val="16"/>
                <w:szCs w:val="16"/>
              </w:rPr>
            </w:pPr>
            <w:r w:rsidRPr="006D6338">
              <w:rPr>
                <w:rFonts w:ascii="Calibri" w:eastAsia="Arial" w:hAnsi="Calibri" w:cs="Calibri"/>
                <w:bCs/>
                <w:sz w:val="16"/>
                <w:szCs w:val="16"/>
              </w:rPr>
              <w:t>Granted</w:t>
            </w:r>
          </w:p>
        </w:tc>
        <w:tc>
          <w:tcPr>
            <w:tcW w:w="1440" w:type="dxa"/>
          </w:tcPr>
          <w:p w14:paraId="03CE315F"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32,934,803</w:t>
            </w:r>
          </w:p>
        </w:tc>
        <w:tc>
          <w:tcPr>
            <w:tcW w:w="236" w:type="dxa"/>
          </w:tcPr>
          <w:p w14:paraId="1848AAB5"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Pr>
          <w:p w14:paraId="36C9A723"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0.05</w:t>
            </w:r>
          </w:p>
        </w:tc>
        <w:tc>
          <w:tcPr>
            <w:tcW w:w="236" w:type="dxa"/>
          </w:tcPr>
          <w:p w14:paraId="711DCB3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Pr>
          <w:p w14:paraId="1F09231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1.59</w:t>
            </w:r>
          </w:p>
        </w:tc>
      </w:tr>
      <w:tr w:rsidR="00CC4100" w:rsidRPr="006D6338" w14:paraId="159170E0" w14:textId="77777777" w:rsidTr="00A44FCD">
        <w:trPr>
          <w:trHeight w:val="227"/>
        </w:trPr>
        <w:tc>
          <w:tcPr>
            <w:tcW w:w="5103" w:type="dxa"/>
          </w:tcPr>
          <w:p w14:paraId="72FAF20E" w14:textId="77777777" w:rsidR="00CC4100" w:rsidRPr="006D6338" w:rsidRDefault="00CC4100" w:rsidP="00A44FCD">
            <w:pPr>
              <w:widowControl w:val="0"/>
              <w:autoSpaceDE w:val="0"/>
              <w:autoSpaceDN w:val="0"/>
              <w:rPr>
                <w:rFonts w:ascii="Calibri" w:hAnsi="Calibri" w:cs="Calibri"/>
                <w:bCs/>
                <w:sz w:val="16"/>
                <w:szCs w:val="16"/>
              </w:rPr>
            </w:pPr>
            <w:r w:rsidRPr="006D6338">
              <w:rPr>
                <w:rFonts w:ascii="Calibri" w:eastAsia="Arial" w:hAnsi="Calibri" w:cs="Calibri"/>
                <w:bCs/>
                <w:sz w:val="16"/>
                <w:szCs w:val="16"/>
              </w:rPr>
              <w:t>Lapsed</w:t>
            </w:r>
          </w:p>
        </w:tc>
        <w:tc>
          <w:tcPr>
            <w:tcW w:w="1440" w:type="dxa"/>
          </w:tcPr>
          <w:p w14:paraId="2024E74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(2,003,849)</w:t>
            </w:r>
          </w:p>
        </w:tc>
        <w:tc>
          <w:tcPr>
            <w:tcW w:w="236" w:type="dxa"/>
          </w:tcPr>
          <w:p w14:paraId="42C8EFFF"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Pr>
          <w:p w14:paraId="31ABF0BD"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0.1876</w:t>
            </w:r>
          </w:p>
        </w:tc>
        <w:tc>
          <w:tcPr>
            <w:tcW w:w="236" w:type="dxa"/>
          </w:tcPr>
          <w:p w14:paraId="2C3F5A1A"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Pr>
          <w:p w14:paraId="15707050"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w:t>
            </w:r>
          </w:p>
        </w:tc>
      </w:tr>
      <w:tr w:rsidR="00CC4100" w:rsidRPr="006D6338" w14:paraId="4600EFF6" w14:textId="77777777" w:rsidTr="00A44FCD">
        <w:trPr>
          <w:trHeight w:val="227"/>
        </w:trPr>
        <w:tc>
          <w:tcPr>
            <w:tcW w:w="5103" w:type="dxa"/>
          </w:tcPr>
          <w:p w14:paraId="07A4039E" w14:textId="77777777" w:rsidR="00CC4100" w:rsidRPr="006D6338" w:rsidRDefault="00CC4100" w:rsidP="00A44FCD">
            <w:pPr>
              <w:widowControl w:val="0"/>
              <w:autoSpaceDE w:val="0"/>
              <w:autoSpaceDN w:val="0"/>
              <w:rPr>
                <w:rFonts w:ascii="Calibri" w:hAnsi="Calibri" w:cs="Calibri"/>
                <w:bCs/>
                <w:sz w:val="16"/>
                <w:szCs w:val="16"/>
              </w:rPr>
            </w:pPr>
            <w:r w:rsidRPr="006D6338">
              <w:rPr>
                <w:rFonts w:ascii="Calibri" w:eastAsia="Arial" w:hAnsi="Calibri" w:cs="Calibri"/>
                <w:bCs/>
                <w:sz w:val="16"/>
                <w:szCs w:val="16"/>
              </w:rPr>
              <w:t>Exercised</w:t>
            </w:r>
          </w:p>
        </w:tc>
        <w:tc>
          <w:tcPr>
            <w:tcW w:w="1440" w:type="dxa"/>
            <w:tcBorders>
              <w:bottom w:val="single" w:sz="4" w:space="0" w:color="auto"/>
            </w:tcBorders>
          </w:tcPr>
          <w:p w14:paraId="3A2B6764"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(2,550,000)</w:t>
            </w:r>
          </w:p>
        </w:tc>
        <w:tc>
          <w:tcPr>
            <w:tcW w:w="236" w:type="dxa"/>
          </w:tcPr>
          <w:p w14:paraId="2E2A3A80"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287" w:type="dxa"/>
            <w:tcBorders>
              <w:bottom w:val="single" w:sz="4" w:space="0" w:color="auto"/>
            </w:tcBorders>
          </w:tcPr>
          <w:p w14:paraId="25130BCE"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0.03</w:t>
            </w:r>
          </w:p>
        </w:tc>
        <w:tc>
          <w:tcPr>
            <w:tcW w:w="236" w:type="dxa"/>
          </w:tcPr>
          <w:p w14:paraId="66B8A65D"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p>
        </w:tc>
        <w:tc>
          <w:tcPr>
            <w:tcW w:w="1479" w:type="dxa"/>
            <w:tcBorders>
              <w:bottom w:val="single" w:sz="4" w:space="0" w:color="auto"/>
            </w:tcBorders>
          </w:tcPr>
          <w:p w14:paraId="54D33765"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Cs/>
                <w:spacing w:val="-2"/>
                <w:sz w:val="16"/>
                <w:szCs w:val="16"/>
              </w:rPr>
            </w:pPr>
            <w:r w:rsidRPr="006D6338">
              <w:rPr>
                <w:rFonts w:ascii="Calibri" w:eastAsia="Arial" w:hAnsi="Calibri" w:cs="Calibri"/>
                <w:bCs/>
                <w:spacing w:val="-2"/>
                <w:sz w:val="16"/>
                <w:szCs w:val="16"/>
              </w:rPr>
              <w:t>-</w:t>
            </w:r>
          </w:p>
        </w:tc>
      </w:tr>
      <w:tr w:rsidR="00CC4100" w:rsidRPr="006D6338" w14:paraId="53385155" w14:textId="77777777" w:rsidTr="00A44FCD">
        <w:trPr>
          <w:trHeight w:val="227"/>
        </w:trPr>
        <w:tc>
          <w:tcPr>
            <w:tcW w:w="5103" w:type="dxa"/>
          </w:tcPr>
          <w:p w14:paraId="2D029B24"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
                <w:sz w:val="16"/>
                <w:szCs w:val="16"/>
              </w:rPr>
              <w:t>Carried forward 31 December 2025</w:t>
            </w:r>
          </w:p>
        </w:tc>
        <w:tc>
          <w:tcPr>
            <w:tcW w:w="1440" w:type="dxa"/>
            <w:tcBorders>
              <w:top w:val="single" w:sz="4" w:space="0" w:color="auto"/>
              <w:bottom w:val="single" w:sz="4" w:space="0" w:color="auto"/>
            </w:tcBorders>
          </w:tcPr>
          <w:p w14:paraId="580687B2"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
                <w:spacing w:val="-2"/>
                <w:sz w:val="16"/>
                <w:szCs w:val="16"/>
              </w:rPr>
              <w:t>32,742,033</w:t>
            </w:r>
          </w:p>
        </w:tc>
        <w:tc>
          <w:tcPr>
            <w:tcW w:w="236" w:type="dxa"/>
          </w:tcPr>
          <w:p w14:paraId="0D90ACC8"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Borders>
              <w:top w:val="single" w:sz="4" w:space="0" w:color="auto"/>
              <w:bottom w:val="single" w:sz="4" w:space="0" w:color="auto"/>
            </w:tcBorders>
          </w:tcPr>
          <w:p w14:paraId="02412477"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
                <w:spacing w:val="-2"/>
                <w:sz w:val="16"/>
                <w:szCs w:val="16"/>
              </w:rPr>
              <w:t>0.05</w:t>
            </w:r>
          </w:p>
        </w:tc>
        <w:tc>
          <w:tcPr>
            <w:tcW w:w="236" w:type="dxa"/>
          </w:tcPr>
          <w:p w14:paraId="1820985D"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Borders>
              <w:top w:val="single" w:sz="4" w:space="0" w:color="auto"/>
              <w:bottom w:val="single" w:sz="4" w:space="0" w:color="auto"/>
            </w:tcBorders>
          </w:tcPr>
          <w:p w14:paraId="3581E4EE"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
                <w:spacing w:val="-2"/>
                <w:sz w:val="16"/>
                <w:szCs w:val="16"/>
              </w:rPr>
              <w:t>1.29</w:t>
            </w:r>
          </w:p>
        </w:tc>
      </w:tr>
      <w:tr w:rsidR="00CC4100" w:rsidRPr="006D6338" w14:paraId="479D5CE0" w14:textId="77777777" w:rsidTr="00A44FCD">
        <w:trPr>
          <w:trHeight w:val="227"/>
        </w:trPr>
        <w:tc>
          <w:tcPr>
            <w:tcW w:w="5103" w:type="dxa"/>
          </w:tcPr>
          <w:p w14:paraId="3294FFAC" w14:textId="77777777" w:rsidR="00CC4100" w:rsidRPr="006D6338" w:rsidRDefault="00CC4100" w:rsidP="00A44FCD">
            <w:pPr>
              <w:widowControl w:val="0"/>
              <w:autoSpaceDE w:val="0"/>
              <w:autoSpaceDN w:val="0"/>
              <w:rPr>
                <w:rFonts w:ascii="Calibri" w:eastAsia="Arial" w:hAnsi="Calibri" w:cs="Calibri"/>
                <w:bCs/>
                <w:sz w:val="16"/>
                <w:szCs w:val="16"/>
              </w:rPr>
            </w:pPr>
          </w:p>
        </w:tc>
        <w:tc>
          <w:tcPr>
            <w:tcW w:w="1440" w:type="dxa"/>
            <w:tcBorders>
              <w:top w:val="single" w:sz="4" w:space="0" w:color="auto"/>
            </w:tcBorders>
          </w:tcPr>
          <w:p w14:paraId="19214280"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236" w:type="dxa"/>
          </w:tcPr>
          <w:p w14:paraId="2C00FA40"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Borders>
              <w:top w:val="single" w:sz="4" w:space="0" w:color="auto"/>
            </w:tcBorders>
          </w:tcPr>
          <w:p w14:paraId="3C8D233F"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236" w:type="dxa"/>
          </w:tcPr>
          <w:p w14:paraId="0D8DF1FF"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Borders>
              <w:top w:val="single" w:sz="4" w:space="0" w:color="auto"/>
            </w:tcBorders>
          </w:tcPr>
          <w:p w14:paraId="19896967"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r>
      <w:tr w:rsidR="00CC4100" w:rsidRPr="006D6338" w14:paraId="024CB808" w14:textId="77777777" w:rsidTr="00A44FCD">
        <w:trPr>
          <w:trHeight w:val="227"/>
        </w:trPr>
        <w:tc>
          <w:tcPr>
            <w:tcW w:w="5103" w:type="dxa"/>
          </w:tcPr>
          <w:p w14:paraId="7B00C9A6"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
                <w:sz w:val="16"/>
                <w:szCs w:val="16"/>
              </w:rPr>
              <w:t>Brought forward 1 January 2026</w:t>
            </w:r>
          </w:p>
        </w:tc>
        <w:tc>
          <w:tcPr>
            <w:tcW w:w="1440" w:type="dxa"/>
          </w:tcPr>
          <w:p w14:paraId="6844E20F"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32,742,033</w:t>
            </w:r>
          </w:p>
        </w:tc>
        <w:tc>
          <w:tcPr>
            <w:tcW w:w="236" w:type="dxa"/>
          </w:tcPr>
          <w:p w14:paraId="35A143EC"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Pr>
          <w:p w14:paraId="06B792D9"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0.05</w:t>
            </w:r>
          </w:p>
        </w:tc>
        <w:tc>
          <w:tcPr>
            <w:tcW w:w="236" w:type="dxa"/>
          </w:tcPr>
          <w:p w14:paraId="4B8947B4"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Pr>
          <w:p w14:paraId="6C90990F"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1.29</w:t>
            </w:r>
          </w:p>
        </w:tc>
      </w:tr>
      <w:tr w:rsidR="00CC4100" w:rsidRPr="006D6338" w14:paraId="3EF025EB" w14:textId="77777777" w:rsidTr="00A44FCD">
        <w:trPr>
          <w:trHeight w:val="227"/>
        </w:trPr>
        <w:tc>
          <w:tcPr>
            <w:tcW w:w="5103" w:type="dxa"/>
          </w:tcPr>
          <w:p w14:paraId="543CCDD1"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Cs/>
                <w:sz w:val="16"/>
                <w:szCs w:val="16"/>
              </w:rPr>
              <w:t xml:space="preserve">Granted – Bonus Warrant Issue </w:t>
            </w:r>
          </w:p>
        </w:tc>
        <w:tc>
          <w:tcPr>
            <w:tcW w:w="1440" w:type="dxa"/>
          </w:tcPr>
          <w:p w14:paraId="3BB0ACA3"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8,345,751</w:t>
            </w:r>
          </w:p>
        </w:tc>
        <w:tc>
          <w:tcPr>
            <w:tcW w:w="236" w:type="dxa"/>
          </w:tcPr>
          <w:p w14:paraId="03DBAE4D"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Pr>
          <w:p w14:paraId="1DBA8595"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0.10</w:t>
            </w:r>
          </w:p>
        </w:tc>
        <w:tc>
          <w:tcPr>
            <w:tcW w:w="236" w:type="dxa"/>
          </w:tcPr>
          <w:p w14:paraId="17A37528"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Pr>
          <w:p w14:paraId="74D232B4"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1.06</w:t>
            </w:r>
          </w:p>
        </w:tc>
      </w:tr>
      <w:tr w:rsidR="00CC4100" w:rsidRPr="006D6338" w14:paraId="5CD141B1" w14:textId="77777777" w:rsidTr="00A44FCD">
        <w:trPr>
          <w:trHeight w:val="227"/>
        </w:trPr>
        <w:tc>
          <w:tcPr>
            <w:tcW w:w="5103" w:type="dxa"/>
          </w:tcPr>
          <w:p w14:paraId="1DEB6BE2"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Cs/>
                <w:sz w:val="16"/>
                <w:szCs w:val="16"/>
              </w:rPr>
              <w:t>Issued – Financing Warrant</w:t>
            </w:r>
          </w:p>
        </w:tc>
        <w:tc>
          <w:tcPr>
            <w:tcW w:w="1440" w:type="dxa"/>
          </w:tcPr>
          <w:p w14:paraId="6B9689D3"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5,000,000</w:t>
            </w:r>
          </w:p>
        </w:tc>
        <w:tc>
          <w:tcPr>
            <w:tcW w:w="236" w:type="dxa"/>
          </w:tcPr>
          <w:p w14:paraId="093263DC"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Pr>
          <w:p w14:paraId="6D2D9A4E"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0.13</w:t>
            </w:r>
          </w:p>
        </w:tc>
        <w:tc>
          <w:tcPr>
            <w:tcW w:w="236" w:type="dxa"/>
          </w:tcPr>
          <w:p w14:paraId="098582B3"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Pr>
          <w:p w14:paraId="61F3B0C4"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2.84</w:t>
            </w:r>
          </w:p>
        </w:tc>
      </w:tr>
      <w:tr w:rsidR="00CC4100" w:rsidRPr="006D6338" w14:paraId="42682C02" w14:textId="77777777" w:rsidTr="00A44FCD">
        <w:trPr>
          <w:trHeight w:val="227"/>
        </w:trPr>
        <w:tc>
          <w:tcPr>
            <w:tcW w:w="5103" w:type="dxa"/>
          </w:tcPr>
          <w:p w14:paraId="62D2121E"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Cs/>
                <w:sz w:val="16"/>
                <w:szCs w:val="16"/>
              </w:rPr>
              <w:t>Lapsed</w:t>
            </w:r>
          </w:p>
        </w:tc>
        <w:tc>
          <w:tcPr>
            <w:tcW w:w="1440" w:type="dxa"/>
          </w:tcPr>
          <w:p w14:paraId="300DFB8A"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(1,099,431)</w:t>
            </w:r>
          </w:p>
        </w:tc>
        <w:tc>
          <w:tcPr>
            <w:tcW w:w="236" w:type="dxa"/>
          </w:tcPr>
          <w:p w14:paraId="2377B387"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Pr>
          <w:p w14:paraId="422F0614"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0.05</w:t>
            </w:r>
          </w:p>
        </w:tc>
        <w:tc>
          <w:tcPr>
            <w:tcW w:w="236" w:type="dxa"/>
          </w:tcPr>
          <w:p w14:paraId="21090469"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Pr>
          <w:p w14:paraId="71FAED22"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w:t>
            </w:r>
          </w:p>
        </w:tc>
      </w:tr>
      <w:tr w:rsidR="00CC4100" w:rsidRPr="006D6338" w14:paraId="44C64C32" w14:textId="77777777" w:rsidTr="00A44FCD">
        <w:trPr>
          <w:trHeight w:val="227"/>
        </w:trPr>
        <w:tc>
          <w:tcPr>
            <w:tcW w:w="5103" w:type="dxa"/>
          </w:tcPr>
          <w:p w14:paraId="316D2FE7" w14:textId="77777777" w:rsidR="00CC4100" w:rsidRPr="006D6338" w:rsidRDefault="00CC4100" w:rsidP="00A44FCD">
            <w:pPr>
              <w:widowControl w:val="0"/>
              <w:autoSpaceDE w:val="0"/>
              <w:autoSpaceDN w:val="0"/>
              <w:rPr>
                <w:rFonts w:ascii="Calibri" w:eastAsia="Arial" w:hAnsi="Calibri" w:cs="Calibri"/>
                <w:bCs/>
                <w:sz w:val="16"/>
                <w:szCs w:val="16"/>
              </w:rPr>
            </w:pPr>
            <w:r w:rsidRPr="006D6338">
              <w:rPr>
                <w:rFonts w:ascii="Calibri" w:eastAsia="Arial" w:hAnsi="Calibri" w:cs="Calibri"/>
                <w:bCs/>
                <w:sz w:val="16"/>
                <w:szCs w:val="16"/>
              </w:rPr>
              <w:t>Exercised</w:t>
            </w:r>
          </w:p>
        </w:tc>
        <w:tc>
          <w:tcPr>
            <w:tcW w:w="1440" w:type="dxa"/>
            <w:tcBorders>
              <w:bottom w:val="single" w:sz="4" w:space="0" w:color="auto"/>
            </w:tcBorders>
          </w:tcPr>
          <w:p w14:paraId="44D38F54"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(17,158,162)</w:t>
            </w:r>
          </w:p>
        </w:tc>
        <w:tc>
          <w:tcPr>
            <w:tcW w:w="236" w:type="dxa"/>
          </w:tcPr>
          <w:p w14:paraId="032E5E43"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287" w:type="dxa"/>
            <w:tcBorders>
              <w:bottom w:val="single" w:sz="4" w:space="0" w:color="auto"/>
            </w:tcBorders>
          </w:tcPr>
          <w:p w14:paraId="24E2F487"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0.05</w:t>
            </w:r>
          </w:p>
        </w:tc>
        <w:tc>
          <w:tcPr>
            <w:tcW w:w="236" w:type="dxa"/>
          </w:tcPr>
          <w:p w14:paraId="31CB9DC3"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p>
        </w:tc>
        <w:tc>
          <w:tcPr>
            <w:tcW w:w="1479" w:type="dxa"/>
            <w:tcBorders>
              <w:bottom w:val="single" w:sz="4" w:space="0" w:color="auto"/>
            </w:tcBorders>
          </w:tcPr>
          <w:p w14:paraId="6B700D97" w14:textId="77777777" w:rsidR="00CC4100" w:rsidRPr="006D6338" w:rsidRDefault="00CC4100" w:rsidP="00A44FCD">
            <w:pPr>
              <w:widowControl w:val="0"/>
              <w:autoSpaceDE w:val="0"/>
              <w:autoSpaceDN w:val="0"/>
              <w:spacing w:before="14" w:line="276" w:lineRule="auto"/>
              <w:ind w:left="421" w:right="52" w:hanging="135"/>
              <w:jc w:val="right"/>
              <w:rPr>
                <w:rFonts w:ascii="Calibri" w:eastAsia="Arial" w:hAnsi="Calibri" w:cs="Calibri"/>
                <w:bCs/>
                <w:spacing w:val="-2"/>
                <w:sz w:val="16"/>
                <w:szCs w:val="16"/>
              </w:rPr>
            </w:pPr>
            <w:r w:rsidRPr="006D6338">
              <w:rPr>
                <w:rFonts w:ascii="Calibri" w:eastAsia="Arial" w:hAnsi="Calibri" w:cs="Calibri"/>
                <w:bCs/>
                <w:spacing w:val="-2"/>
                <w:sz w:val="16"/>
                <w:szCs w:val="16"/>
              </w:rPr>
              <w:t>-</w:t>
            </w:r>
          </w:p>
        </w:tc>
      </w:tr>
      <w:tr w:rsidR="00CC4100" w:rsidRPr="006D6338" w14:paraId="642F1ABB" w14:textId="77777777" w:rsidTr="00A44FCD">
        <w:trPr>
          <w:trHeight w:val="227"/>
        </w:trPr>
        <w:tc>
          <w:tcPr>
            <w:tcW w:w="5103" w:type="dxa"/>
          </w:tcPr>
          <w:p w14:paraId="0665FB0D" w14:textId="77777777" w:rsidR="00CC4100" w:rsidRPr="006D6338" w:rsidRDefault="00CC4100" w:rsidP="00A44FCD">
            <w:pPr>
              <w:widowControl w:val="0"/>
              <w:autoSpaceDE w:val="0"/>
              <w:autoSpaceDN w:val="0"/>
              <w:rPr>
                <w:rFonts w:ascii="Calibri" w:hAnsi="Calibri" w:cs="Calibri"/>
                <w:b/>
                <w:sz w:val="16"/>
                <w:szCs w:val="16"/>
              </w:rPr>
            </w:pPr>
            <w:r w:rsidRPr="006D6338">
              <w:rPr>
                <w:rFonts w:ascii="Calibri" w:eastAsia="Arial" w:hAnsi="Calibri" w:cs="Calibri"/>
                <w:b/>
                <w:sz w:val="16"/>
                <w:szCs w:val="16"/>
              </w:rPr>
              <w:t>Carried forward 30 June 2026</w:t>
            </w:r>
          </w:p>
        </w:tc>
        <w:tc>
          <w:tcPr>
            <w:tcW w:w="1440" w:type="dxa"/>
            <w:tcBorders>
              <w:top w:val="single" w:sz="4" w:space="0" w:color="auto"/>
              <w:bottom w:val="single" w:sz="4" w:space="0" w:color="auto"/>
            </w:tcBorders>
          </w:tcPr>
          <w:p w14:paraId="115CCFE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27,830,191</w:t>
            </w:r>
          </w:p>
        </w:tc>
        <w:tc>
          <w:tcPr>
            <w:tcW w:w="236" w:type="dxa"/>
          </w:tcPr>
          <w:p w14:paraId="309FC062"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p>
        </w:tc>
        <w:tc>
          <w:tcPr>
            <w:tcW w:w="1287" w:type="dxa"/>
            <w:tcBorders>
              <w:top w:val="single" w:sz="4" w:space="0" w:color="auto"/>
              <w:bottom w:val="single" w:sz="4" w:space="0" w:color="auto"/>
            </w:tcBorders>
          </w:tcPr>
          <w:p w14:paraId="7BA43AAD"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0.08</w:t>
            </w:r>
          </w:p>
        </w:tc>
        <w:tc>
          <w:tcPr>
            <w:tcW w:w="236" w:type="dxa"/>
          </w:tcPr>
          <w:p w14:paraId="666BFF33"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p>
        </w:tc>
        <w:tc>
          <w:tcPr>
            <w:tcW w:w="1479" w:type="dxa"/>
            <w:tcBorders>
              <w:top w:val="single" w:sz="4" w:space="0" w:color="auto"/>
              <w:bottom w:val="single" w:sz="4" w:space="0" w:color="auto"/>
            </w:tcBorders>
          </w:tcPr>
          <w:p w14:paraId="582A2736" w14:textId="77777777" w:rsidR="00CC4100" w:rsidRPr="006D6338" w:rsidRDefault="00CC4100" w:rsidP="00A44FCD">
            <w:pPr>
              <w:widowControl w:val="0"/>
              <w:autoSpaceDE w:val="0"/>
              <w:autoSpaceDN w:val="0"/>
              <w:spacing w:before="14" w:line="276" w:lineRule="auto"/>
              <w:ind w:left="421" w:right="52" w:hanging="135"/>
              <w:jc w:val="right"/>
              <w:rPr>
                <w:rFonts w:ascii="Calibri" w:hAnsi="Calibri" w:cs="Calibri"/>
                <w:b/>
                <w:spacing w:val="-2"/>
                <w:sz w:val="16"/>
                <w:szCs w:val="16"/>
              </w:rPr>
            </w:pPr>
            <w:r w:rsidRPr="006D6338">
              <w:rPr>
                <w:rFonts w:ascii="Calibri" w:eastAsia="Arial" w:hAnsi="Calibri" w:cs="Calibri"/>
                <w:b/>
                <w:spacing w:val="-2"/>
                <w:sz w:val="16"/>
                <w:szCs w:val="16"/>
              </w:rPr>
              <w:t>1.19</w:t>
            </w:r>
          </w:p>
        </w:tc>
      </w:tr>
    </w:tbl>
    <w:p w14:paraId="62CBC240" w14:textId="77777777" w:rsidR="00CC4100" w:rsidRPr="006D6338" w:rsidRDefault="00CC4100" w:rsidP="00CC4100">
      <w:pPr>
        <w:spacing w:line="256" w:lineRule="auto"/>
        <w:rPr>
          <w:rFonts w:ascii="Calibri" w:eastAsia="Calibri" w:hAnsi="Calibri" w:cs="Calibri"/>
        </w:rPr>
      </w:pPr>
    </w:p>
    <w:p w14:paraId="07EA43BC"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p>
    <w:p w14:paraId="41353679"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right="582"/>
        <w:jc w:val="both"/>
        <w:rPr>
          <w:rFonts w:ascii="Calibri" w:eastAsia="Arial" w:hAnsi="Calibri" w:cs="Calibri"/>
          <w:b/>
          <w:bCs/>
          <w:sz w:val="16"/>
          <w:szCs w:val="16"/>
        </w:rPr>
      </w:pPr>
      <w:r w:rsidRPr="006D6338">
        <w:rPr>
          <w:rFonts w:ascii="Calibri" w:eastAsia="Arial" w:hAnsi="Calibri" w:cs="Calibri"/>
          <w:b/>
          <w:bCs/>
          <w:sz w:val="16"/>
          <w:szCs w:val="16"/>
        </w:rPr>
        <w:t xml:space="preserve">Earnings per share </w:t>
      </w:r>
    </w:p>
    <w:p w14:paraId="31779C1F"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p>
    <w:p w14:paraId="54AD14C5"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r w:rsidRPr="006D6338">
        <w:rPr>
          <w:rFonts w:ascii="Calibri" w:eastAsia="Arial" w:hAnsi="Calibri" w:cs="Calibri"/>
          <w:sz w:val="16"/>
          <w:szCs w:val="16"/>
        </w:rPr>
        <w:t>Basic and diluted loss per share</w:t>
      </w:r>
    </w:p>
    <w:tbl>
      <w:tblPr>
        <w:tblW w:w="10203" w:type="dxa"/>
        <w:tblLayout w:type="fixed"/>
        <w:tblCellMar>
          <w:right w:w="0" w:type="dxa"/>
        </w:tblCellMar>
        <w:tblLook w:val="04A0" w:firstRow="1" w:lastRow="0" w:firstColumn="1" w:lastColumn="0" w:noHBand="0" w:noVBand="1"/>
      </w:tblPr>
      <w:tblGrid>
        <w:gridCol w:w="3544"/>
        <w:gridCol w:w="2219"/>
        <w:gridCol w:w="2220"/>
        <w:gridCol w:w="2220"/>
      </w:tblGrid>
      <w:tr w:rsidR="00CC4100" w:rsidRPr="006D6338" w14:paraId="0BF611F6" w14:textId="77777777" w:rsidTr="00A44FCD">
        <w:trPr>
          <w:trHeight w:val="322"/>
        </w:trPr>
        <w:tc>
          <w:tcPr>
            <w:tcW w:w="3544" w:type="dxa"/>
            <w:noWrap/>
            <w:vAlign w:val="bottom"/>
            <w:hideMark/>
          </w:tcPr>
          <w:p w14:paraId="0F02BCA9" w14:textId="77777777" w:rsidR="00CC4100" w:rsidRPr="006D6338" w:rsidRDefault="00CC4100" w:rsidP="00A44FCD">
            <w:pPr>
              <w:spacing w:line="256" w:lineRule="auto"/>
              <w:rPr>
                <w:rFonts w:ascii="Calibri" w:eastAsia="Arial" w:hAnsi="Calibri" w:cs="Calibri"/>
                <w:sz w:val="16"/>
                <w:szCs w:val="16"/>
              </w:rPr>
            </w:pPr>
          </w:p>
        </w:tc>
        <w:tc>
          <w:tcPr>
            <w:tcW w:w="2219" w:type="dxa"/>
            <w:noWrap/>
            <w:vAlign w:val="bottom"/>
            <w:hideMark/>
          </w:tcPr>
          <w:p w14:paraId="770C52DE"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30/06/2026</w:t>
            </w:r>
          </w:p>
        </w:tc>
        <w:tc>
          <w:tcPr>
            <w:tcW w:w="2220" w:type="dxa"/>
            <w:noWrap/>
            <w:vAlign w:val="bottom"/>
            <w:hideMark/>
          </w:tcPr>
          <w:p w14:paraId="2ED406AF"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30/06/2025</w:t>
            </w:r>
          </w:p>
        </w:tc>
        <w:tc>
          <w:tcPr>
            <w:tcW w:w="2220" w:type="dxa"/>
            <w:noWrap/>
            <w:vAlign w:val="bottom"/>
            <w:hideMark/>
          </w:tcPr>
          <w:p w14:paraId="171140F7"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31/12/2025</w:t>
            </w:r>
          </w:p>
        </w:tc>
      </w:tr>
      <w:tr w:rsidR="00CC4100" w:rsidRPr="006D6338" w14:paraId="033E0AAD" w14:textId="77777777" w:rsidTr="00A44FCD">
        <w:trPr>
          <w:trHeight w:val="322"/>
        </w:trPr>
        <w:tc>
          <w:tcPr>
            <w:tcW w:w="3544" w:type="dxa"/>
            <w:noWrap/>
            <w:vAlign w:val="bottom"/>
            <w:hideMark/>
          </w:tcPr>
          <w:p w14:paraId="7A1BAFC1" w14:textId="77777777" w:rsidR="00CC4100" w:rsidRPr="006D6338" w:rsidRDefault="00CC4100" w:rsidP="00A44FCD">
            <w:pPr>
              <w:spacing w:line="256" w:lineRule="auto"/>
              <w:rPr>
                <w:rFonts w:ascii="Calibri" w:eastAsia="Arial" w:hAnsi="Calibri" w:cs="Calibri"/>
                <w:b/>
                <w:sz w:val="16"/>
                <w:szCs w:val="16"/>
              </w:rPr>
            </w:pPr>
          </w:p>
        </w:tc>
        <w:tc>
          <w:tcPr>
            <w:tcW w:w="2219" w:type="dxa"/>
            <w:noWrap/>
            <w:vAlign w:val="bottom"/>
            <w:hideMark/>
          </w:tcPr>
          <w:p w14:paraId="13327175"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 xml:space="preserve"> £ </w:t>
            </w:r>
          </w:p>
        </w:tc>
        <w:tc>
          <w:tcPr>
            <w:tcW w:w="2220" w:type="dxa"/>
            <w:noWrap/>
            <w:vAlign w:val="bottom"/>
            <w:hideMark/>
          </w:tcPr>
          <w:p w14:paraId="11375007"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 xml:space="preserve"> £ </w:t>
            </w:r>
          </w:p>
        </w:tc>
        <w:tc>
          <w:tcPr>
            <w:tcW w:w="2220" w:type="dxa"/>
            <w:noWrap/>
            <w:vAlign w:val="bottom"/>
            <w:hideMark/>
          </w:tcPr>
          <w:p w14:paraId="1205CAB4"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w:t>
            </w:r>
          </w:p>
        </w:tc>
      </w:tr>
      <w:tr w:rsidR="00CC4100" w:rsidRPr="006D6338" w14:paraId="51B125AA" w14:textId="77777777" w:rsidTr="00A44FCD">
        <w:trPr>
          <w:trHeight w:val="518"/>
        </w:trPr>
        <w:tc>
          <w:tcPr>
            <w:tcW w:w="3544" w:type="dxa"/>
            <w:noWrap/>
            <w:vAlign w:val="bottom"/>
            <w:hideMark/>
          </w:tcPr>
          <w:p w14:paraId="7E2C338F" w14:textId="77777777" w:rsidR="00CC4100" w:rsidRPr="006D6338" w:rsidRDefault="00CC4100" w:rsidP="00A44FCD">
            <w:pPr>
              <w:widowControl w:val="0"/>
              <w:autoSpaceDE w:val="0"/>
              <w:autoSpaceDN w:val="0"/>
              <w:ind w:right="582"/>
              <w:rPr>
                <w:rFonts w:ascii="Calibri" w:eastAsia="Arial" w:hAnsi="Calibri" w:cs="Calibri"/>
                <w:sz w:val="16"/>
                <w:szCs w:val="16"/>
              </w:rPr>
            </w:pPr>
            <w:r w:rsidRPr="006D6338">
              <w:rPr>
                <w:rFonts w:ascii="Calibri" w:eastAsia="Arial" w:hAnsi="Calibri" w:cs="Calibri"/>
                <w:sz w:val="16"/>
                <w:szCs w:val="16"/>
              </w:rPr>
              <w:t>Basic loss per share from continuing operations (pence per share)</w:t>
            </w:r>
          </w:p>
        </w:tc>
        <w:tc>
          <w:tcPr>
            <w:tcW w:w="2219" w:type="dxa"/>
            <w:tcBorders>
              <w:top w:val="nil"/>
              <w:left w:val="nil"/>
              <w:bottom w:val="double" w:sz="4" w:space="0" w:color="auto"/>
              <w:right w:val="nil"/>
            </w:tcBorders>
            <w:noWrap/>
            <w:vAlign w:val="bottom"/>
            <w:hideMark/>
          </w:tcPr>
          <w:p w14:paraId="00C2F54F"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0.449</w:t>
            </w:r>
          </w:p>
        </w:tc>
        <w:tc>
          <w:tcPr>
            <w:tcW w:w="2220" w:type="dxa"/>
            <w:tcBorders>
              <w:top w:val="nil"/>
              <w:left w:val="nil"/>
              <w:bottom w:val="double" w:sz="4" w:space="0" w:color="auto"/>
              <w:right w:val="nil"/>
            </w:tcBorders>
            <w:noWrap/>
            <w:vAlign w:val="bottom"/>
            <w:hideMark/>
          </w:tcPr>
          <w:p w14:paraId="52498195"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0.602</w:t>
            </w:r>
          </w:p>
        </w:tc>
        <w:tc>
          <w:tcPr>
            <w:tcW w:w="2220" w:type="dxa"/>
            <w:tcBorders>
              <w:top w:val="nil"/>
              <w:left w:val="nil"/>
              <w:bottom w:val="double" w:sz="4" w:space="0" w:color="auto"/>
              <w:right w:val="nil"/>
            </w:tcBorders>
            <w:noWrap/>
            <w:vAlign w:val="bottom"/>
            <w:hideMark/>
          </w:tcPr>
          <w:p w14:paraId="68FD1F92"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0.658</w:t>
            </w:r>
          </w:p>
        </w:tc>
      </w:tr>
    </w:tbl>
    <w:p w14:paraId="13FECDBE"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r w:rsidRPr="006D6338">
        <w:rPr>
          <w:rFonts w:ascii="Calibri" w:eastAsia="Arial" w:hAnsi="Calibri" w:cs="Calibri"/>
          <w:sz w:val="16"/>
          <w:szCs w:val="16"/>
        </w:rPr>
        <w:t xml:space="preserve"> </w:t>
      </w:r>
    </w:p>
    <w:p w14:paraId="3127A37A"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r w:rsidRPr="006D6338">
        <w:rPr>
          <w:rFonts w:ascii="Calibri" w:eastAsia="Arial" w:hAnsi="Calibri" w:cs="Calibri"/>
          <w:sz w:val="16"/>
          <w:szCs w:val="16"/>
        </w:rPr>
        <w:t>The loss and weighted average number of shares used in the calculation of basic loss per share are as follows:</w:t>
      </w:r>
    </w:p>
    <w:p w14:paraId="58B754AA"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p>
    <w:tbl>
      <w:tblPr>
        <w:tblW w:w="10185" w:type="dxa"/>
        <w:tblLayout w:type="fixed"/>
        <w:tblCellMar>
          <w:right w:w="0" w:type="dxa"/>
        </w:tblCellMar>
        <w:tblLook w:val="04A0" w:firstRow="1" w:lastRow="0" w:firstColumn="1" w:lastColumn="0" w:noHBand="0" w:noVBand="1"/>
      </w:tblPr>
      <w:tblGrid>
        <w:gridCol w:w="3544"/>
        <w:gridCol w:w="2213"/>
        <w:gridCol w:w="2214"/>
        <w:gridCol w:w="2214"/>
      </w:tblGrid>
      <w:tr w:rsidR="00CC4100" w:rsidRPr="006D6338" w14:paraId="2F79EDA7" w14:textId="77777777" w:rsidTr="00A44FCD">
        <w:trPr>
          <w:trHeight w:val="281"/>
        </w:trPr>
        <w:tc>
          <w:tcPr>
            <w:tcW w:w="3544" w:type="dxa"/>
            <w:noWrap/>
            <w:vAlign w:val="bottom"/>
            <w:hideMark/>
          </w:tcPr>
          <w:p w14:paraId="0C37D354" w14:textId="77777777" w:rsidR="00CC4100" w:rsidRPr="006D6338" w:rsidRDefault="00CC4100" w:rsidP="00A44FCD">
            <w:pPr>
              <w:spacing w:line="256" w:lineRule="auto"/>
              <w:rPr>
                <w:rFonts w:ascii="Calibri" w:eastAsia="Arial" w:hAnsi="Calibri" w:cs="Calibri"/>
                <w:sz w:val="16"/>
                <w:szCs w:val="16"/>
              </w:rPr>
            </w:pPr>
          </w:p>
        </w:tc>
        <w:tc>
          <w:tcPr>
            <w:tcW w:w="2213" w:type="dxa"/>
            <w:noWrap/>
            <w:vAlign w:val="bottom"/>
            <w:hideMark/>
          </w:tcPr>
          <w:p w14:paraId="54B301A0"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30/06/2026</w:t>
            </w:r>
          </w:p>
        </w:tc>
        <w:tc>
          <w:tcPr>
            <w:tcW w:w="2214" w:type="dxa"/>
            <w:noWrap/>
            <w:vAlign w:val="bottom"/>
            <w:hideMark/>
          </w:tcPr>
          <w:p w14:paraId="7252353B"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30/06/2025</w:t>
            </w:r>
          </w:p>
        </w:tc>
        <w:tc>
          <w:tcPr>
            <w:tcW w:w="2214" w:type="dxa"/>
            <w:noWrap/>
            <w:vAlign w:val="bottom"/>
            <w:hideMark/>
          </w:tcPr>
          <w:p w14:paraId="56D11E08"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31/12/2025</w:t>
            </w:r>
          </w:p>
        </w:tc>
      </w:tr>
      <w:tr w:rsidR="00CC4100" w:rsidRPr="006D6338" w14:paraId="0F749816" w14:textId="77777777" w:rsidTr="00A44FCD">
        <w:trPr>
          <w:trHeight w:val="281"/>
        </w:trPr>
        <w:tc>
          <w:tcPr>
            <w:tcW w:w="3544" w:type="dxa"/>
            <w:noWrap/>
            <w:vAlign w:val="bottom"/>
            <w:hideMark/>
          </w:tcPr>
          <w:p w14:paraId="739EE3DA" w14:textId="77777777" w:rsidR="00CC4100" w:rsidRPr="006D6338" w:rsidRDefault="00CC4100" w:rsidP="00A44FCD">
            <w:pPr>
              <w:spacing w:line="256" w:lineRule="auto"/>
              <w:rPr>
                <w:rFonts w:ascii="Calibri" w:eastAsia="Arial" w:hAnsi="Calibri" w:cs="Calibri"/>
                <w:b/>
                <w:sz w:val="16"/>
                <w:szCs w:val="16"/>
              </w:rPr>
            </w:pPr>
          </w:p>
        </w:tc>
        <w:tc>
          <w:tcPr>
            <w:tcW w:w="2213" w:type="dxa"/>
            <w:noWrap/>
            <w:vAlign w:val="bottom"/>
            <w:hideMark/>
          </w:tcPr>
          <w:p w14:paraId="31980746"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 xml:space="preserve"> £ </w:t>
            </w:r>
          </w:p>
        </w:tc>
        <w:tc>
          <w:tcPr>
            <w:tcW w:w="2214" w:type="dxa"/>
            <w:noWrap/>
            <w:vAlign w:val="bottom"/>
            <w:hideMark/>
          </w:tcPr>
          <w:p w14:paraId="305BE39E"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 xml:space="preserve"> £ </w:t>
            </w:r>
          </w:p>
        </w:tc>
        <w:tc>
          <w:tcPr>
            <w:tcW w:w="2214" w:type="dxa"/>
            <w:noWrap/>
            <w:vAlign w:val="bottom"/>
            <w:hideMark/>
          </w:tcPr>
          <w:p w14:paraId="50380069"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w:t>
            </w:r>
          </w:p>
        </w:tc>
      </w:tr>
      <w:tr w:rsidR="00CC4100" w:rsidRPr="006D6338" w14:paraId="22E730AF" w14:textId="77777777" w:rsidTr="00A44FCD">
        <w:trPr>
          <w:trHeight w:val="281"/>
        </w:trPr>
        <w:tc>
          <w:tcPr>
            <w:tcW w:w="3544" w:type="dxa"/>
            <w:noWrap/>
            <w:vAlign w:val="bottom"/>
            <w:hideMark/>
          </w:tcPr>
          <w:p w14:paraId="06FB329A" w14:textId="77777777" w:rsidR="00CC4100" w:rsidRPr="006D6338" w:rsidRDefault="00CC4100" w:rsidP="00A44FCD">
            <w:pPr>
              <w:widowControl w:val="0"/>
              <w:autoSpaceDE w:val="0"/>
              <w:autoSpaceDN w:val="0"/>
              <w:ind w:right="582"/>
              <w:jc w:val="both"/>
              <w:rPr>
                <w:rFonts w:ascii="Calibri" w:eastAsia="Arial" w:hAnsi="Calibri" w:cs="Calibri"/>
                <w:sz w:val="16"/>
                <w:szCs w:val="16"/>
              </w:rPr>
            </w:pPr>
            <w:r w:rsidRPr="006D6338">
              <w:rPr>
                <w:rFonts w:ascii="Calibri" w:eastAsia="Arial" w:hAnsi="Calibri" w:cs="Calibri"/>
                <w:sz w:val="16"/>
                <w:szCs w:val="16"/>
              </w:rPr>
              <w:t xml:space="preserve">Loss for the period  </w:t>
            </w:r>
          </w:p>
        </w:tc>
        <w:tc>
          <w:tcPr>
            <w:tcW w:w="2213" w:type="dxa"/>
            <w:tcBorders>
              <w:top w:val="nil"/>
              <w:left w:val="nil"/>
              <w:bottom w:val="single" w:sz="4" w:space="0" w:color="auto"/>
              <w:right w:val="nil"/>
            </w:tcBorders>
            <w:noWrap/>
            <w:vAlign w:val="bottom"/>
            <w:hideMark/>
          </w:tcPr>
          <w:p w14:paraId="6DD0F0AB"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647,532</w:t>
            </w:r>
          </w:p>
        </w:tc>
        <w:tc>
          <w:tcPr>
            <w:tcW w:w="2214" w:type="dxa"/>
            <w:tcBorders>
              <w:top w:val="nil"/>
              <w:left w:val="nil"/>
              <w:bottom w:val="single" w:sz="4" w:space="0" w:color="auto"/>
              <w:right w:val="nil"/>
            </w:tcBorders>
            <w:noWrap/>
            <w:vAlign w:val="bottom"/>
            <w:hideMark/>
          </w:tcPr>
          <w:p w14:paraId="03ADCF34"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375,019</w:t>
            </w:r>
          </w:p>
        </w:tc>
        <w:tc>
          <w:tcPr>
            <w:tcW w:w="2214" w:type="dxa"/>
            <w:tcBorders>
              <w:top w:val="nil"/>
              <w:left w:val="nil"/>
              <w:bottom w:val="single" w:sz="4" w:space="0" w:color="auto"/>
              <w:right w:val="nil"/>
            </w:tcBorders>
            <w:noWrap/>
            <w:vAlign w:val="bottom"/>
            <w:hideMark/>
          </w:tcPr>
          <w:p w14:paraId="3DF2B3C4"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553,499</w:t>
            </w:r>
          </w:p>
        </w:tc>
      </w:tr>
      <w:tr w:rsidR="00CC4100" w:rsidRPr="006D6338" w14:paraId="5910BF5E" w14:textId="77777777" w:rsidTr="00A44FCD">
        <w:trPr>
          <w:trHeight w:val="281"/>
        </w:trPr>
        <w:tc>
          <w:tcPr>
            <w:tcW w:w="3544" w:type="dxa"/>
            <w:noWrap/>
            <w:vAlign w:val="bottom"/>
          </w:tcPr>
          <w:p w14:paraId="1A43722F" w14:textId="77777777" w:rsidR="00CC4100" w:rsidRPr="006D6338" w:rsidRDefault="00CC4100" w:rsidP="00A44FCD">
            <w:pPr>
              <w:widowControl w:val="0"/>
              <w:autoSpaceDE w:val="0"/>
              <w:autoSpaceDN w:val="0"/>
              <w:ind w:right="582"/>
              <w:jc w:val="both"/>
              <w:rPr>
                <w:rFonts w:ascii="Calibri" w:eastAsia="Arial" w:hAnsi="Calibri" w:cs="Calibri"/>
                <w:sz w:val="16"/>
                <w:szCs w:val="16"/>
              </w:rPr>
            </w:pPr>
          </w:p>
        </w:tc>
        <w:tc>
          <w:tcPr>
            <w:tcW w:w="2213" w:type="dxa"/>
            <w:tcBorders>
              <w:top w:val="single" w:sz="4" w:space="0" w:color="auto"/>
              <w:left w:val="nil"/>
              <w:bottom w:val="nil"/>
              <w:right w:val="nil"/>
            </w:tcBorders>
            <w:noWrap/>
            <w:vAlign w:val="bottom"/>
          </w:tcPr>
          <w:p w14:paraId="288028ED"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c>
          <w:tcPr>
            <w:tcW w:w="2214" w:type="dxa"/>
            <w:tcBorders>
              <w:top w:val="single" w:sz="4" w:space="0" w:color="auto"/>
              <w:left w:val="nil"/>
              <w:bottom w:val="nil"/>
              <w:right w:val="nil"/>
            </w:tcBorders>
            <w:noWrap/>
            <w:vAlign w:val="bottom"/>
          </w:tcPr>
          <w:p w14:paraId="57AEDA3F"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c>
          <w:tcPr>
            <w:tcW w:w="2214" w:type="dxa"/>
            <w:tcBorders>
              <w:top w:val="single" w:sz="4" w:space="0" w:color="auto"/>
              <w:left w:val="nil"/>
              <w:bottom w:val="nil"/>
              <w:right w:val="nil"/>
            </w:tcBorders>
            <w:noWrap/>
            <w:vAlign w:val="bottom"/>
          </w:tcPr>
          <w:p w14:paraId="69F78E08"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r>
      <w:tr w:rsidR="00CC4100" w:rsidRPr="006D6338" w14:paraId="1CF723FB" w14:textId="77777777" w:rsidTr="00A44FCD">
        <w:trPr>
          <w:trHeight w:val="281"/>
        </w:trPr>
        <w:tc>
          <w:tcPr>
            <w:tcW w:w="3544" w:type="dxa"/>
            <w:noWrap/>
            <w:vAlign w:val="bottom"/>
          </w:tcPr>
          <w:p w14:paraId="728A59A7" w14:textId="77777777" w:rsidR="00CC4100" w:rsidRPr="006D6338" w:rsidRDefault="00CC4100" w:rsidP="00A44FCD">
            <w:pPr>
              <w:widowControl w:val="0"/>
              <w:autoSpaceDE w:val="0"/>
              <w:autoSpaceDN w:val="0"/>
              <w:ind w:right="582"/>
              <w:jc w:val="both"/>
              <w:rPr>
                <w:rFonts w:ascii="Calibri" w:eastAsia="Arial" w:hAnsi="Calibri" w:cs="Calibri"/>
                <w:sz w:val="16"/>
                <w:szCs w:val="16"/>
              </w:rPr>
            </w:pPr>
          </w:p>
        </w:tc>
        <w:tc>
          <w:tcPr>
            <w:tcW w:w="2213" w:type="dxa"/>
            <w:noWrap/>
            <w:vAlign w:val="bottom"/>
            <w:hideMark/>
          </w:tcPr>
          <w:p w14:paraId="409E5A13"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 xml:space="preserve">No. </w:t>
            </w:r>
          </w:p>
        </w:tc>
        <w:tc>
          <w:tcPr>
            <w:tcW w:w="2214" w:type="dxa"/>
            <w:noWrap/>
            <w:vAlign w:val="bottom"/>
            <w:hideMark/>
          </w:tcPr>
          <w:p w14:paraId="15F24EDD"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No.</w:t>
            </w:r>
          </w:p>
        </w:tc>
        <w:tc>
          <w:tcPr>
            <w:tcW w:w="2214" w:type="dxa"/>
            <w:noWrap/>
            <w:vAlign w:val="bottom"/>
            <w:hideMark/>
          </w:tcPr>
          <w:p w14:paraId="0BC84476"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
                <w:sz w:val="16"/>
                <w:szCs w:val="16"/>
              </w:rPr>
            </w:pPr>
            <w:r w:rsidRPr="006D6338">
              <w:rPr>
                <w:rFonts w:ascii="Calibri" w:eastAsia="Arial" w:hAnsi="Calibri" w:cs="Calibri"/>
                <w:b/>
                <w:sz w:val="16"/>
                <w:szCs w:val="16"/>
              </w:rPr>
              <w:t>No.</w:t>
            </w:r>
          </w:p>
        </w:tc>
      </w:tr>
      <w:tr w:rsidR="00CC4100" w:rsidRPr="006D6338" w14:paraId="2307D573" w14:textId="77777777" w:rsidTr="00A44FCD">
        <w:trPr>
          <w:trHeight w:val="281"/>
        </w:trPr>
        <w:tc>
          <w:tcPr>
            <w:tcW w:w="3544" w:type="dxa"/>
            <w:noWrap/>
            <w:vAlign w:val="bottom"/>
            <w:hideMark/>
          </w:tcPr>
          <w:p w14:paraId="502C281A" w14:textId="77777777" w:rsidR="00CC4100" w:rsidRPr="006D6338" w:rsidRDefault="00CC4100" w:rsidP="00A44FCD">
            <w:pPr>
              <w:widowControl w:val="0"/>
              <w:autoSpaceDE w:val="0"/>
              <w:autoSpaceDN w:val="0"/>
              <w:ind w:right="582"/>
              <w:rPr>
                <w:rFonts w:ascii="Calibri" w:eastAsia="Arial" w:hAnsi="Calibri" w:cs="Calibri"/>
                <w:sz w:val="16"/>
                <w:szCs w:val="16"/>
              </w:rPr>
            </w:pPr>
            <w:r w:rsidRPr="006D6338">
              <w:rPr>
                <w:rFonts w:ascii="Calibri" w:eastAsia="Arial" w:hAnsi="Calibri" w:cs="Calibri"/>
                <w:sz w:val="16"/>
                <w:szCs w:val="16"/>
              </w:rPr>
              <w:t xml:space="preserve">Weighted average number of ordinary shares in issue </w:t>
            </w:r>
          </w:p>
        </w:tc>
        <w:tc>
          <w:tcPr>
            <w:tcW w:w="2213" w:type="dxa"/>
            <w:tcBorders>
              <w:top w:val="nil"/>
              <w:left w:val="nil"/>
              <w:bottom w:val="single" w:sz="4" w:space="0" w:color="auto"/>
              <w:right w:val="nil"/>
            </w:tcBorders>
            <w:noWrap/>
            <w:vAlign w:val="bottom"/>
            <w:hideMark/>
          </w:tcPr>
          <w:p w14:paraId="490B5811"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144,334,058</w:t>
            </w:r>
          </w:p>
        </w:tc>
        <w:tc>
          <w:tcPr>
            <w:tcW w:w="2214" w:type="dxa"/>
            <w:tcBorders>
              <w:top w:val="nil"/>
              <w:left w:val="nil"/>
              <w:bottom w:val="single" w:sz="4" w:space="0" w:color="auto"/>
              <w:right w:val="nil"/>
            </w:tcBorders>
            <w:noWrap/>
            <w:vAlign w:val="bottom"/>
            <w:hideMark/>
          </w:tcPr>
          <w:p w14:paraId="533E7039"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62,261,499</w:t>
            </w:r>
          </w:p>
        </w:tc>
        <w:tc>
          <w:tcPr>
            <w:tcW w:w="2214" w:type="dxa"/>
            <w:tcBorders>
              <w:top w:val="nil"/>
              <w:left w:val="nil"/>
              <w:bottom w:val="single" w:sz="4" w:space="0" w:color="auto"/>
              <w:right w:val="nil"/>
            </w:tcBorders>
            <w:noWrap/>
            <w:vAlign w:val="bottom"/>
            <w:hideMark/>
          </w:tcPr>
          <w:p w14:paraId="1D6411B4"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r w:rsidRPr="006D6338">
              <w:rPr>
                <w:rFonts w:ascii="Calibri" w:eastAsia="Arial" w:hAnsi="Calibri" w:cs="Calibri"/>
                <w:bCs/>
                <w:sz w:val="16"/>
                <w:szCs w:val="16"/>
              </w:rPr>
              <w:t>84,150,000</w:t>
            </w:r>
          </w:p>
        </w:tc>
      </w:tr>
      <w:tr w:rsidR="00CC4100" w:rsidRPr="006D6338" w14:paraId="52F2440C" w14:textId="77777777" w:rsidTr="00A44FCD">
        <w:trPr>
          <w:trHeight w:val="281"/>
        </w:trPr>
        <w:tc>
          <w:tcPr>
            <w:tcW w:w="3544" w:type="dxa"/>
            <w:noWrap/>
            <w:vAlign w:val="bottom"/>
          </w:tcPr>
          <w:p w14:paraId="7E9452F2" w14:textId="77777777" w:rsidR="00CC4100" w:rsidRPr="006D6338" w:rsidRDefault="00CC4100" w:rsidP="00A44FCD">
            <w:pPr>
              <w:widowControl w:val="0"/>
              <w:autoSpaceDE w:val="0"/>
              <w:autoSpaceDN w:val="0"/>
              <w:ind w:right="582"/>
              <w:jc w:val="both"/>
              <w:rPr>
                <w:rFonts w:ascii="Calibri" w:eastAsia="Arial" w:hAnsi="Calibri" w:cs="Calibri"/>
                <w:sz w:val="16"/>
                <w:szCs w:val="16"/>
              </w:rPr>
            </w:pPr>
          </w:p>
        </w:tc>
        <w:tc>
          <w:tcPr>
            <w:tcW w:w="2213" w:type="dxa"/>
            <w:tcBorders>
              <w:top w:val="single" w:sz="4" w:space="0" w:color="auto"/>
              <w:left w:val="nil"/>
              <w:bottom w:val="nil"/>
              <w:right w:val="nil"/>
            </w:tcBorders>
            <w:noWrap/>
            <w:vAlign w:val="bottom"/>
          </w:tcPr>
          <w:p w14:paraId="1B3F1AA2"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c>
          <w:tcPr>
            <w:tcW w:w="2214" w:type="dxa"/>
            <w:tcBorders>
              <w:top w:val="single" w:sz="4" w:space="0" w:color="auto"/>
              <w:left w:val="nil"/>
              <w:bottom w:val="nil"/>
              <w:right w:val="nil"/>
            </w:tcBorders>
            <w:noWrap/>
            <w:vAlign w:val="bottom"/>
          </w:tcPr>
          <w:p w14:paraId="5EED70F9"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c>
          <w:tcPr>
            <w:tcW w:w="2214" w:type="dxa"/>
            <w:tcBorders>
              <w:top w:val="single" w:sz="4" w:space="0" w:color="auto"/>
              <w:left w:val="nil"/>
              <w:bottom w:val="nil"/>
              <w:right w:val="nil"/>
            </w:tcBorders>
            <w:noWrap/>
            <w:vAlign w:val="bottom"/>
          </w:tcPr>
          <w:p w14:paraId="5613DC2B" w14:textId="77777777" w:rsidR="00CC4100" w:rsidRPr="006D6338" w:rsidRDefault="00CC4100" w:rsidP="00A44FCD">
            <w:pPr>
              <w:widowControl w:val="0"/>
              <w:autoSpaceDE w:val="0"/>
              <w:autoSpaceDN w:val="0"/>
              <w:spacing w:before="14" w:line="276" w:lineRule="auto"/>
              <w:ind w:left="90" w:right="101"/>
              <w:jc w:val="right"/>
              <w:rPr>
                <w:rFonts w:ascii="Calibri" w:eastAsia="Arial" w:hAnsi="Calibri" w:cs="Calibri"/>
                <w:bCs/>
                <w:sz w:val="16"/>
                <w:szCs w:val="16"/>
              </w:rPr>
            </w:pPr>
          </w:p>
        </w:tc>
      </w:tr>
    </w:tbl>
    <w:p w14:paraId="332965D0"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p>
    <w:p w14:paraId="5633B427" w14:textId="77777777" w:rsidR="00CC4100" w:rsidRPr="006D6338" w:rsidRDefault="00CC4100" w:rsidP="00CC4100">
      <w:pPr>
        <w:widowControl w:val="0"/>
        <w:autoSpaceDE w:val="0"/>
        <w:autoSpaceDN w:val="0"/>
        <w:ind w:right="582"/>
        <w:jc w:val="both"/>
        <w:rPr>
          <w:rFonts w:ascii="Calibri" w:eastAsia="Arial" w:hAnsi="Calibri" w:cs="Calibri"/>
          <w:sz w:val="16"/>
          <w:szCs w:val="16"/>
        </w:rPr>
      </w:pPr>
    </w:p>
    <w:p w14:paraId="189322F9"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r w:rsidRPr="006D6338">
        <w:rPr>
          <w:rFonts w:ascii="Calibri" w:eastAsia="Calibri" w:hAnsi="Calibri" w:cs="Calibri"/>
          <w:sz w:val="16"/>
          <w:szCs w:val="16"/>
        </w:rPr>
        <w:t>There is no difference between diluted loss per share and basic loss per share due to the loss position of the Group. Convertible loan notes and Warrants could potentially dilute basic earnings per share in the future but were not included in the calculations of diluted earnings per share as they are anti-dilutive for the periods presented.</w:t>
      </w:r>
    </w:p>
    <w:p w14:paraId="5FB16606"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p>
    <w:p w14:paraId="33A3DD88" w14:textId="77777777" w:rsidR="00CC4100" w:rsidRPr="006D6338" w:rsidRDefault="00CC4100">
      <w:pPr>
        <w:widowControl w:val="0"/>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Calibri" w:eastAsia="Arial" w:hAnsi="Calibri" w:cs="Calibri"/>
          <w:b/>
          <w:bCs/>
          <w:sz w:val="16"/>
          <w:szCs w:val="16"/>
        </w:rPr>
      </w:pPr>
      <w:r w:rsidRPr="006D6338">
        <w:rPr>
          <w:rFonts w:ascii="Calibri" w:eastAsia="Arial" w:hAnsi="Calibri" w:cs="Calibri"/>
          <w:b/>
          <w:bCs/>
          <w:sz w:val="16"/>
          <w:szCs w:val="16"/>
        </w:rPr>
        <w:t>Events after the end of the reporting period</w:t>
      </w:r>
    </w:p>
    <w:p w14:paraId="30766CB8" w14:textId="77777777" w:rsidR="00CC4100" w:rsidRPr="006D6338" w:rsidRDefault="00CC4100" w:rsidP="00CC4100">
      <w:pPr>
        <w:widowControl w:val="0"/>
        <w:tabs>
          <w:tab w:val="left" w:pos="0"/>
        </w:tabs>
        <w:autoSpaceDE w:val="0"/>
        <w:autoSpaceDN w:val="0"/>
        <w:adjustRightInd w:val="0"/>
        <w:jc w:val="both"/>
        <w:rPr>
          <w:rFonts w:ascii="Calibri" w:eastAsia="Arial" w:hAnsi="Calibri" w:cs="Calibri"/>
          <w:sz w:val="16"/>
          <w:szCs w:val="16"/>
        </w:rPr>
      </w:pPr>
    </w:p>
    <w:p w14:paraId="4A359F2B"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r w:rsidRPr="006D6338">
        <w:rPr>
          <w:rFonts w:ascii="Calibri" w:eastAsia="Calibri" w:hAnsi="Calibri" w:cs="Calibri"/>
          <w:sz w:val="16"/>
          <w:szCs w:val="16"/>
        </w:rPr>
        <w:t>Subsequent to the reporting date, the Group announced that an updated NI 43-101 Mineral Resource Estimate for the Tully Gold Project exceeded the 200,000-ounce threshold specified in the purchase agreement entered into with Loyalist Exploration Limited in October 2025. Subject to the filing of the relevant technical report, Fulcrum will become entitled to receive an additional 15,000,000 Loyalist shares, or cash in lieu thereof, in accordance with the terms of the agreement. The Group currently holds 78,972,740 shares in Loyalist Exploration Limited.</w:t>
      </w:r>
    </w:p>
    <w:p w14:paraId="062803AD"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p>
    <w:p w14:paraId="4821A929" w14:textId="77777777" w:rsidR="00CC4100" w:rsidRPr="006D6338" w:rsidRDefault="00CC4100" w:rsidP="00CC4100">
      <w:pPr>
        <w:tabs>
          <w:tab w:val="left" w:pos="0"/>
        </w:tabs>
        <w:autoSpaceDE w:val="0"/>
        <w:autoSpaceDN w:val="0"/>
        <w:adjustRightInd w:val="0"/>
        <w:jc w:val="both"/>
        <w:rPr>
          <w:rFonts w:ascii="Calibri" w:eastAsia="Calibri" w:hAnsi="Calibri" w:cs="Calibri"/>
          <w:sz w:val="16"/>
          <w:szCs w:val="16"/>
        </w:rPr>
      </w:pPr>
      <w:r w:rsidRPr="006D6338">
        <w:rPr>
          <w:rFonts w:ascii="Calibri" w:eastAsia="Calibri" w:hAnsi="Calibri" w:cs="Calibri"/>
          <w:sz w:val="16"/>
          <w:szCs w:val="16"/>
        </w:rPr>
        <w:t>On 10 August 2026, the Group completed a second amendment to its option agreement relating to the Saskatchewan uranium portfolio. Under the amended agreement, Terra North Resources Corp. is required to issue 5,600,000 common shares to Fulcrum Metals (Canada) Ltd. at a deemed value of C$560,000. The amendment also deferred a C$75,000 cash payment and preserved the Group's rights to further potential cash and equity consideration under the option agreement.</w:t>
      </w:r>
    </w:p>
    <w:p w14:paraId="458C39D3" w14:textId="77777777" w:rsidR="00FE759D" w:rsidRPr="006D6338" w:rsidRDefault="00FE759D" w:rsidP="00CC4100">
      <w:pPr>
        <w:tabs>
          <w:tab w:val="left" w:pos="0"/>
        </w:tabs>
        <w:autoSpaceDE w:val="0"/>
        <w:autoSpaceDN w:val="0"/>
        <w:adjustRightInd w:val="0"/>
        <w:jc w:val="both"/>
        <w:rPr>
          <w:rFonts w:ascii="Calibri" w:eastAsia="Calibri" w:hAnsi="Calibri" w:cs="Calibri"/>
          <w:sz w:val="16"/>
          <w:szCs w:val="16"/>
        </w:rPr>
      </w:pPr>
    </w:p>
    <w:p w14:paraId="21242E98" w14:textId="1F80F640" w:rsidR="00F515E9" w:rsidRPr="006D6338" w:rsidRDefault="00FE759D" w:rsidP="006D6338">
      <w:pPr>
        <w:rPr>
          <w:rFonts w:ascii="Calibri" w:hAnsi="Calibri" w:cs="Calibri"/>
        </w:rPr>
      </w:pPr>
      <w:r w:rsidRPr="006D6338">
        <w:rPr>
          <w:rFonts w:ascii="Calibri" w:eastAsia="Calibri" w:hAnsi="Calibri" w:cs="Calibri"/>
          <w:sz w:val="16"/>
          <w:szCs w:val="16"/>
        </w:rPr>
        <w:t>On 15 September 2026, the Company announced that it had raised £250,000 before expenses through a direct subscription for 3,571,428 new ordinary shares at an issue price of 7 pence per share. The proceeds are intended to support the Company’s working capital requirements, preparatory activities for the pilot programme and the advancement of the Teck-Hughes and Sylvanite projects.</w:t>
      </w:r>
    </w:p>
    <w:sectPr w:rsidR="00F515E9" w:rsidRPr="006D6338">
      <w:headerReference w:type="default" r:id="rId25"/>
      <w:footerReference w:type="default" r:id="rId26"/>
      <w:pgSz w:w="11900" w:h="16840"/>
      <w:pgMar w:top="720" w:right="1133" w:bottom="720" w:left="72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hris Taylor" w:date="2026-09-02T14:20:00Z" w:initials="CT">
    <w:p w14:paraId="589696B5" w14:textId="77777777" w:rsidR="00CC4100" w:rsidRDefault="00CC4100" w:rsidP="009C520F">
      <w:pPr>
        <w:pStyle w:val="CommentText"/>
      </w:pPr>
      <w:r>
        <w:rPr>
          <w:rStyle w:val="CommentReference"/>
        </w:rPr>
        <w:annotationRef/>
      </w:r>
      <w:r>
        <w:t>I presume no uncertainty over going concern, if there is it should be disclosed.</w:t>
      </w:r>
    </w:p>
  </w:comment>
  <w:comment w:id="2" w:author="Melissa Scott-Hayward" w:date="2026-09-10T09:19:00Z" w:initials="MS">
    <w:p w14:paraId="242071E7" w14:textId="77777777" w:rsidR="00CC4100" w:rsidRDefault="00CC4100" w:rsidP="00AF66B3">
      <w:pPr>
        <w:pStyle w:val="CommentText"/>
      </w:pPr>
      <w:r>
        <w:rPr>
          <w:rStyle w:val="CommentReference"/>
        </w:rPr>
        <w:annotationRef/>
      </w:r>
      <w:r>
        <w:t>Confirmed. No disclosure required as managers deems no uncertainty over going concern</w:t>
      </w:r>
    </w:p>
  </w:comment>
  <w:comment w:id="3" w:author="Chris Taylor" w:date="2026-09-02T14:21:00Z" w:initials="CT">
    <w:p w14:paraId="0BBE5DB9" w14:textId="77777777" w:rsidR="00CC4100" w:rsidRDefault="00CC4100" w:rsidP="00CD7DDB">
      <w:pPr>
        <w:pStyle w:val="CommentText"/>
      </w:pPr>
      <w:r>
        <w:rPr>
          <w:rStyle w:val="CommentReference"/>
        </w:rPr>
        <w:annotationRef/>
      </w:r>
      <w:r>
        <w:t>In the Annual Report, all the detail by project area was removed.  Suggest you do so here as well i.e. remove the table.</w:t>
      </w:r>
    </w:p>
  </w:comment>
  <w:comment w:id="4" w:author="Melissa Scott-Hayward" w:date="2026-09-10T09:23:00Z" w:initials="MS">
    <w:p w14:paraId="211E3B88" w14:textId="77777777" w:rsidR="00CC4100" w:rsidRDefault="00CC4100" w:rsidP="00AF66B3">
      <w:pPr>
        <w:pStyle w:val="CommentText"/>
      </w:pPr>
      <w:r>
        <w:rPr>
          <w:rStyle w:val="CommentReference"/>
        </w:rPr>
        <w:annotationRef/>
      </w:r>
      <w:r>
        <w:t>Removed</w:t>
      </w:r>
    </w:p>
  </w:comment>
  <w:comment w:id="5" w:author="Chris Taylor" w:date="2026-09-02T14:25:00Z" w:initials="CT">
    <w:p w14:paraId="1FDE8229" w14:textId="77777777" w:rsidR="00CC4100" w:rsidRDefault="00CC4100" w:rsidP="00AF77A5">
      <w:pPr>
        <w:pStyle w:val="CommentText"/>
      </w:pPr>
      <w:r>
        <w:rPr>
          <w:rStyle w:val="CommentReference"/>
        </w:rPr>
        <w:annotationRef/>
      </w:r>
      <w:r>
        <w:t>This was an amendment made at the year end in ARA as it doesn’t just include these two project areas.</w:t>
      </w:r>
    </w:p>
  </w:comment>
  <w:comment w:id="6" w:author="Melissa Scott-Hayward" w:date="2026-09-10T09:31:00Z" w:initials="MS">
    <w:p w14:paraId="363429C0" w14:textId="77777777" w:rsidR="00CC4100" w:rsidRDefault="00CC4100" w:rsidP="00833CED">
      <w:pPr>
        <w:pStyle w:val="CommentText"/>
      </w:pPr>
      <w:r>
        <w:rPr>
          <w:rStyle w:val="CommentReference"/>
        </w:rPr>
        <w:annotationRef/>
      </w:r>
      <w:r>
        <w:t>Accepted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9696B5" w15:done="1"/>
  <w15:commentEx w15:paraId="242071E7" w15:paraIdParent="589696B5" w15:done="1"/>
  <w15:commentEx w15:paraId="0BBE5DB9" w15:done="1"/>
  <w15:commentEx w15:paraId="211E3B88" w15:paraIdParent="0BBE5DB9" w15:done="1"/>
  <w15:commentEx w15:paraId="1FDE8229" w15:done="1"/>
  <w15:commentEx w15:paraId="363429C0" w15:paraIdParent="1FDE82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B780CF" w16cex:dateUtc="2026-09-02T13:20:00Z"/>
  <w16cex:commentExtensible w16cex:durableId="2255C862" w16cex:dateUtc="2026-09-10T08:19:00Z"/>
  <w16cex:commentExtensible w16cex:durableId="7EE01188" w16cex:dateUtc="2026-09-02T13:21:00Z"/>
  <w16cex:commentExtensible w16cex:durableId="13CB2470" w16cex:dateUtc="2026-09-10T08:23:00Z"/>
  <w16cex:commentExtensible w16cex:durableId="6803134A" w16cex:dateUtc="2026-09-02T13:25:00Z"/>
  <w16cex:commentExtensible w16cex:durableId="0E70259F" w16cex:dateUtc="2026-09-10T0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9696B5" w16cid:durableId="2EB780CF"/>
  <w16cid:commentId w16cid:paraId="242071E7" w16cid:durableId="2255C862"/>
  <w16cid:commentId w16cid:paraId="0BBE5DB9" w16cid:durableId="7EE01188"/>
  <w16cid:commentId w16cid:paraId="211E3B88" w16cid:durableId="13CB2470"/>
  <w16cid:commentId w16cid:paraId="1FDE8229" w16cid:durableId="6803134A"/>
  <w16cid:commentId w16cid:paraId="363429C0" w16cid:durableId="0E7025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2731" w14:textId="77777777" w:rsidR="002C58BE" w:rsidRDefault="002C58BE">
      <w:r>
        <w:separator/>
      </w:r>
    </w:p>
  </w:endnote>
  <w:endnote w:type="continuationSeparator" w:id="0">
    <w:p w14:paraId="462889CE" w14:textId="77777777" w:rsidR="002C58BE" w:rsidRDefault="002C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Evelyn Raleway">
    <w:altName w:val="Calibri"/>
    <w:charset w:val="00"/>
    <w:family w:val="swiss"/>
    <w:pitch w:val="variable"/>
    <w:sig w:usb0="A00002FF" w:usb1="5000205B" w:usb2="00000000" w:usb3="00000000" w:csb0="00000097" w:csb1="00000000"/>
  </w:font>
  <w:font w:name="AGEEO N+ Helvetica Neue LT St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41861" w14:textId="77777777" w:rsidR="00F515E9" w:rsidRDefault="00F515E9">
    <w:pPr>
      <w:pStyle w:val="BodyText"/>
      <w:spacing w:line="2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F7AD2" w14:textId="77777777" w:rsidR="002C58BE" w:rsidRDefault="002C58BE">
      <w:r>
        <w:separator/>
      </w:r>
    </w:p>
  </w:footnote>
  <w:footnote w:type="continuationSeparator" w:id="0">
    <w:p w14:paraId="573BCCBD" w14:textId="77777777" w:rsidR="002C58BE" w:rsidRDefault="002C5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1A90" w14:textId="41B6D86D" w:rsidR="00F515E9" w:rsidRDefault="00A149C3">
    <w:pPr>
      <w:pStyle w:val="HeaderFooter"/>
    </w:pPr>
    <w:r>
      <w:rPr>
        <w:noProof/>
        <w14:textOutline w14:w="0" w14:cap="rnd" w14:cmpd="sng" w14:algn="ctr">
          <w14:noFill/>
          <w14:prstDash w14:val="solid"/>
          <w14:bevel/>
        </w14:textOutline>
      </w:rPr>
      <w:drawing>
        <wp:inline distT="0" distB="0" distL="0" distR="0" wp14:anchorId="45ED91B7" wp14:editId="141F347B">
          <wp:extent cx="1554480" cy="1066955"/>
          <wp:effectExtent l="0" t="0" r="0" b="0"/>
          <wp:docPr id="1958519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1922" name="Picture 195851922"/>
                  <pic:cNvPicPr/>
                </pic:nvPicPr>
                <pic:blipFill>
                  <a:blip r:embed="rId1">
                    <a:extLst>
                      <a:ext uri="{28A0092B-C50C-407E-A947-70E740481C1C}">
                        <a14:useLocalDpi xmlns:a14="http://schemas.microsoft.com/office/drawing/2010/main" val="0"/>
                      </a:ext>
                    </a:extLst>
                  </a:blip>
                  <a:stretch>
                    <a:fillRect/>
                  </a:stretch>
                </pic:blipFill>
                <pic:spPr>
                  <a:xfrm>
                    <a:off x="0" y="0"/>
                    <a:ext cx="1554480" cy="106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7AA80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1E26D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241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1EBD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0226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4EC35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8467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80ED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0445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0EA3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3C74FAB"/>
    <w:multiLevelType w:val="hybridMultilevel"/>
    <w:tmpl w:val="02E2EFDE"/>
    <w:lvl w:ilvl="0" w:tplc="559A4DEC">
      <w:start w:val="1"/>
      <w:numFmt w:val="decimal"/>
      <w:suff w:val="space"/>
      <w:lvlText w:val="%1."/>
      <w:lvlJc w:val="left"/>
      <w:pPr>
        <w:ind w:left="0" w:firstLine="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07A7E71"/>
    <w:multiLevelType w:val="hybridMultilevel"/>
    <w:tmpl w:val="04B8822A"/>
    <w:styleLink w:val="ImportedStyle3"/>
    <w:lvl w:ilvl="0" w:tplc="006C9E28">
      <w:start w:val="1"/>
      <w:numFmt w:val="bullet"/>
      <w:lvlText w:val="-"/>
      <w:lvlJc w:val="left"/>
      <w:pPr>
        <w:tabs>
          <w:tab w:val="left" w:pos="873"/>
        </w:tabs>
        <w:ind w:left="168"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5"/>
        <w:szCs w:val="25"/>
        <w:highlight w:val="none"/>
        <w:vertAlign w:val="baseline"/>
      </w:rPr>
    </w:lvl>
    <w:lvl w:ilvl="1" w:tplc="FA96025A">
      <w:start w:val="1"/>
      <w:numFmt w:val="bullet"/>
      <w:lvlText w:val="•"/>
      <w:lvlJc w:val="left"/>
      <w:pPr>
        <w:tabs>
          <w:tab w:val="left" w:pos="873"/>
        </w:tabs>
        <w:ind w:left="1030"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C669B96">
      <w:start w:val="1"/>
      <w:numFmt w:val="bullet"/>
      <w:lvlText w:val="•"/>
      <w:lvlJc w:val="left"/>
      <w:pPr>
        <w:tabs>
          <w:tab w:val="left" w:pos="873"/>
        </w:tabs>
        <w:ind w:left="2019"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405C54C8">
      <w:start w:val="1"/>
      <w:numFmt w:val="bullet"/>
      <w:lvlText w:val="•"/>
      <w:lvlJc w:val="left"/>
      <w:pPr>
        <w:tabs>
          <w:tab w:val="left" w:pos="873"/>
        </w:tabs>
        <w:ind w:left="3009"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9C2817A">
      <w:start w:val="1"/>
      <w:numFmt w:val="bullet"/>
      <w:lvlText w:val="•"/>
      <w:lvlJc w:val="left"/>
      <w:pPr>
        <w:tabs>
          <w:tab w:val="left" w:pos="873"/>
        </w:tabs>
        <w:ind w:left="3998"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A7AA1B6">
      <w:start w:val="1"/>
      <w:numFmt w:val="bullet"/>
      <w:lvlText w:val="•"/>
      <w:lvlJc w:val="left"/>
      <w:pPr>
        <w:tabs>
          <w:tab w:val="left" w:pos="873"/>
        </w:tabs>
        <w:ind w:left="4987"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58CAC2C2">
      <w:start w:val="1"/>
      <w:numFmt w:val="bullet"/>
      <w:lvlText w:val="•"/>
      <w:lvlJc w:val="left"/>
      <w:pPr>
        <w:tabs>
          <w:tab w:val="left" w:pos="873"/>
        </w:tabs>
        <w:ind w:left="5976" w:hanging="16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4734F878">
      <w:start w:val="1"/>
      <w:numFmt w:val="bullet"/>
      <w:lvlText w:val="•"/>
      <w:lvlJc w:val="left"/>
      <w:pPr>
        <w:tabs>
          <w:tab w:val="left" w:pos="873"/>
        </w:tabs>
        <w:ind w:left="6966" w:hanging="16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D8D2A706">
      <w:start w:val="1"/>
      <w:numFmt w:val="bullet"/>
      <w:lvlText w:val="•"/>
      <w:lvlJc w:val="left"/>
      <w:pPr>
        <w:tabs>
          <w:tab w:val="left" w:pos="873"/>
        </w:tabs>
        <w:ind w:left="7954" w:hanging="16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967679F"/>
    <w:multiLevelType w:val="hybridMultilevel"/>
    <w:tmpl w:val="1D2A1C38"/>
    <w:styleLink w:val="ImportedStyle2"/>
    <w:lvl w:ilvl="0" w:tplc="08D41C36">
      <w:start w:val="1"/>
      <w:numFmt w:val="decimal"/>
      <w:suff w:val="nothing"/>
      <w:lvlText w:val="%1."/>
      <w:lvlJc w:val="left"/>
      <w:pPr>
        <w:ind w:left="111" w:hanging="111"/>
      </w:pPr>
      <w:rPr>
        <w:rFonts w:hAnsi="Arial Unicode MS"/>
        <w:caps w:val="0"/>
        <w:smallCaps w:val="0"/>
        <w:strike w:val="0"/>
        <w:dstrike w:val="0"/>
        <w:outline w:val="0"/>
        <w:emboss w:val="0"/>
        <w:imprint w:val="0"/>
        <w:spacing w:val="0"/>
        <w:w w:val="100"/>
        <w:kern w:val="0"/>
        <w:position w:val="0"/>
        <w:highlight w:val="none"/>
        <w:vertAlign w:val="baseline"/>
      </w:rPr>
    </w:lvl>
    <w:lvl w:ilvl="1" w:tplc="9A08BFAA">
      <w:start w:val="1"/>
      <w:numFmt w:val="lowerLetter"/>
      <w:lvlText w:val="%2."/>
      <w:lvlJc w:val="left"/>
      <w:pPr>
        <w:ind w:left="1530" w:hanging="450"/>
      </w:pPr>
      <w:rPr>
        <w:rFonts w:hAnsi="Arial Unicode MS"/>
        <w:caps w:val="0"/>
        <w:smallCaps w:val="0"/>
        <w:strike w:val="0"/>
        <w:dstrike w:val="0"/>
        <w:outline w:val="0"/>
        <w:emboss w:val="0"/>
        <w:imprint w:val="0"/>
        <w:spacing w:val="0"/>
        <w:w w:val="100"/>
        <w:kern w:val="0"/>
        <w:position w:val="0"/>
        <w:highlight w:val="none"/>
        <w:vertAlign w:val="baseline"/>
      </w:rPr>
    </w:lvl>
    <w:lvl w:ilvl="2" w:tplc="7348EB52">
      <w:start w:val="1"/>
      <w:numFmt w:val="lowerRoman"/>
      <w:lvlText w:val="%3."/>
      <w:lvlJc w:val="left"/>
      <w:pPr>
        <w:ind w:left="2227"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2730A8F2">
      <w:start w:val="1"/>
      <w:numFmt w:val="decimal"/>
      <w:lvlText w:val="%4."/>
      <w:lvlJc w:val="left"/>
      <w:pPr>
        <w:ind w:left="2970" w:hanging="450"/>
      </w:pPr>
      <w:rPr>
        <w:rFonts w:hAnsi="Arial Unicode MS"/>
        <w:caps w:val="0"/>
        <w:smallCaps w:val="0"/>
        <w:strike w:val="0"/>
        <w:dstrike w:val="0"/>
        <w:outline w:val="0"/>
        <w:emboss w:val="0"/>
        <w:imprint w:val="0"/>
        <w:spacing w:val="0"/>
        <w:w w:val="100"/>
        <w:kern w:val="0"/>
        <w:position w:val="0"/>
        <w:highlight w:val="none"/>
        <w:vertAlign w:val="baseline"/>
      </w:rPr>
    </w:lvl>
    <w:lvl w:ilvl="4" w:tplc="C4FED68C">
      <w:start w:val="1"/>
      <w:numFmt w:val="lowerLetter"/>
      <w:lvlText w:val="%5."/>
      <w:lvlJc w:val="left"/>
      <w:pPr>
        <w:ind w:left="3690" w:hanging="450"/>
      </w:pPr>
      <w:rPr>
        <w:rFonts w:hAnsi="Arial Unicode MS"/>
        <w:caps w:val="0"/>
        <w:smallCaps w:val="0"/>
        <w:strike w:val="0"/>
        <w:dstrike w:val="0"/>
        <w:outline w:val="0"/>
        <w:emboss w:val="0"/>
        <w:imprint w:val="0"/>
        <w:spacing w:val="0"/>
        <w:w w:val="100"/>
        <w:kern w:val="0"/>
        <w:position w:val="0"/>
        <w:highlight w:val="none"/>
        <w:vertAlign w:val="baseline"/>
      </w:rPr>
    </w:lvl>
    <w:lvl w:ilvl="5" w:tplc="5EB246A4">
      <w:start w:val="1"/>
      <w:numFmt w:val="lowerRoman"/>
      <w:lvlText w:val="%6."/>
      <w:lvlJc w:val="left"/>
      <w:pPr>
        <w:ind w:left="4387"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6A6081BC">
      <w:start w:val="1"/>
      <w:numFmt w:val="decimal"/>
      <w:lvlText w:val="%7."/>
      <w:lvlJc w:val="left"/>
      <w:pPr>
        <w:ind w:left="5130" w:hanging="450"/>
      </w:pPr>
      <w:rPr>
        <w:rFonts w:hAnsi="Arial Unicode MS"/>
        <w:caps w:val="0"/>
        <w:smallCaps w:val="0"/>
        <w:strike w:val="0"/>
        <w:dstrike w:val="0"/>
        <w:outline w:val="0"/>
        <w:emboss w:val="0"/>
        <w:imprint w:val="0"/>
        <w:spacing w:val="0"/>
        <w:w w:val="100"/>
        <w:kern w:val="0"/>
        <w:position w:val="0"/>
        <w:highlight w:val="none"/>
        <w:vertAlign w:val="baseline"/>
      </w:rPr>
    </w:lvl>
    <w:lvl w:ilvl="7" w:tplc="748800A4">
      <w:start w:val="1"/>
      <w:numFmt w:val="lowerLetter"/>
      <w:lvlText w:val="%8."/>
      <w:lvlJc w:val="left"/>
      <w:pPr>
        <w:ind w:left="5850" w:hanging="450"/>
      </w:pPr>
      <w:rPr>
        <w:rFonts w:hAnsi="Arial Unicode MS"/>
        <w:caps w:val="0"/>
        <w:smallCaps w:val="0"/>
        <w:strike w:val="0"/>
        <w:dstrike w:val="0"/>
        <w:outline w:val="0"/>
        <w:emboss w:val="0"/>
        <w:imprint w:val="0"/>
        <w:spacing w:val="0"/>
        <w:w w:val="100"/>
        <w:kern w:val="0"/>
        <w:position w:val="0"/>
        <w:highlight w:val="none"/>
        <w:vertAlign w:val="baseline"/>
      </w:rPr>
    </w:lvl>
    <w:lvl w:ilvl="8" w:tplc="FE7EC4D6">
      <w:start w:val="1"/>
      <w:numFmt w:val="lowerRoman"/>
      <w:lvlText w:val="%9."/>
      <w:lvlJc w:val="left"/>
      <w:pPr>
        <w:ind w:left="6547"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80529EB"/>
    <w:multiLevelType w:val="multilevel"/>
    <w:tmpl w:val="BAC8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13A3A"/>
    <w:multiLevelType w:val="hybridMultilevel"/>
    <w:tmpl w:val="1098FF72"/>
    <w:styleLink w:val="ImportedStyle1"/>
    <w:lvl w:ilvl="0" w:tplc="8154F26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1" w:tplc="27C62F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2" w:tplc="E84A25B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3" w:tplc="0220FB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4" w:tplc="AE78D16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5" w:tplc="51A6CF8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6" w:tplc="7D0EF1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7" w:tplc="BB2656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lvl w:ilvl="8" w:tplc="3D88D5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19"/>
        <w:szCs w:val="19"/>
        <w:highlight w:val="none"/>
        <w:vertAlign w:val="baseline"/>
      </w:rPr>
    </w:lvl>
  </w:abstractNum>
  <w:abstractNum w:abstractNumId="15" w15:restartNumberingAfterBreak="0">
    <w:nsid w:val="5F650273"/>
    <w:multiLevelType w:val="hybridMultilevel"/>
    <w:tmpl w:val="1098FF72"/>
    <w:numStyleLink w:val="ImportedStyle1"/>
  </w:abstractNum>
  <w:abstractNum w:abstractNumId="16" w15:restartNumberingAfterBreak="0">
    <w:nsid w:val="61183129"/>
    <w:multiLevelType w:val="hybridMultilevel"/>
    <w:tmpl w:val="5D5038B8"/>
    <w:styleLink w:val="ImportedStyle4"/>
    <w:lvl w:ilvl="0" w:tplc="4A10DDAA">
      <w:start w:val="1"/>
      <w:numFmt w:val="decimal"/>
      <w:lvlText w:val="%1."/>
      <w:lvlJc w:val="left"/>
      <w:pPr>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1" w:tplc="3F7A9916">
      <w:start w:val="1"/>
      <w:numFmt w:val="decimal"/>
      <w:lvlText w:val="%2."/>
      <w:lvlJc w:val="left"/>
      <w:pPr>
        <w:tabs>
          <w:tab w:val="left" w:pos="720"/>
        </w:tabs>
        <w:ind w:left="1620" w:hanging="900"/>
      </w:pPr>
      <w:rPr>
        <w:rFonts w:hAnsi="Arial Unicode MS"/>
        <w:caps w:val="0"/>
        <w:smallCaps w:val="0"/>
        <w:strike w:val="0"/>
        <w:dstrike w:val="0"/>
        <w:outline w:val="0"/>
        <w:emboss w:val="0"/>
        <w:imprint w:val="0"/>
        <w:spacing w:val="0"/>
        <w:w w:val="100"/>
        <w:kern w:val="0"/>
        <w:position w:val="0"/>
        <w:highlight w:val="none"/>
        <w:vertAlign w:val="baseline"/>
      </w:rPr>
    </w:lvl>
    <w:lvl w:ilvl="2" w:tplc="74380F18">
      <w:start w:val="1"/>
      <w:numFmt w:val="decimal"/>
      <w:lvlText w:val="%3."/>
      <w:lvlJc w:val="left"/>
      <w:pPr>
        <w:tabs>
          <w:tab w:val="left" w:pos="720"/>
        </w:tabs>
        <w:ind w:left="2340" w:hanging="900"/>
      </w:pPr>
      <w:rPr>
        <w:rFonts w:hAnsi="Arial Unicode MS"/>
        <w:caps w:val="0"/>
        <w:smallCaps w:val="0"/>
        <w:strike w:val="0"/>
        <w:dstrike w:val="0"/>
        <w:outline w:val="0"/>
        <w:emboss w:val="0"/>
        <w:imprint w:val="0"/>
        <w:spacing w:val="0"/>
        <w:w w:val="100"/>
        <w:kern w:val="0"/>
        <w:position w:val="0"/>
        <w:highlight w:val="none"/>
        <w:vertAlign w:val="baseline"/>
      </w:rPr>
    </w:lvl>
    <w:lvl w:ilvl="3" w:tplc="7FEAA4E6">
      <w:start w:val="1"/>
      <w:numFmt w:val="decimal"/>
      <w:lvlText w:val="%4."/>
      <w:lvlJc w:val="left"/>
      <w:pPr>
        <w:tabs>
          <w:tab w:val="left" w:pos="720"/>
        </w:tabs>
        <w:ind w:left="3060" w:hanging="900"/>
      </w:pPr>
      <w:rPr>
        <w:rFonts w:hAnsi="Arial Unicode MS"/>
        <w:caps w:val="0"/>
        <w:smallCaps w:val="0"/>
        <w:strike w:val="0"/>
        <w:dstrike w:val="0"/>
        <w:outline w:val="0"/>
        <w:emboss w:val="0"/>
        <w:imprint w:val="0"/>
        <w:spacing w:val="0"/>
        <w:w w:val="100"/>
        <w:kern w:val="0"/>
        <w:position w:val="0"/>
        <w:highlight w:val="none"/>
        <w:vertAlign w:val="baseline"/>
      </w:rPr>
    </w:lvl>
    <w:lvl w:ilvl="4" w:tplc="77B4B9AE">
      <w:start w:val="1"/>
      <w:numFmt w:val="decimal"/>
      <w:lvlText w:val="%5."/>
      <w:lvlJc w:val="left"/>
      <w:pPr>
        <w:tabs>
          <w:tab w:val="left" w:pos="720"/>
        </w:tabs>
        <w:ind w:left="3780" w:hanging="900"/>
      </w:pPr>
      <w:rPr>
        <w:rFonts w:hAnsi="Arial Unicode MS"/>
        <w:caps w:val="0"/>
        <w:smallCaps w:val="0"/>
        <w:strike w:val="0"/>
        <w:dstrike w:val="0"/>
        <w:outline w:val="0"/>
        <w:emboss w:val="0"/>
        <w:imprint w:val="0"/>
        <w:spacing w:val="0"/>
        <w:w w:val="100"/>
        <w:kern w:val="0"/>
        <w:position w:val="0"/>
        <w:highlight w:val="none"/>
        <w:vertAlign w:val="baseline"/>
      </w:rPr>
    </w:lvl>
    <w:lvl w:ilvl="5" w:tplc="B972D470">
      <w:start w:val="1"/>
      <w:numFmt w:val="decimal"/>
      <w:lvlText w:val="%6."/>
      <w:lvlJc w:val="left"/>
      <w:pPr>
        <w:tabs>
          <w:tab w:val="left" w:pos="720"/>
        </w:tabs>
        <w:ind w:left="4500" w:hanging="900"/>
      </w:pPr>
      <w:rPr>
        <w:rFonts w:hAnsi="Arial Unicode MS"/>
        <w:caps w:val="0"/>
        <w:smallCaps w:val="0"/>
        <w:strike w:val="0"/>
        <w:dstrike w:val="0"/>
        <w:outline w:val="0"/>
        <w:emboss w:val="0"/>
        <w:imprint w:val="0"/>
        <w:spacing w:val="0"/>
        <w:w w:val="100"/>
        <w:kern w:val="0"/>
        <w:position w:val="0"/>
        <w:highlight w:val="none"/>
        <w:vertAlign w:val="baseline"/>
      </w:rPr>
    </w:lvl>
    <w:lvl w:ilvl="6" w:tplc="8C368062">
      <w:start w:val="1"/>
      <w:numFmt w:val="decimal"/>
      <w:lvlText w:val="%7."/>
      <w:lvlJc w:val="left"/>
      <w:pPr>
        <w:tabs>
          <w:tab w:val="left" w:pos="720"/>
        </w:tabs>
        <w:ind w:left="5220" w:hanging="900"/>
      </w:pPr>
      <w:rPr>
        <w:rFonts w:hAnsi="Arial Unicode MS"/>
        <w:caps w:val="0"/>
        <w:smallCaps w:val="0"/>
        <w:strike w:val="0"/>
        <w:dstrike w:val="0"/>
        <w:outline w:val="0"/>
        <w:emboss w:val="0"/>
        <w:imprint w:val="0"/>
        <w:spacing w:val="0"/>
        <w:w w:val="100"/>
        <w:kern w:val="0"/>
        <w:position w:val="0"/>
        <w:highlight w:val="none"/>
        <w:vertAlign w:val="baseline"/>
      </w:rPr>
    </w:lvl>
    <w:lvl w:ilvl="7" w:tplc="C7F20CE2">
      <w:start w:val="1"/>
      <w:numFmt w:val="decimal"/>
      <w:lvlText w:val="%8."/>
      <w:lvlJc w:val="left"/>
      <w:pPr>
        <w:tabs>
          <w:tab w:val="left" w:pos="720"/>
        </w:tabs>
        <w:ind w:left="5940" w:hanging="900"/>
      </w:pPr>
      <w:rPr>
        <w:rFonts w:hAnsi="Arial Unicode MS"/>
        <w:caps w:val="0"/>
        <w:smallCaps w:val="0"/>
        <w:strike w:val="0"/>
        <w:dstrike w:val="0"/>
        <w:outline w:val="0"/>
        <w:emboss w:val="0"/>
        <w:imprint w:val="0"/>
        <w:spacing w:val="0"/>
        <w:w w:val="100"/>
        <w:kern w:val="0"/>
        <w:position w:val="0"/>
        <w:highlight w:val="none"/>
        <w:vertAlign w:val="baseline"/>
      </w:rPr>
    </w:lvl>
    <w:lvl w:ilvl="8" w:tplc="81DAE754">
      <w:start w:val="1"/>
      <w:numFmt w:val="decimal"/>
      <w:lvlText w:val="%9."/>
      <w:lvlJc w:val="left"/>
      <w:pPr>
        <w:tabs>
          <w:tab w:val="left" w:pos="720"/>
        </w:tabs>
        <w:ind w:left="6660" w:hanging="9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D5F140A"/>
    <w:multiLevelType w:val="multilevel"/>
    <w:tmpl w:val="0234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532901">
    <w:abstractNumId w:val="14"/>
  </w:num>
  <w:num w:numId="2" w16cid:durableId="102649929">
    <w:abstractNumId w:val="15"/>
  </w:num>
  <w:num w:numId="3" w16cid:durableId="1093015618">
    <w:abstractNumId w:val="15"/>
    <w:lvlOverride w:ilvl="0">
      <w:lvl w:ilvl="0" w:tplc="D1DC80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30668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9D6C1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3100B8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71453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0402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C6AF1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670AF8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074E1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591810208">
    <w:abstractNumId w:val="12"/>
  </w:num>
  <w:num w:numId="5" w16cid:durableId="1833836720">
    <w:abstractNumId w:val="11"/>
  </w:num>
  <w:num w:numId="6" w16cid:durableId="1250428663">
    <w:abstractNumId w:val="16"/>
  </w:num>
  <w:num w:numId="7" w16cid:durableId="1675036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6505205">
    <w:abstractNumId w:val="9"/>
  </w:num>
  <w:num w:numId="9" w16cid:durableId="667682519">
    <w:abstractNumId w:val="7"/>
  </w:num>
  <w:num w:numId="10" w16cid:durableId="495463395">
    <w:abstractNumId w:val="6"/>
  </w:num>
  <w:num w:numId="11" w16cid:durableId="1268849322">
    <w:abstractNumId w:val="5"/>
  </w:num>
  <w:num w:numId="12" w16cid:durableId="1324360863">
    <w:abstractNumId w:val="4"/>
  </w:num>
  <w:num w:numId="13" w16cid:durableId="1249387229">
    <w:abstractNumId w:val="8"/>
  </w:num>
  <w:num w:numId="14" w16cid:durableId="1946419537">
    <w:abstractNumId w:val="3"/>
  </w:num>
  <w:num w:numId="15" w16cid:durableId="1375498316">
    <w:abstractNumId w:val="2"/>
  </w:num>
  <w:num w:numId="16" w16cid:durableId="1327904651">
    <w:abstractNumId w:val="1"/>
  </w:num>
  <w:num w:numId="17" w16cid:durableId="294262140">
    <w:abstractNumId w:val="0"/>
  </w:num>
  <w:num w:numId="18" w16cid:durableId="1392265833">
    <w:abstractNumId w:val="13"/>
  </w:num>
  <w:num w:numId="19" w16cid:durableId="566838768">
    <w:abstractNumId w:val="17"/>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Taylor">
    <w15:presenceInfo w15:providerId="AD" w15:userId="S::ctaylor@adlershine.com::29da3f1b-4bc4-46c7-9433-b532e2893d0c"/>
  </w15:person>
  <w15:person w15:author="Melissa Scott-Hayward">
    <w15:presenceInfo w15:providerId="AD" w15:userId="S::melissa.scott-hayward@swgroup.com::244f0018-5088-4663-9897-f764e7e85c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E9"/>
    <w:rsid w:val="00002FD1"/>
    <w:rsid w:val="0000596E"/>
    <w:rsid w:val="00022C65"/>
    <w:rsid w:val="000242A8"/>
    <w:rsid w:val="0003733A"/>
    <w:rsid w:val="00063F9C"/>
    <w:rsid w:val="00073073"/>
    <w:rsid w:val="000C0D68"/>
    <w:rsid w:val="000E2DC4"/>
    <w:rsid w:val="00120327"/>
    <w:rsid w:val="00161167"/>
    <w:rsid w:val="001E59A9"/>
    <w:rsid w:val="00221A05"/>
    <w:rsid w:val="0027030C"/>
    <w:rsid w:val="0029675B"/>
    <w:rsid w:val="002C58BE"/>
    <w:rsid w:val="00301181"/>
    <w:rsid w:val="0030418A"/>
    <w:rsid w:val="003164C3"/>
    <w:rsid w:val="003332A6"/>
    <w:rsid w:val="003334B8"/>
    <w:rsid w:val="00364975"/>
    <w:rsid w:val="003928D3"/>
    <w:rsid w:val="00400DE8"/>
    <w:rsid w:val="00400E35"/>
    <w:rsid w:val="00402523"/>
    <w:rsid w:val="00417DEF"/>
    <w:rsid w:val="00441DA9"/>
    <w:rsid w:val="00456894"/>
    <w:rsid w:val="004C22D9"/>
    <w:rsid w:val="0052180B"/>
    <w:rsid w:val="005613BA"/>
    <w:rsid w:val="00653DE1"/>
    <w:rsid w:val="006B00B2"/>
    <w:rsid w:val="006D6338"/>
    <w:rsid w:val="006E0EFC"/>
    <w:rsid w:val="006F4E8A"/>
    <w:rsid w:val="006F575C"/>
    <w:rsid w:val="007368A2"/>
    <w:rsid w:val="0076369D"/>
    <w:rsid w:val="007958AB"/>
    <w:rsid w:val="007D4F05"/>
    <w:rsid w:val="007F4D80"/>
    <w:rsid w:val="00807D54"/>
    <w:rsid w:val="0081302C"/>
    <w:rsid w:val="0083478B"/>
    <w:rsid w:val="00861E30"/>
    <w:rsid w:val="00892EFA"/>
    <w:rsid w:val="008B198D"/>
    <w:rsid w:val="008D6ED8"/>
    <w:rsid w:val="00921279"/>
    <w:rsid w:val="00932D01"/>
    <w:rsid w:val="0096321B"/>
    <w:rsid w:val="00977DEB"/>
    <w:rsid w:val="009A201A"/>
    <w:rsid w:val="009D51FD"/>
    <w:rsid w:val="009E5D3D"/>
    <w:rsid w:val="009F4BF2"/>
    <w:rsid w:val="009F68BB"/>
    <w:rsid w:val="00A0285D"/>
    <w:rsid w:val="00A04513"/>
    <w:rsid w:val="00A07D85"/>
    <w:rsid w:val="00A10DFE"/>
    <w:rsid w:val="00A149C3"/>
    <w:rsid w:val="00A23525"/>
    <w:rsid w:val="00A64FF5"/>
    <w:rsid w:val="00A702D4"/>
    <w:rsid w:val="00AC61B0"/>
    <w:rsid w:val="00AD4F99"/>
    <w:rsid w:val="00AF3857"/>
    <w:rsid w:val="00B04DA6"/>
    <w:rsid w:val="00B2494B"/>
    <w:rsid w:val="00B50A2D"/>
    <w:rsid w:val="00B979FC"/>
    <w:rsid w:val="00BA26D9"/>
    <w:rsid w:val="00BA5D3E"/>
    <w:rsid w:val="00BD0327"/>
    <w:rsid w:val="00BD7D98"/>
    <w:rsid w:val="00C11396"/>
    <w:rsid w:val="00C37824"/>
    <w:rsid w:val="00C44928"/>
    <w:rsid w:val="00C8153B"/>
    <w:rsid w:val="00CC4100"/>
    <w:rsid w:val="00D07A90"/>
    <w:rsid w:val="00D1488F"/>
    <w:rsid w:val="00D44547"/>
    <w:rsid w:val="00D52317"/>
    <w:rsid w:val="00D745C8"/>
    <w:rsid w:val="00DB18A4"/>
    <w:rsid w:val="00DB3831"/>
    <w:rsid w:val="00E26AF5"/>
    <w:rsid w:val="00E41472"/>
    <w:rsid w:val="00E52B3A"/>
    <w:rsid w:val="00E73FB1"/>
    <w:rsid w:val="00EA5471"/>
    <w:rsid w:val="00EE53F6"/>
    <w:rsid w:val="00F041A1"/>
    <w:rsid w:val="00F135CC"/>
    <w:rsid w:val="00F515E9"/>
    <w:rsid w:val="00F6355D"/>
    <w:rsid w:val="00F64F9E"/>
    <w:rsid w:val="00F92B9F"/>
    <w:rsid w:val="00FE7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AB12"/>
  <w15:docId w15:val="{73C8E7E6-0AAB-0F43-838E-F956D1F2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link w:val="Heading1Char"/>
    <w:uiPriority w:val="9"/>
    <w:qFormat/>
    <w:rsid w:val="008B198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779"/>
      <w:outlineLvl w:val="0"/>
    </w:pPr>
    <w:rPr>
      <w:rFonts w:ascii="Arial" w:eastAsia="Arial" w:hAnsi="Arial" w:cs="Arial"/>
      <w:b/>
      <w:bCs/>
      <w:sz w:val="20"/>
      <w:szCs w:val="20"/>
      <w:bdr w:val="none" w:sz="0" w:space="0" w:color="auto"/>
    </w:rPr>
  </w:style>
  <w:style w:type="paragraph" w:styleId="Heading2">
    <w:name w:val="heading 2"/>
    <w:basedOn w:val="Normal"/>
    <w:next w:val="Normal"/>
    <w:link w:val="Heading2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1"/>
    </w:pPr>
    <w:rPr>
      <w:rFonts w:asciiTheme="majorHAnsi" w:eastAsiaTheme="majorEastAsia" w:hAnsiTheme="majorHAnsi" w:cstheme="majorBidi"/>
      <w:color w:val="2F5496" w:themeColor="accent1" w:themeShade="BF"/>
      <w:sz w:val="26"/>
      <w:szCs w:val="26"/>
      <w:bdr w:val="none" w:sz="0" w:space="0" w:color="auto"/>
      <w:lang w:val="en-GB"/>
    </w:rPr>
  </w:style>
  <w:style w:type="paragraph" w:styleId="Heading3">
    <w:name w:val="heading 3"/>
    <w:basedOn w:val="Normal"/>
    <w:next w:val="Normal"/>
    <w:link w:val="Heading3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2"/>
    </w:pPr>
    <w:rPr>
      <w:rFonts w:asciiTheme="majorHAnsi" w:eastAsiaTheme="majorEastAsia" w:hAnsiTheme="majorHAnsi" w:cstheme="majorBidi"/>
      <w:color w:val="1F3763" w:themeColor="accent1" w:themeShade="7F"/>
      <w:bdr w:val="none" w:sz="0" w:space="0" w:color="auto"/>
      <w:lang w:val="en-GB"/>
    </w:rPr>
  </w:style>
  <w:style w:type="paragraph" w:styleId="Heading4">
    <w:name w:val="heading 4"/>
    <w:basedOn w:val="Normal"/>
    <w:next w:val="Normal"/>
    <w:link w:val="Heading4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3"/>
    </w:pPr>
    <w:rPr>
      <w:rFonts w:asciiTheme="majorHAnsi" w:eastAsiaTheme="majorEastAsia" w:hAnsiTheme="majorHAnsi" w:cstheme="majorBidi"/>
      <w:i/>
      <w:iCs/>
      <w:color w:val="2F5496" w:themeColor="accent1" w:themeShade="BF"/>
      <w:sz w:val="21"/>
      <w:szCs w:val="22"/>
      <w:bdr w:val="none" w:sz="0" w:space="0" w:color="auto"/>
      <w:lang w:val="en-GB"/>
    </w:rPr>
  </w:style>
  <w:style w:type="paragraph" w:styleId="Heading5">
    <w:name w:val="heading 5"/>
    <w:basedOn w:val="Normal"/>
    <w:next w:val="Normal"/>
    <w:link w:val="Heading5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4"/>
    </w:pPr>
    <w:rPr>
      <w:rFonts w:asciiTheme="majorHAnsi" w:eastAsiaTheme="majorEastAsia" w:hAnsiTheme="majorHAnsi" w:cstheme="majorBidi"/>
      <w:color w:val="2F5496" w:themeColor="accent1" w:themeShade="BF"/>
      <w:sz w:val="21"/>
      <w:szCs w:val="22"/>
      <w:bdr w:val="none" w:sz="0" w:space="0" w:color="auto"/>
      <w:lang w:val="en-GB"/>
    </w:rPr>
  </w:style>
  <w:style w:type="paragraph" w:styleId="Heading6">
    <w:name w:val="heading 6"/>
    <w:basedOn w:val="Normal"/>
    <w:next w:val="Normal"/>
    <w:link w:val="Heading6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ajorHAnsi" w:eastAsiaTheme="majorEastAsia" w:hAnsiTheme="majorHAnsi" w:cstheme="majorBidi"/>
      <w:color w:val="1F3763" w:themeColor="accent1" w:themeShade="7F"/>
      <w:sz w:val="21"/>
      <w:szCs w:val="22"/>
      <w:bdr w:val="none" w:sz="0" w:space="0" w:color="auto"/>
      <w:lang w:val="en-GB"/>
    </w:rPr>
  </w:style>
  <w:style w:type="paragraph" w:styleId="Heading7">
    <w:name w:val="heading 7"/>
    <w:basedOn w:val="Normal"/>
    <w:next w:val="Normal"/>
    <w:link w:val="Heading7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ajorHAnsi" w:eastAsiaTheme="majorEastAsia" w:hAnsiTheme="majorHAnsi" w:cstheme="majorBidi"/>
      <w:i/>
      <w:iCs/>
      <w:color w:val="1F3763" w:themeColor="accent1" w:themeShade="7F"/>
      <w:sz w:val="21"/>
      <w:szCs w:val="22"/>
      <w:bdr w:val="none" w:sz="0" w:space="0" w:color="auto"/>
      <w:lang w:val="en-GB"/>
    </w:rPr>
  </w:style>
  <w:style w:type="paragraph" w:styleId="Heading8">
    <w:name w:val="heading 8"/>
    <w:basedOn w:val="Normal"/>
    <w:next w:val="Normal"/>
    <w:link w:val="Heading8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7"/>
    </w:pPr>
    <w:rPr>
      <w:rFonts w:asciiTheme="majorHAnsi" w:eastAsiaTheme="majorEastAsia" w:hAnsiTheme="majorHAnsi" w:cstheme="majorBidi"/>
      <w:color w:val="272727" w:themeColor="text1" w:themeTint="D8"/>
      <w:sz w:val="21"/>
      <w:szCs w:val="21"/>
      <w:bdr w:val="none" w:sz="0" w:space="0" w:color="auto"/>
      <w:lang w:val="en-GB"/>
    </w:rPr>
  </w:style>
  <w:style w:type="paragraph" w:styleId="Heading9">
    <w:name w:val="heading 9"/>
    <w:basedOn w:val="Normal"/>
    <w:next w:val="Normal"/>
    <w:link w:val="Heading9Char"/>
    <w:uiPriority w:val="9"/>
    <w:semiHidden/>
    <w:unhideWhenUsed/>
    <w:qFormat/>
    <w:rsid w:val="008B198D"/>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8"/>
    </w:pPr>
    <w:rPr>
      <w:rFonts w:asciiTheme="majorHAnsi" w:eastAsiaTheme="majorEastAsia" w:hAnsiTheme="majorHAnsi" w:cstheme="majorBidi"/>
      <w:i/>
      <w:iCs/>
      <w:color w:val="272727" w:themeColor="text1" w:themeTint="D8"/>
      <w:sz w:val="21"/>
      <w:szCs w:val="21"/>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Evelyn Raleway" w:eastAsia="Evelyn Raleway" w:hAnsi="Evelyn Raleway" w:cs="Evelyn Raleway"/>
      <w:color w:val="000000"/>
      <w:sz w:val="21"/>
      <w:szCs w:val="21"/>
      <w:u w:color="000000"/>
      <w:lang w:val="en-US"/>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Evelyn Raleway" w:eastAsia="Evelyn Raleway" w:hAnsi="Evelyn Raleway" w:cs="Evelyn Raleway"/>
      <w:color w:val="000000"/>
      <w:sz w:val="21"/>
      <w:szCs w:val="21"/>
      <w:u w:color="000000"/>
      <w:lang w:val="en-US"/>
    </w:rPr>
  </w:style>
  <w:style w:type="paragraph" w:styleId="BodyText">
    <w:name w:val="Body Text"/>
    <w:link w:val="BodyTextChar1"/>
    <w:uiPriority w:val="1"/>
    <w:qFormat/>
    <w:pPr>
      <w:widowControl w:val="0"/>
    </w:pPr>
    <w:rPr>
      <w:rFonts w:ascii="Arial" w:eastAsia="Arial" w:hAnsi="Arial" w:cs="Arial"/>
      <w:color w:val="000000"/>
      <w:u w:color="000000"/>
      <w:lang w:val="en-US"/>
    </w:rPr>
  </w:style>
  <w:style w:type="numbering" w:customStyle="1" w:styleId="ImportedStyle1">
    <w:name w:val="Imported Style 1"/>
    <w:pPr>
      <w:numPr>
        <w:numId w:val="1"/>
      </w:numPr>
    </w:pPr>
  </w:style>
  <w:style w:type="character" w:customStyle="1" w:styleId="Link">
    <w:name w:val="Link"/>
    <w:rPr>
      <w:outline w:val="0"/>
      <w:color w:val="0563C1"/>
      <w:u w:val="single" w:color="0563C1"/>
      <w:lang w:val="en-US"/>
    </w:rPr>
  </w:style>
  <w:style w:type="numbering" w:customStyle="1" w:styleId="ImportedStyle2">
    <w:name w:val="Imported Style 2"/>
    <w:pPr>
      <w:numPr>
        <w:numId w:val="4"/>
      </w:numPr>
    </w:pPr>
  </w:style>
  <w:style w:type="paragraph" w:customStyle="1" w:styleId="TableParagraph">
    <w:name w:val="Table Paragraph"/>
    <w:uiPriority w:val="1"/>
    <w:qFormat/>
    <w:pPr>
      <w:widowControl w:val="0"/>
    </w:pPr>
    <w:rPr>
      <w:rFonts w:ascii="Arial" w:hAnsi="Arial" w:cs="Arial Unicode MS"/>
      <w:color w:val="000000"/>
      <w:sz w:val="22"/>
      <w:szCs w:val="22"/>
      <w:u w:color="000000"/>
      <w:lang w:val="en-US"/>
    </w:rPr>
  </w:style>
  <w:style w:type="paragraph" w:styleId="ListParagraph">
    <w:name w:val="List Paragraph"/>
    <w:link w:val="ListParagraphChar"/>
    <w:uiPriority w:val="34"/>
    <w:qFormat/>
    <w:pPr>
      <w:widowControl w:val="0"/>
      <w:ind w:left="779" w:hanging="122"/>
    </w:pPr>
    <w:rPr>
      <w:rFonts w:ascii="Arial" w:eastAsia="Arial" w:hAnsi="Arial" w:cs="Arial"/>
      <w:color w:val="000000"/>
      <w:sz w:val="22"/>
      <w:szCs w:val="22"/>
      <w:u w:color="000000"/>
      <w:lang w:val="en-US"/>
    </w:rPr>
  </w:style>
  <w:style w:type="numbering" w:customStyle="1" w:styleId="ImportedStyle3">
    <w:name w:val="Imported Style 3"/>
    <w:pPr>
      <w:numPr>
        <w:numId w:val="5"/>
      </w:numPr>
    </w:pPr>
  </w:style>
  <w:style w:type="numbering" w:customStyle="1" w:styleId="ImportedStyle4">
    <w:name w:val="Imported Style 4"/>
    <w:pPr>
      <w:numPr>
        <w:numId w:val="6"/>
      </w:numPr>
    </w:pPr>
  </w:style>
  <w:style w:type="paragraph" w:styleId="Header">
    <w:name w:val="header"/>
    <w:basedOn w:val="Normal"/>
    <w:link w:val="HeaderChar"/>
    <w:uiPriority w:val="99"/>
    <w:unhideWhenUsed/>
    <w:rsid w:val="008B198D"/>
    <w:pPr>
      <w:tabs>
        <w:tab w:val="center" w:pos="4513"/>
        <w:tab w:val="right" w:pos="9026"/>
      </w:tabs>
    </w:pPr>
  </w:style>
  <w:style w:type="character" w:customStyle="1" w:styleId="HeaderChar">
    <w:name w:val="Header Char"/>
    <w:basedOn w:val="DefaultParagraphFont"/>
    <w:link w:val="Header"/>
    <w:uiPriority w:val="99"/>
    <w:rsid w:val="008B198D"/>
    <w:rPr>
      <w:sz w:val="24"/>
      <w:szCs w:val="24"/>
      <w:lang w:val="en-US" w:eastAsia="en-US"/>
    </w:rPr>
  </w:style>
  <w:style w:type="character" w:customStyle="1" w:styleId="Heading1Char">
    <w:name w:val="Heading 1 Char"/>
    <w:basedOn w:val="DefaultParagraphFont"/>
    <w:link w:val="Heading1"/>
    <w:uiPriority w:val="9"/>
    <w:rsid w:val="008B198D"/>
    <w:rPr>
      <w:rFonts w:ascii="Arial" w:eastAsia="Arial" w:hAnsi="Arial" w:cs="Arial"/>
      <w:b/>
      <w:bCs/>
      <w:bdr w:val="none" w:sz="0" w:space="0" w:color="auto"/>
      <w:lang w:val="en-US" w:eastAsia="en-US"/>
    </w:rPr>
  </w:style>
  <w:style w:type="character" w:customStyle="1" w:styleId="Heading2Char">
    <w:name w:val="Heading 2 Char"/>
    <w:basedOn w:val="DefaultParagraphFont"/>
    <w:link w:val="Heading2"/>
    <w:uiPriority w:val="9"/>
    <w:semiHidden/>
    <w:rsid w:val="008B198D"/>
    <w:rPr>
      <w:rFonts w:asciiTheme="majorHAnsi" w:eastAsiaTheme="majorEastAsia" w:hAnsiTheme="majorHAnsi" w:cstheme="majorBidi"/>
      <w:color w:val="2F5496" w:themeColor="accent1" w:themeShade="BF"/>
      <w:sz w:val="26"/>
      <w:szCs w:val="26"/>
      <w:bdr w:val="none" w:sz="0" w:space="0" w:color="auto"/>
      <w:lang w:eastAsia="en-US"/>
    </w:rPr>
  </w:style>
  <w:style w:type="character" w:customStyle="1" w:styleId="Heading3Char">
    <w:name w:val="Heading 3 Char"/>
    <w:basedOn w:val="DefaultParagraphFont"/>
    <w:link w:val="Heading3"/>
    <w:uiPriority w:val="9"/>
    <w:semiHidden/>
    <w:rsid w:val="008B198D"/>
    <w:rPr>
      <w:rFonts w:asciiTheme="majorHAnsi" w:eastAsiaTheme="majorEastAsia" w:hAnsiTheme="majorHAnsi" w:cstheme="majorBidi"/>
      <w:color w:val="1F3763" w:themeColor="accent1" w:themeShade="7F"/>
      <w:sz w:val="24"/>
      <w:szCs w:val="24"/>
      <w:bdr w:val="none" w:sz="0" w:space="0" w:color="auto"/>
      <w:lang w:eastAsia="en-US"/>
    </w:rPr>
  </w:style>
  <w:style w:type="character" w:customStyle="1" w:styleId="Heading4Char">
    <w:name w:val="Heading 4 Char"/>
    <w:basedOn w:val="DefaultParagraphFont"/>
    <w:link w:val="Heading4"/>
    <w:uiPriority w:val="9"/>
    <w:semiHidden/>
    <w:rsid w:val="008B198D"/>
    <w:rPr>
      <w:rFonts w:asciiTheme="majorHAnsi" w:eastAsiaTheme="majorEastAsia" w:hAnsiTheme="majorHAnsi" w:cstheme="majorBidi"/>
      <w:i/>
      <w:iCs/>
      <w:color w:val="2F5496" w:themeColor="accent1" w:themeShade="BF"/>
      <w:sz w:val="21"/>
      <w:szCs w:val="22"/>
      <w:bdr w:val="none" w:sz="0" w:space="0" w:color="auto"/>
      <w:lang w:eastAsia="en-US"/>
    </w:rPr>
  </w:style>
  <w:style w:type="character" w:customStyle="1" w:styleId="Heading5Char">
    <w:name w:val="Heading 5 Char"/>
    <w:basedOn w:val="DefaultParagraphFont"/>
    <w:link w:val="Heading5"/>
    <w:uiPriority w:val="9"/>
    <w:semiHidden/>
    <w:rsid w:val="008B198D"/>
    <w:rPr>
      <w:rFonts w:asciiTheme="majorHAnsi" w:eastAsiaTheme="majorEastAsia" w:hAnsiTheme="majorHAnsi" w:cstheme="majorBidi"/>
      <w:color w:val="2F5496" w:themeColor="accent1" w:themeShade="BF"/>
      <w:sz w:val="21"/>
      <w:szCs w:val="22"/>
      <w:bdr w:val="none" w:sz="0" w:space="0" w:color="auto"/>
      <w:lang w:eastAsia="en-US"/>
    </w:rPr>
  </w:style>
  <w:style w:type="character" w:customStyle="1" w:styleId="Heading6Char">
    <w:name w:val="Heading 6 Char"/>
    <w:basedOn w:val="DefaultParagraphFont"/>
    <w:link w:val="Heading6"/>
    <w:uiPriority w:val="9"/>
    <w:semiHidden/>
    <w:rsid w:val="008B198D"/>
    <w:rPr>
      <w:rFonts w:asciiTheme="majorHAnsi" w:eastAsiaTheme="majorEastAsia" w:hAnsiTheme="majorHAnsi" w:cstheme="majorBidi"/>
      <w:color w:val="1F3763" w:themeColor="accent1" w:themeShade="7F"/>
      <w:sz w:val="21"/>
      <w:szCs w:val="22"/>
      <w:bdr w:val="none" w:sz="0" w:space="0" w:color="auto"/>
      <w:lang w:eastAsia="en-US"/>
    </w:rPr>
  </w:style>
  <w:style w:type="character" w:customStyle="1" w:styleId="Heading7Char">
    <w:name w:val="Heading 7 Char"/>
    <w:basedOn w:val="DefaultParagraphFont"/>
    <w:link w:val="Heading7"/>
    <w:uiPriority w:val="9"/>
    <w:semiHidden/>
    <w:rsid w:val="008B198D"/>
    <w:rPr>
      <w:rFonts w:asciiTheme="majorHAnsi" w:eastAsiaTheme="majorEastAsia" w:hAnsiTheme="majorHAnsi" w:cstheme="majorBidi"/>
      <w:i/>
      <w:iCs/>
      <w:color w:val="1F3763" w:themeColor="accent1" w:themeShade="7F"/>
      <w:sz w:val="21"/>
      <w:szCs w:val="22"/>
      <w:bdr w:val="none" w:sz="0" w:space="0" w:color="auto"/>
      <w:lang w:eastAsia="en-US"/>
    </w:rPr>
  </w:style>
  <w:style w:type="character" w:customStyle="1" w:styleId="Heading8Char">
    <w:name w:val="Heading 8 Char"/>
    <w:basedOn w:val="DefaultParagraphFont"/>
    <w:link w:val="Heading8"/>
    <w:uiPriority w:val="9"/>
    <w:semiHidden/>
    <w:rsid w:val="008B198D"/>
    <w:rPr>
      <w:rFonts w:asciiTheme="majorHAnsi" w:eastAsiaTheme="majorEastAsia" w:hAnsiTheme="majorHAnsi" w:cstheme="majorBidi"/>
      <w:color w:val="272727" w:themeColor="text1" w:themeTint="D8"/>
      <w:sz w:val="21"/>
      <w:szCs w:val="21"/>
      <w:bdr w:val="none" w:sz="0" w:space="0" w:color="auto"/>
      <w:lang w:eastAsia="en-US"/>
    </w:rPr>
  </w:style>
  <w:style w:type="character" w:customStyle="1" w:styleId="Heading9Char">
    <w:name w:val="Heading 9 Char"/>
    <w:basedOn w:val="DefaultParagraphFont"/>
    <w:link w:val="Heading9"/>
    <w:uiPriority w:val="9"/>
    <w:semiHidden/>
    <w:rsid w:val="008B198D"/>
    <w:rPr>
      <w:rFonts w:asciiTheme="majorHAnsi" w:eastAsiaTheme="majorEastAsia" w:hAnsiTheme="majorHAnsi" w:cstheme="majorBidi"/>
      <w:i/>
      <w:iCs/>
      <w:color w:val="272727" w:themeColor="text1" w:themeTint="D8"/>
      <w:sz w:val="21"/>
      <w:szCs w:val="21"/>
      <w:bdr w:val="none" w:sz="0" w:space="0" w:color="auto"/>
      <w:lang w:eastAsia="en-US"/>
    </w:rPr>
  </w:style>
  <w:style w:type="character" w:customStyle="1" w:styleId="BodyTextChar">
    <w:name w:val="Body Text Char"/>
    <w:basedOn w:val="DefaultParagraphFont"/>
    <w:uiPriority w:val="1"/>
    <w:rsid w:val="008B198D"/>
    <w:rPr>
      <w:rFonts w:ascii="Arial" w:eastAsia="Arial" w:hAnsi="Arial" w:cs="Arial"/>
      <w:sz w:val="20"/>
      <w:szCs w:val="20"/>
      <w:lang w:val="en-US"/>
    </w:rPr>
  </w:style>
  <w:style w:type="paragraph" w:customStyle="1" w:styleId="Default">
    <w:name w:val="Default"/>
    <w:rsid w:val="008B198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GEEO N+ Helvetica Neue LT Std" w:eastAsiaTheme="minorHAnsi" w:hAnsi="AGEEO N+ Helvetica Neue LT Std" w:cs="AGEEO N+ Helvetica Neue LT Std"/>
      <w:color w:val="000000"/>
      <w:sz w:val="24"/>
      <w:szCs w:val="24"/>
      <w:bdr w:val="none" w:sz="0" w:space="0" w:color="auto"/>
      <w:lang w:eastAsia="en-US"/>
    </w:rPr>
  </w:style>
  <w:style w:type="character" w:customStyle="1" w:styleId="FooterChar">
    <w:name w:val="Footer Char"/>
    <w:basedOn w:val="DefaultParagraphFont"/>
    <w:link w:val="Footer"/>
    <w:uiPriority w:val="99"/>
    <w:rsid w:val="008B198D"/>
    <w:rPr>
      <w:rFonts w:ascii="Evelyn Raleway" w:eastAsia="Evelyn Raleway" w:hAnsi="Evelyn Raleway" w:cs="Evelyn Raleway"/>
      <w:color w:val="000000"/>
      <w:sz w:val="21"/>
      <w:szCs w:val="21"/>
      <w:u w:color="000000"/>
      <w:lang w:val="en-US"/>
    </w:rPr>
  </w:style>
  <w:style w:type="character" w:styleId="CommentReference">
    <w:name w:val="annotation reference"/>
    <w:basedOn w:val="DefaultParagraphFont"/>
    <w:uiPriority w:val="99"/>
    <w:semiHidden/>
    <w:unhideWhenUsed/>
    <w:rsid w:val="008B198D"/>
    <w:rPr>
      <w:sz w:val="16"/>
      <w:szCs w:val="16"/>
    </w:rPr>
  </w:style>
  <w:style w:type="paragraph" w:styleId="CommentText">
    <w:name w:val="annotation text"/>
    <w:basedOn w:val="Normal"/>
    <w:link w:val="CommentTextChar"/>
    <w:uiPriority w:val="99"/>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Evelyn Raleway" w:eastAsiaTheme="minorHAnsi" w:hAnsi="Evelyn Raleway" w:cstheme="minorBidi"/>
      <w:sz w:val="20"/>
      <w:szCs w:val="20"/>
      <w:bdr w:val="none" w:sz="0" w:space="0" w:color="auto"/>
      <w:lang w:val="en-GB"/>
    </w:rPr>
  </w:style>
  <w:style w:type="character" w:customStyle="1" w:styleId="CommentTextChar">
    <w:name w:val="Comment Text Char"/>
    <w:basedOn w:val="DefaultParagraphFont"/>
    <w:link w:val="CommentText"/>
    <w:uiPriority w:val="99"/>
    <w:rsid w:val="008B198D"/>
    <w:rPr>
      <w:rFonts w:ascii="Evelyn Raleway" w:eastAsiaTheme="minorHAnsi" w:hAnsi="Evelyn Raleway" w:cstheme="minorBidi"/>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8B198D"/>
    <w:rPr>
      <w:b/>
      <w:bCs/>
    </w:rPr>
  </w:style>
  <w:style w:type="character" w:customStyle="1" w:styleId="CommentSubjectChar">
    <w:name w:val="Comment Subject Char"/>
    <w:basedOn w:val="CommentTextChar"/>
    <w:link w:val="CommentSubject"/>
    <w:uiPriority w:val="99"/>
    <w:semiHidden/>
    <w:rsid w:val="008B198D"/>
    <w:rPr>
      <w:rFonts w:ascii="Evelyn Raleway" w:eastAsiaTheme="minorHAnsi" w:hAnsi="Evelyn Raleway" w:cstheme="minorBidi"/>
      <w:b/>
      <w:bCs/>
      <w:bdr w:val="none" w:sz="0" w:space="0" w:color="auto"/>
      <w:lang w:eastAsia="en-US"/>
    </w:rPr>
  </w:style>
  <w:style w:type="paragraph" w:styleId="Revision">
    <w:name w:val="Revision"/>
    <w:hidden/>
    <w:uiPriority w:val="99"/>
    <w:semiHidden/>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1"/>
      <w:szCs w:val="22"/>
      <w:bdr w:val="none" w:sz="0" w:space="0" w:color="auto"/>
      <w:lang w:eastAsia="en-US"/>
    </w:rPr>
  </w:style>
  <w:style w:type="table" w:styleId="TableGrid">
    <w:name w:val="Table Grid"/>
    <w:basedOn w:val="TableNormal"/>
    <w:uiPriority w:val="39"/>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B198D"/>
    <w:rPr>
      <w:rFonts w:ascii="Arial" w:eastAsia="Arial" w:hAnsi="Arial" w:cs="Arial"/>
      <w:color w:val="000000"/>
      <w:sz w:val="22"/>
      <w:szCs w:val="22"/>
      <w:u w:color="000000"/>
      <w:lang w:val="en-US"/>
    </w:rPr>
  </w:style>
  <w:style w:type="paragraph" w:customStyle="1" w:styleId="bf">
    <w:name w:val="bf"/>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bj">
    <w:name w:val="bj"/>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UnresolvedMention">
    <w:name w:val="Unresolved Mention"/>
    <w:basedOn w:val="DefaultParagraphFont"/>
    <w:uiPriority w:val="99"/>
    <w:semiHidden/>
    <w:unhideWhenUsed/>
    <w:rsid w:val="008B198D"/>
    <w:rPr>
      <w:color w:val="605E5C"/>
      <w:shd w:val="clear" w:color="auto" w:fill="E1DFDD"/>
    </w:rPr>
  </w:style>
  <w:style w:type="paragraph" w:styleId="BalloonText">
    <w:name w:val="Balloon Text"/>
    <w:basedOn w:val="Normal"/>
    <w:link w:val="BalloonTex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heme="minorHAnsi" w:hAnsi="Segoe UI" w:cs="Segoe UI"/>
      <w:sz w:val="18"/>
      <w:szCs w:val="18"/>
      <w:bdr w:val="none" w:sz="0" w:space="0" w:color="auto"/>
      <w:lang w:val="en-GB"/>
    </w:rPr>
  </w:style>
  <w:style w:type="character" w:customStyle="1" w:styleId="BalloonTextChar">
    <w:name w:val="Balloon Text Char"/>
    <w:basedOn w:val="DefaultParagraphFont"/>
    <w:link w:val="BalloonText"/>
    <w:uiPriority w:val="99"/>
    <w:semiHidden/>
    <w:rsid w:val="008B198D"/>
    <w:rPr>
      <w:rFonts w:ascii="Segoe UI" w:eastAsiaTheme="minorHAnsi" w:hAnsi="Segoe UI" w:cs="Segoe UI"/>
      <w:sz w:val="18"/>
      <w:szCs w:val="18"/>
      <w:bdr w:val="none" w:sz="0" w:space="0" w:color="auto"/>
      <w:lang w:eastAsia="en-US"/>
    </w:rPr>
  </w:style>
  <w:style w:type="paragraph" w:customStyle="1" w:styleId="bu">
    <w:name w:val="bu"/>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bp">
    <w:name w:val="bp"/>
    <w:basedOn w:val="DefaultParagraphFont"/>
    <w:rsid w:val="008B198D"/>
  </w:style>
  <w:style w:type="paragraph" w:customStyle="1" w:styleId="bz">
    <w:name w:val="bz"/>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br">
    <w:name w:val="br"/>
    <w:basedOn w:val="DefaultParagraphFont"/>
    <w:rsid w:val="008B198D"/>
  </w:style>
  <w:style w:type="character" w:customStyle="1" w:styleId="bs">
    <w:name w:val="bs"/>
    <w:basedOn w:val="DefaultParagraphFont"/>
    <w:rsid w:val="008B198D"/>
  </w:style>
  <w:style w:type="paragraph" w:customStyle="1" w:styleId="cb">
    <w:name w:val="cb"/>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NormalWeb">
    <w:name w:val="Normal (Web)"/>
    <w:basedOn w:val="Normal"/>
    <w:uiPriority w:val="99"/>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8B198D"/>
    <w:rPr>
      <w:b/>
      <w:bCs/>
    </w:rPr>
  </w:style>
  <w:style w:type="paragraph" w:customStyle="1" w:styleId="ci">
    <w:name w:val="ci"/>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cm">
    <w:name w:val="cm"/>
    <w:basedOn w:val="DefaultParagraphFont"/>
    <w:rsid w:val="008B198D"/>
  </w:style>
  <w:style w:type="paragraph" w:customStyle="1" w:styleId="cg">
    <w:name w:val="cg"/>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ch">
    <w:name w:val="ch"/>
    <w:basedOn w:val="DefaultParagraphFont"/>
    <w:rsid w:val="008B198D"/>
  </w:style>
  <w:style w:type="numbering" w:customStyle="1" w:styleId="NoList1">
    <w:name w:val="No List1"/>
    <w:next w:val="NoList"/>
    <w:uiPriority w:val="99"/>
    <w:semiHidden/>
    <w:unhideWhenUsed/>
    <w:rsid w:val="008B198D"/>
  </w:style>
  <w:style w:type="character" w:styleId="FollowedHyperlink">
    <w:name w:val="FollowedHyperlink"/>
    <w:basedOn w:val="DefaultParagraphFont"/>
    <w:uiPriority w:val="99"/>
    <w:semiHidden/>
    <w:unhideWhenUsed/>
    <w:rsid w:val="008B198D"/>
    <w:rPr>
      <w:color w:val="FF00FF" w:themeColor="followedHyperlink"/>
      <w:u w:val="single"/>
    </w:rPr>
  </w:style>
  <w:style w:type="paragraph" w:customStyle="1" w:styleId="msonormal0">
    <w:name w:val="msonormal"/>
    <w:basedOn w:val="Normal"/>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customStyle="1" w:styleId="TableGrid1">
    <w:name w:val="Table Grid1"/>
    <w:basedOn w:val="TableNormal"/>
    <w:next w:val="TableGrid"/>
    <w:uiPriority w:val="39"/>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Evelyn Raleway" w:eastAsiaTheme="minorHAnsi" w:hAnsi="Evelyn Raleway" w:cstheme="minorBidi"/>
      <w:sz w:val="21"/>
      <w:szCs w:val="22"/>
      <w:bdr w:val="none" w:sz="0" w:space="0" w:color="auto"/>
      <w:lang w:val="en-GB"/>
    </w:rPr>
  </w:style>
  <w:style w:type="paragraph" w:styleId="BlockText">
    <w:name w:val="Block Text"/>
    <w:basedOn w:val="Normal"/>
    <w:uiPriority w:val="99"/>
    <w:semiHidden/>
    <w:unhideWhenUsed/>
    <w:rsid w:val="008B198D"/>
    <w:pPr>
      <w:pBdr>
        <w:top w:val="single" w:sz="2" w:space="10" w:color="4472C4" w:themeColor="accent1"/>
        <w:left w:val="single" w:sz="2" w:space="10" w:color="4472C4" w:themeColor="accent1"/>
        <w:bottom w:val="single" w:sz="2" w:space="10" w:color="4472C4" w:themeColor="accent1"/>
        <w:right w:val="single" w:sz="2" w:space="10" w:color="4472C4" w:themeColor="accent1"/>
        <w:between w:val="none" w:sz="0" w:space="0" w:color="auto"/>
        <w:bar w:val="none" w:sz="0" w:color="auto"/>
      </w:pBdr>
      <w:spacing w:after="160" w:line="259" w:lineRule="auto"/>
      <w:ind w:left="1152" w:right="1152"/>
    </w:pPr>
    <w:rPr>
      <w:rFonts w:asciiTheme="minorHAnsi" w:eastAsiaTheme="minorEastAsia" w:hAnsiTheme="minorHAnsi" w:cstheme="minorBidi"/>
      <w:i/>
      <w:iCs/>
      <w:color w:val="4472C4" w:themeColor="accent1"/>
      <w:sz w:val="21"/>
      <w:szCs w:val="22"/>
      <w:bdr w:val="none" w:sz="0" w:space="0" w:color="auto"/>
      <w:lang w:val="en-GB"/>
    </w:rPr>
  </w:style>
  <w:style w:type="paragraph" w:styleId="BodyText2">
    <w:name w:val="Body Text 2"/>
    <w:basedOn w:val="Normal"/>
    <w:link w:val="BodyText2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ascii="Evelyn Raleway" w:eastAsiaTheme="minorHAnsi" w:hAnsi="Evelyn Raleway" w:cstheme="minorBidi"/>
      <w:sz w:val="21"/>
      <w:szCs w:val="22"/>
      <w:bdr w:val="none" w:sz="0" w:space="0" w:color="auto"/>
      <w:lang w:val="en-GB"/>
    </w:rPr>
  </w:style>
  <w:style w:type="character" w:customStyle="1" w:styleId="BodyText2Char">
    <w:name w:val="Body Text 2 Char"/>
    <w:basedOn w:val="DefaultParagraphFont"/>
    <w:link w:val="BodyText2"/>
    <w:uiPriority w:val="99"/>
    <w:semiHidden/>
    <w:rsid w:val="008B198D"/>
    <w:rPr>
      <w:rFonts w:ascii="Evelyn Raleway" w:eastAsiaTheme="minorHAnsi" w:hAnsi="Evelyn Raleway" w:cstheme="minorBidi"/>
      <w:sz w:val="21"/>
      <w:szCs w:val="22"/>
      <w:bdr w:val="none" w:sz="0" w:space="0" w:color="auto"/>
      <w:lang w:eastAsia="en-US"/>
    </w:rPr>
  </w:style>
  <w:style w:type="paragraph" w:styleId="BodyText3">
    <w:name w:val="Body Text 3"/>
    <w:basedOn w:val="Normal"/>
    <w:link w:val="BodyText3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pPr>
    <w:rPr>
      <w:rFonts w:ascii="Evelyn Raleway" w:eastAsiaTheme="minorHAnsi" w:hAnsi="Evelyn Raleway" w:cstheme="minorBidi"/>
      <w:sz w:val="16"/>
      <w:szCs w:val="16"/>
      <w:bdr w:val="none" w:sz="0" w:space="0" w:color="auto"/>
      <w:lang w:val="en-GB"/>
    </w:rPr>
  </w:style>
  <w:style w:type="character" w:customStyle="1" w:styleId="BodyText3Char">
    <w:name w:val="Body Text 3 Char"/>
    <w:basedOn w:val="DefaultParagraphFont"/>
    <w:link w:val="BodyText3"/>
    <w:uiPriority w:val="99"/>
    <w:semiHidden/>
    <w:rsid w:val="008B198D"/>
    <w:rPr>
      <w:rFonts w:ascii="Evelyn Raleway" w:eastAsiaTheme="minorHAnsi" w:hAnsi="Evelyn Raleway" w:cstheme="minorBidi"/>
      <w:sz w:val="16"/>
      <w:szCs w:val="16"/>
      <w:bdr w:val="none" w:sz="0" w:space="0" w:color="auto"/>
      <w:lang w:eastAsia="en-US"/>
    </w:rPr>
  </w:style>
  <w:style w:type="paragraph" w:styleId="BodyTextFirstIndent">
    <w:name w:val="Body Text First Indent"/>
    <w:basedOn w:val="BodyText"/>
    <w:link w:val="BodyTextFirstIndentChar"/>
    <w:uiPriority w:val="99"/>
    <w:semiHidden/>
    <w:unhideWhenUsed/>
    <w:rsid w:val="008B198D"/>
    <w:pPr>
      <w:widowControl/>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360"/>
    </w:pPr>
    <w:rPr>
      <w:rFonts w:ascii="Evelyn Raleway" w:eastAsiaTheme="minorHAnsi" w:hAnsi="Evelyn Raleway" w:cstheme="minorBidi"/>
      <w:color w:val="auto"/>
      <w:sz w:val="21"/>
      <w:szCs w:val="22"/>
      <w:bdr w:val="none" w:sz="0" w:space="0" w:color="auto"/>
      <w:lang w:val="en-GB" w:eastAsia="en-US"/>
    </w:rPr>
  </w:style>
  <w:style w:type="character" w:customStyle="1" w:styleId="BodyTextChar1">
    <w:name w:val="Body Text Char1"/>
    <w:basedOn w:val="DefaultParagraphFont"/>
    <w:link w:val="BodyText"/>
    <w:uiPriority w:val="1"/>
    <w:rsid w:val="008B198D"/>
    <w:rPr>
      <w:rFonts w:ascii="Arial" w:eastAsia="Arial" w:hAnsi="Arial" w:cs="Arial"/>
      <w:color w:val="000000"/>
      <w:u w:color="000000"/>
      <w:lang w:val="en-US"/>
    </w:rPr>
  </w:style>
  <w:style w:type="character" w:customStyle="1" w:styleId="BodyTextFirstIndentChar">
    <w:name w:val="Body Text First Indent Char"/>
    <w:basedOn w:val="BodyTextChar1"/>
    <w:link w:val="BodyTextFirstIndent"/>
    <w:uiPriority w:val="99"/>
    <w:semiHidden/>
    <w:rsid w:val="008B198D"/>
    <w:rPr>
      <w:rFonts w:ascii="Evelyn Raleway" w:eastAsiaTheme="minorHAnsi" w:hAnsi="Evelyn Raleway" w:cstheme="minorBidi"/>
      <w:color w:val="000000"/>
      <w:sz w:val="21"/>
      <w:szCs w:val="22"/>
      <w:u w:color="000000"/>
      <w:bdr w:val="none" w:sz="0" w:space="0" w:color="auto"/>
      <w:lang w:val="en-US" w:eastAsia="en-US"/>
    </w:rPr>
  </w:style>
  <w:style w:type="paragraph" w:styleId="BodyTextIndent">
    <w:name w:val="Body Text Indent"/>
    <w:basedOn w:val="Normal"/>
    <w:link w:val="BodyTextInden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283"/>
    </w:pPr>
    <w:rPr>
      <w:rFonts w:ascii="Evelyn Raleway" w:eastAsiaTheme="minorHAnsi" w:hAnsi="Evelyn Raleway" w:cstheme="minorBidi"/>
      <w:sz w:val="21"/>
      <w:szCs w:val="22"/>
      <w:bdr w:val="none" w:sz="0" w:space="0" w:color="auto"/>
      <w:lang w:val="en-GB"/>
    </w:rPr>
  </w:style>
  <w:style w:type="character" w:customStyle="1" w:styleId="BodyTextIndentChar">
    <w:name w:val="Body Text Indent Char"/>
    <w:basedOn w:val="DefaultParagraphFont"/>
    <w:link w:val="BodyTextIndent"/>
    <w:uiPriority w:val="99"/>
    <w:semiHidden/>
    <w:rsid w:val="008B198D"/>
    <w:rPr>
      <w:rFonts w:ascii="Evelyn Raleway" w:eastAsiaTheme="minorHAnsi" w:hAnsi="Evelyn Raleway" w:cstheme="minorBidi"/>
      <w:sz w:val="21"/>
      <w:szCs w:val="22"/>
      <w:bdr w:val="none" w:sz="0" w:space="0" w:color="auto"/>
      <w:lang w:eastAsia="en-US"/>
    </w:rPr>
  </w:style>
  <w:style w:type="paragraph" w:styleId="BodyTextFirstIndent2">
    <w:name w:val="Body Text First Indent 2"/>
    <w:basedOn w:val="BodyTextIndent"/>
    <w:link w:val="BodyTextFirstIndent2Char"/>
    <w:uiPriority w:val="99"/>
    <w:semiHidden/>
    <w:unhideWhenUsed/>
    <w:rsid w:val="008B198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B198D"/>
    <w:rPr>
      <w:rFonts w:ascii="Evelyn Raleway" w:eastAsiaTheme="minorHAnsi" w:hAnsi="Evelyn Raleway" w:cstheme="minorBidi"/>
      <w:sz w:val="21"/>
      <w:szCs w:val="22"/>
      <w:bdr w:val="none" w:sz="0" w:space="0" w:color="auto"/>
      <w:lang w:eastAsia="en-US"/>
    </w:rPr>
  </w:style>
  <w:style w:type="paragraph" w:styleId="BodyTextIndent2">
    <w:name w:val="Body Text Indent 2"/>
    <w:basedOn w:val="Normal"/>
    <w:link w:val="BodyTextIndent2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Evelyn Raleway" w:eastAsiaTheme="minorHAnsi" w:hAnsi="Evelyn Raleway" w:cstheme="minorBidi"/>
      <w:sz w:val="21"/>
      <w:szCs w:val="22"/>
      <w:bdr w:val="none" w:sz="0" w:space="0" w:color="auto"/>
      <w:lang w:val="en-GB"/>
    </w:rPr>
  </w:style>
  <w:style w:type="character" w:customStyle="1" w:styleId="BodyTextIndent2Char">
    <w:name w:val="Body Text Indent 2 Char"/>
    <w:basedOn w:val="DefaultParagraphFont"/>
    <w:link w:val="BodyTextIndent2"/>
    <w:uiPriority w:val="99"/>
    <w:semiHidden/>
    <w:rsid w:val="008B198D"/>
    <w:rPr>
      <w:rFonts w:ascii="Evelyn Raleway" w:eastAsiaTheme="minorHAnsi" w:hAnsi="Evelyn Raleway" w:cstheme="minorBidi"/>
      <w:sz w:val="21"/>
      <w:szCs w:val="22"/>
      <w:bdr w:val="none" w:sz="0" w:space="0" w:color="auto"/>
      <w:lang w:eastAsia="en-US"/>
    </w:rPr>
  </w:style>
  <w:style w:type="paragraph" w:styleId="BodyTextIndent3">
    <w:name w:val="Body Text Indent 3"/>
    <w:basedOn w:val="Normal"/>
    <w:link w:val="BodyTextIndent3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283"/>
    </w:pPr>
    <w:rPr>
      <w:rFonts w:ascii="Evelyn Raleway" w:eastAsiaTheme="minorHAnsi" w:hAnsi="Evelyn Raleway" w:cstheme="minorBidi"/>
      <w:sz w:val="16"/>
      <w:szCs w:val="16"/>
      <w:bdr w:val="none" w:sz="0" w:space="0" w:color="auto"/>
      <w:lang w:val="en-GB"/>
    </w:rPr>
  </w:style>
  <w:style w:type="character" w:customStyle="1" w:styleId="BodyTextIndent3Char">
    <w:name w:val="Body Text Indent 3 Char"/>
    <w:basedOn w:val="DefaultParagraphFont"/>
    <w:link w:val="BodyTextIndent3"/>
    <w:uiPriority w:val="99"/>
    <w:semiHidden/>
    <w:rsid w:val="008B198D"/>
    <w:rPr>
      <w:rFonts w:ascii="Evelyn Raleway" w:eastAsiaTheme="minorHAnsi" w:hAnsi="Evelyn Raleway" w:cstheme="minorBidi"/>
      <w:sz w:val="16"/>
      <w:szCs w:val="16"/>
      <w:bdr w:val="none" w:sz="0" w:space="0" w:color="auto"/>
      <w:lang w:eastAsia="en-US"/>
    </w:rPr>
  </w:style>
  <w:style w:type="paragraph" w:styleId="Caption">
    <w:name w:val="caption"/>
    <w:basedOn w:val="Normal"/>
    <w:next w:val="Normal"/>
    <w:uiPriority w:val="35"/>
    <w:semiHidden/>
    <w:unhideWhenUsed/>
    <w:qFormat/>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Evelyn Raleway" w:eastAsiaTheme="minorHAnsi" w:hAnsi="Evelyn Raleway" w:cstheme="minorBidi"/>
      <w:i/>
      <w:iCs/>
      <w:color w:val="A7A7A7" w:themeColor="text2"/>
      <w:sz w:val="18"/>
      <w:szCs w:val="18"/>
      <w:bdr w:val="none" w:sz="0" w:space="0" w:color="auto"/>
      <w:lang w:val="en-GB"/>
    </w:rPr>
  </w:style>
  <w:style w:type="paragraph" w:styleId="Closing">
    <w:name w:val="Closing"/>
    <w:basedOn w:val="Normal"/>
    <w:link w:val="Closing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Evelyn Raleway" w:eastAsiaTheme="minorHAnsi" w:hAnsi="Evelyn Raleway" w:cstheme="minorBidi"/>
      <w:sz w:val="21"/>
      <w:szCs w:val="22"/>
      <w:bdr w:val="none" w:sz="0" w:space="0" w:color="auto"/>
      <w:lang w:val="en-GB"/>
    </w:rPr>
  </w:style>
  <w:style w:type="character" w:customStyle="1" w:styleId="ClosingChar">
    <w:name w:val="Closing Char"/>
    <w:basedOn w:val="DefaultParagraphFont"/>
    <w:link w:val="Closing"/>
    <w:uiPriority w:val="99"/>
    <w:semiHidden/>
    <w:rsid w:val="008B198D"/>
    <w:rPr>
      <w:rFonts w:ascii="Evelyn Raleway" w:eastAsiaTheme="minorHAnsi" w:hAnsi="Evelyn Raleway" w:cstheme="minorBidi"/>
      <w:sz w:val="21"/>
      <w:szCs w:val="22"/>
      <w:bdr w:val="none" w:sz="0" w:space="0" w:color="auto"/>
      <w:lang w:eastAsia="en-US"/>
    </w:rPr>
  </w:style>
  <w:style w:type="paragraph" w:styleId="Date">
    <w:name w:val="Date"/>
    <w:basedOn w:val="Normal"/>
    <w:next w:val="Normal"/>
    <w:link w:val="Date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Evelyn Raleway" w:eastAsiaTheme="minorHAnsi" w:hAnsi="Evelyn Raleway" w:cstheme="minorBidi"/>
      <w:sz w:val="21"/>
      <w:szCs w:val="22"/>
      <w:bdr w:val="none" w:sz="0" w:space="0" w:color="auto"/>
      <w:lang w:val="en-GB"/>
    </w:rPr>
  </w:style>
  <w:style w:type="character" w:customStyle="1" w:styleId="DateChar">
    <w:name w:val="Date Char"/>
    <w:basedOn w:val="DefaultParagraphFont"/>
    <w:link w:val="Date"/>
    <w:uiPriority w:val="99"/>
    <w:semiHidden/>
    <w:rsid w:val="008B198D"/>
    <w:rPr>
      <w:rFonts w:ascii="Evelyn Raleway" w:eastAsiaTheme="minorHAnsi" w:hAnsi="Evelyn Raleway" w:cstheme="minorBidi"/>
      <w:sz w:val="21"/>
      <w:szCs w:val="22"/>
      <w:bdr w:val="none" w:sz="0" w:space="0" w:color="auto"/>
      <w:lang w:eastAsia="en-US"/>
    </w:rPr>
  </w:style>
  <w:style w:type="paragraph" w:styleId="DocumentMap">
    <w:name w:val="Document Map"/>
    <w:basedOn w:val="Normal"/>
    <w:link w:val="DocumentMap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heme="minorHAnsi" w:hAnsi="Segoe UI" w:cs="Segoe UI"/>
      <w:sz w:val="16"/>
      <w:szCs w:val="16"/>
      <w:bdr w:val="none" w:sz="0" w:space="0" w:color="auto"/>
      <w:lang w:val="en-GB"/>
    </w:rPr>
  </w:style>
  <w:style w:type="character" w:customStyle="1" w:styleId="DocumentMapChar">
    <w:name w:val="Document Map Char"/>
    <w:basedOn w:val="DefaultParagraphFont"/>
    <w:link w:val="DocumentMap"/>
    <w:uiPriority w:val="99"/>
    <w:semiHidden/>
    <w:rsid w:val="008B198D"/>
    <w:rPr>
      <w:rFonts w:ascii="Segoe UI" w:eastAsiaTheme="minorHAnsi" w:hAnsi="Segoe UI" w:cs="Segoe UI"/>
      <w:sz w:val="16"/>
      <w:szCs w:val="16"/>
      <w:bdr w:val="none" w:sz="0" w:space="0" w:color="auto"/>
      <w:lang w:eastAsia="en-US"/>
    </w:rPr>
  </w:style>
  <w:style w:type="paragraph" w:styleId="E-mailSignature">
    <w:name w:val="E-mail Signature"/>
    <w:basedOn w:val="Normal"/>
    <w:link w:val="E-mailSignature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1"/>
      <w:szCs w:val="22"/>
      <w:bdr w:val="none" w:sz="0" w:space="0" w:color="auto"/>
      <w:lang w:val="en-GB"/>
    </w:rPr>
  </w:style>
  <w:style w:type="character" w:customStyle="1" w:styleId="E-mailSignatureChar">
    <w:name w:val="E-mail Signature Char"/>
    <w:basedOn w:val="DefaultParagraphFont"/>
    <w:link w:val="E-mailSignature"/>
    <w:uiPriority w:val="99"/>
    <w:semiHidden/>
    <w:rsid w:val="008B198D"/>
    <w:rPr>
      <w:rFonts w:ascii="Evelyn Raleway" w:eastAsiaTheme="minorHAnsi" w:hAnsi="Evelyn Raleway" w:cstheme="minorBidi"/>
      <w:sz w:val="21"/>
      <w:szCs w:val="22"/>
      <w:bdr w:val="none" w:sz="0" w:space="0" w:color="auto"/>
      <w:lang w:eastAsia="en-US"/>
    </w:rPr>
  </w:style>
  <w:style w:type="paragraph" w:styleId="EndnoteText">
    <w:name w:val="endnote text"/>
    <w:basedOn w:val="Normal"/>
    <w:link w:val="EndnoteTex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0"/>
      <w:szCs w:val="20"/>
      <w:bdr w:val="none" w:sz="0" w:space="0" w:color="auto"/>
      <w:lang w:val="en-GB"/>
    </w:rPr>
  </w:style>
  <w:style w:type="character" w:customStyle="1" w:styleId="EndnoteTextChar">
    <w:name w:val="Endnote Text Char"/>
    <w:basedOn w:val="DefaultParagraphFont"/>
    <w:link w:val="EndnoteText"/>
    <w:uiPriority w:val="99"/>
    <w:semiHidden/>
    <w:rsid w:val="008B198D"/>
    <w:rPr>
      <w:rFonts w:ascii="Evelyn Raleway" w:eastAsiaTheme="minorHAnsi" w:hAnsi="Evelyn Raleway" w:cstheme="minorBidi"/>
      <w:bdr w:val="none" w:sz="0" w:space="0" w:color="auto"/>
      <w:lang w:eastAsia="en-US"/>
    </w:rPr>
  </w:style>
  <w:style w:type="paragraph" w:styleId="EnvelopeAddress">
    <w:name w:val="envelope address"/>
    <w:basedOn w:val="Normal"/>
    <w:uiPriority w:val="99"/>
    <w:semiHidden/>
    <w:unhideWhenUsed/>
    <w:rsid w:val="008B198D"/>
    <w:pPr>
      <w:framePr w:w="7920" w:h="1980" w:hRule="exact" w:hSpace="180" w:wrap="auto" w:hAnchor="page" w:xAlign="center" w:yAlign="bottom"/>
      <w:pBdr>
        <w:top w:val="none" w:sz="0" w:space="0" w:color="auto"/>
        <w:left w:val="none" w:sz="0" w:space="0" w:color="auto"/>
        <w:bottom w:val="none" w:sz="0" w:space="0" w:color="auto"/>
        <w:right w:val="none" w:sz="0" w:space="0" w:color="auto"/>
        <w:between w:val="none" w:sz="0" w:space="0" w:color="auto"/>
        <w:bar w:val="none" w:sz="0" w:color="auto"/>
      </w:pBdr>
      <w:ind w:left="2880"/>
    </w:pPr>
    <w:rPr>
      <w:rFonts w:asciiTheme="majorHAnsi" w:eastAsiaTheme="majorEastAsia" w:hAnsiTheme="majorHAnsi" w:cstheme="majorBidi"/>
      <w:bdr w:val="none" w:sz="0" w:space="0" w:color="auto"/>
      <w:lang w:val="en-GB"/>
    </w:rPr>
  </w:style>
  <w:style w:type="paragraph" w:styleId="EnvelopeReturn">
    <w:name w:val="envelope return"/>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Theme="majorHAnsi" w:eastAsiaTheme="majorEastAsia" w:hAnsiTheme="majorHAnsi" w:cstheme="majorBidi"/>
      <w:sz w:val="20"/>
      <w:szCs w:val="20"/>
      <w:bdr w:val="none" w:sz="0" w:space="0" w:color="auto"/>
      <w:lang w:val="en-GB"/>
    </w:rPr>
  </w:style>
  <w:style w:type="paragraph" w:styleId="FootnoteText">
    <w:name w:val="footnote text"/>
    <w:basedOn w:val="Normal"/>
    <w:link w:val="FootnoteTex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0"/>
      <w:szCs w:val="20"/>
      <w:bdr w:val="none" w:sz="0" w:space="0" w:color="auto"/>
      <w:lang w:val="en-GB"/>
    </w:rPr>
  </w:style>
  <w:style w:type="character" w:customStyle="1" w:styleId="FootnoteTextChar">
    <w:name w:val="Footnote Text Char"/>
    <w:basedOn w:val="DefaultParagraphFont"/>
    <w:link w:val="FootnoteText"/>
    <w:uiPriority w:val="99"/>
    <w:semiHidden/>
    <w:rsid w:val="008B198D"/>
    <w:rPr>
      <w:rFonts w:ascii="Evelyn Raleway" w:eastAsiaTheme="minorHAnsi" w:hAnsi="Evelyn Raleway" w:cstheme="minorBidi"/>
      <w:bdr w:val="none" w:sz="0" w:space="0" w:color="auto"/>
      <w:lang w:eastAsia="en-US"/>
    </w:rPr>
  </w:style>
  <w:style w:type="paragraph" w:styleId="HTMLAddress">
    <w:name w:val="HTML Address"/>
    <w:basedOn w:val="Normal"/>
    <w:link w:val="HTMLAddress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i/>
      <w:iCs/>
      <w:sz w:val="21"/>
      <w:szCs w:val="22"/>
      <w:bdr w:val="none" w:sz="0" w:space="0" w:color="auto"/>
      <w:lang w:val="en-GB"/>
    </w:rPr>
  </w:style>
  <w:style w:type="character" w:customStyle="1" w:styleId="HTMLAddressChar">
    <w:name w:val="HTML Address Char"/>
    <w:basedOn w:val="DefaultParagraphFont"/>
    <w:link w:val="HTMLAddress"/>
    <w:uiPriority w:val="99"/>
    <w:semiHidden/>
    <w:rsid w:val="008B198D"/>
    <w:rPr>
      <w:rFonts w:ascii="Evelyn Raleway" w:eastAsiaTheme="minorHAnsi" w:hAnsi="Evelyn Raleway" w:cstheme="minorBidi"/>
      <w:i/>
      <w:iCs/>
      <w:sz w:val="21"/>
      <w:szCs w:val="22"/>
      <w:bdr w:val="none" w:sz="0" w:space="0" w:color="auto"/>
      <w:lang w:eastAsia="en-US"/>
    </w:rPr>
  </w:style>
  <w:style w:type="paragraph" w:styleId="HTMLPreformatted">
    <w:name w:val="HTML Preformatted"/>
    <w:basedOn w:val="Normal"/>
    <w:link w:val="HTMLPreformatted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heme="minorHAnsi" w:hAnsi="Consolas" w:cstheme="minorBidi"/>
      <w:sz w:val="20"/>
      <w:szCs w:val="20"/>
      <w:bdr w:val="none" w:sz="0" w:space="0" w:color="auto"/>
      <w:lang w:val="en-GB"/>
    </w:rPr>
  </w:style>
  <w:style w:type="character" w:customStyle="1" w:styleId="HTMLPreformattedChar">
    <w:name w:val="HTML Preformatted Char"/>
    <w:basedOn w:val="DefaultParagraphFont"/>
    <w:link w:val="HTMLPreformatted"/>
    <w:uiPriority w:val="99"/>
    <w:semiHidden/>
    <w:rsid w:val="008B198D"/>
    <w:rPr>
      <w:rFonts w:ascii="Consolas" w:eastAsiaTheme="minorHAnsi" w:hAnsi="Consolas" w:cstheme="minorBidi"/>
      <w:bdr w:val="none" w:sz="0" w:space="0" w:color="auto"/>
      <w:lang w:eastAsia="en-US"/>
    </w:rPr>
  </w:style>
  <w:style w:type="paragraph" w:styleId="Index1">
    <w:name w:val="index 1"/>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210" w:hanging="210"/>
    </w:pPr>
    <w:rPr>
      <w:rFonts w:ascii="Evelyn Raleway" w:eastAsiaTheme="minorHAnsi" w:hAnsi="Evelyn Raleway" w:cstheme="minorBidi"/>
      <w:sz w:val="21"/>
      <w:szCs w:val="22"/>
      <w:bdr w:val="none" w:sz="0" w:space="0" w:color="auto"/>
      <w:lang w:val="en-GB"/>
    </w:rPr>
  </w:style>
  <w:style w:type="paragraph" w:styleId="Index2">
    <w:name w:val="index 2"/>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420" w:hanging="210"/>
    </w:pPr>
    <w:rPr>
      <w:rFonts w:ascii="Evelyn Raleway" w:eastAsiaTheme="minorHAnsi" w:hAnsi="Evelyn Raleway" w:cstheme="minorBidi"/>
      <w:sz w:val="21"/>
      <w:szCs w:val="22"/>
      <w:bdr w:val="none" w:sz="0" w:space="0" w:color="auto"/>
      <w:lang w:val="en-GB"/>
    </w:rPr>
  </w:style>
  <w:style w:type="paragraph" w:styleId="Index3">
    <w:name w:val="index 3"/>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630" w:hanging="210"/>
    </w:pPr>
    <w:rPr>
      <w:rFonts w:ascii="Evelyn Raleway" w:eastAsiaTheme="minorHAnsi" w:hAnsi="Evelyn Raleway" w:cstheme="minorBidi"/>
      <w:sz w:val="21"/>
      <w:szCs w:val="22"/>
      <w:bdr w:val="none" w:sz="0" w:space="0" w:color="auto"/>
      <w:lang w:val="en-GB"/>
    </w:rPr>
  </w:style>
  <w:style w:type="paragraph" w:styleId="Index4">
    <w:name w:val="index 4"/>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840" w:hanging="210"/>
    </w:pPr>
    <w:rPr>
      <w:rFonts w:ascii="Evelyn Raleway" w:eastAsiaTheme="minorHAnsi" w:hAnsi="Evelyn Raleway" w:cstheme="minorBidi"/>
      <w:sz w:val="21"/>
      <w:szCs w:val="22"/>
      <w:bdr w:val="none" w:sz="0" w:space="0" w:color="auto"/>
      <w:lang w:val="en-GB"/>
    </w:rPr>
  </w:style>
  <w:style w:type="paragraph" w:styleId="Index5">
    <w:name w:val="index 5"/>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1050" w:hanging="210"/>
    </w:pPr>
    <w:rPr>
      <w:rFonts w:ascii="Evelyn Raleway" w:eastAsiaTheme="minorHAnsi" w:hAnsi="Evelyn Raleway" w:cstheme="minorBidi"/>
      <w:sz w:val="21"/>
      <w:szCs w:val="22"/>
      <w:bdr w:val="none" w:sz="0" w:space="0" w:color="auto"/>
      <w:lang w:val="en-GB"/>
    </w:rPr>
  </w:style>
  <w:style w:type="paragraph" w:styleId="Index6">
    <w:name w:val="index 6"/>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1260" w:hanging="210"/>
    </w:pPr>
    <w:rPr>
      <w:rFonts w:ascii="Evelyn Raleway" w:eastAsiaTheme="minorHAnsi" w:hAnsi="Evelyn Raleway" w:cstheme="minorBidi"/>
      <w:sz w:val="21"/>
      <w:szCs w:val="22"/>
      <w:bdr w:val="none" w:sz="0" w:space="0" w:color="auto"/>
      <w:lang w:val="en-GB"/>
    </w:rPr>
  </w:style>
  <w:style w:type="paragraph" w:styleId="Index7">
    <w:name w:val="index 7"/>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1470" w:hanging="210"/>
    </w:pPr>
    <w:rPr>
      <w:rFonts w:ascii="Evelyn Raleway" w:eastAsiaTheme="minorHAnsi" w:hAnsi="Evelyn Raleway" w:cstheme="minorBidi"/>
      <w:sz w:val="21"/>
      <w:szCs w:val="22"/>
      <w:bdr w:val="none" w:sz="0" w:space="0" w:color="auto"/>
      <w:lang w:val="en-GB"/>
    </w:rPr>
  </w:style>
  <w:style w:type="paragraph" w:styleId="Index8">
    <w:name w:val="index 8"/>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1680" w:hanging="210"/>
    </w:pPr>
    <w:rPr>
      <w:rFonts w:ascii="Evelyn Raleway" w:eastAsiaTheme="minorHAnsi" w:hAnsi="Evelyn Raleway" w:cstheme="minorBidi"/>
      <w:sz w:val="21"/>
      <w:szCs w:val="22"/>
      <w:bdr w:val="none" w:sz="0" w:space="0" w:color="auto"/>
      <w:lang w:val="en-GB"/>
    </w:rPr>
  </w:style>
  <w:style w:type="paragraph" w:styleId="Index9">
    <w:name w:val="index 9"/>
    <w:basedOn w:val="Normal"/>
    <w:next w:val="Normal"/>
    <w:autoRedefine/>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1890" w:hanging="210"/>
    </w:pPr>
    <w:rPr>
      <w:rFonts w:ascii="Evelyn Raleway" w:eastAsiaTheme="minorHAnsi" w:hAnsi="Evelyn Raleway" w:cstheme="minorBidi"/>
      <w:sz w:val="21"/>
      <w:szCs w:val="22"/>
      <w:bdr w:val="none" w:sz="0" w:space="0" w:color="auto"/>
      <w:lang w:val="en-GB"/>
    </w:rPr>
  </w:style>
  <w:style w:type="paragraph" w:styleId="IndexHeading">
    <w:name w:val="index heading"/>
    <w:basedOn w:val="Normal"/>
    <w:next w:val="Index1"/>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ajorHAnsi" w:eastAsiaTheme="majorEastAsia" w:hAnsiTheme="majorHAnsi" w:cstheme="majorBidi"/>
      <w:b/>
      <w:bCs/>
      <w:sz w:val="21"/>
      <w:szCs w:val="22"/>
      <w:bdr w:val="none" w:sz="0" w:space="0" w:color="auto"/>
      <w:lang w:val="en-GB"/>
    </w:rPr>
  </w:style>
  <w:style w:type="paragraph" w:styleId="IntenseQuote">
    <w:name w:val="Intense Quote"/>
    <w:basedOn w:val="Normal"/>
    <w:next w:val="Normal"/>
    <w:link w:val="IntenseQuoteChar"/>
    <w:uiPriority w:val="30"/>
    <w:qFormat/>
    <w:rsid w:val="008B198D"/>
    <w:pPr>
      <w:pBdr>
        <w:top w:val="single" w:sz="4" w:space="10" w:color="4472C4" w:themeColor="accent1"/>
        <w:left w:val="none" w:sz="0" w:space="0" w:color="auto"/>
        <w:bottom w:val="single" w:sz="4" w:space="10" w:color="4472C4" w:themeColor="accent1"/>
        <w:right w:val="none" w:sz="0" w:space="0" w:color="auto"/>
        <w:between w:val="none" w:sz="0" w:space="0" w:color="auto"/>
        <w:bar w:val="none" w:sz="0" w:color="auto"/>
      </w:pBdr>
      <w:spacing w:before="360" w:after="360" w:line="259" w:lineRule="auto"/>
      <w:ind w:left="864" w:right="864"/>
      <w:jc w:val="center"/>
    </w:pPr>
    <w:rPr>
      <w:rFonts w:ascii="Evelyn Raleway" w:eastAsiaTheme="minorHAnsi" w:hAnsi="Evelyn Raleway" w:cstheme="minorBidi"/>
      <w:i/>
      <w:iCs/>
      <w:color w:val="4472C4" w:themeColor="accent1"/>
      <w:sz w:val="21"/>
      <w:szCs w:val="22"/>
      <w:bdr w:val="none" w:sz="0" w:space="0" w:color="auto"/>
      <w:lang w:val="en-GB"/>
    </w:rPr>
  </w:style>
  <w:style w:type="character" w:customStyle="1" w:styleId="IntenseQuoteChar">
    <w:name w:val="Intense Quote Char"/>
    <w:basedOn w:val="DefaultParagraphFont"/>
    <w:link w:val="IntenseQuote"/>
    <w:uiPriority w:val="30"/>
    <w:rsid w:val="008B198D"/>
    <w:rPr>
      <w:rFonts w:ascii="Evelyn Raleway" w:eastAsiaTheme="minorHAnsi" w:hAnsi="Evelyn Raleway" w:cstheme="minorBidi"/>
      <w:i/>
      <w:iCs/>
      <w:color w:val="4472C4" w:themeColor="accent1"/>
      <w:sz w:val="21"/>
      <w:szCs w:val="22"/>
      <w:bdr w:val="none" w:sz="0" w:space="0" w:color="auto"/>
      <w:lang w:eastAsia="en-US"/>
    </w:rPr>
  </w:style>
  <w:style w:type="paragraph" w:styleId="List">
    <w:name w:val="List"/>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283" w:hanging="283"/>
      <w:contextualSpacing/>
    </w:pPr>
    <w:rPr>
      <w:rFonts w:ascii="Evelyn Raleway" w:eastAsiaTheme="minorHAnsi" w:hAnsi="Evelyn Raleway" w:cstheme="minorBidi"/>
      <w:sz w:val="21"/>
      <w:szCs w:val="22"/>
      <w:bdr w:val="none" w:sz="0" w:space="0" w:color="auto"/>
      <w:lang w:val="en-GB"/>
    </w:rPr>
  </w:style>
  <w:style w:type="paragraph" w:styleId="List2">
    <w:name w:val="List 2"/>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566" w:hanging="283"/>
      <w:contextualSpacing/>
    </w:pPr>
    <w:rPr>
      <w:rFonts w:ascii="Evelyn Raleway" w:eastAsiaTheme="minorHAnsi" w:hAnsi="Evelyn Raleway" w:cstheme="minorBidi"/>
      <w:sz w:val="21"/>
      <w:szCs w:val="22"/>
      <w:bdr w:val="none" w:sz="0" w:space="0" w:color="auto"/>
      <w:lang w:val="en-GB"/>
    </w:rPr>
  </w:style>
  <w:style w:type="paragraph" w:styleId="List3">
    <w:name w:val="List 3"/>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849" w:hanging="283"/>
      <w:contextualSpacing/>
    </w:pPr>
    <w:rPr>
      <w:rFonts w:ascii="Evelyn Raleway" w:eastAsiaTheme="minorHAnsi" w:hAnsi="Evelyn Raleway" w:cstheme="minorBidi"/>
      <w:sz w:val="21"/>
      <w:szCs w:val="22"/>
      <w:bdr w:val="none" w:sz="0" w:space="0" w:color="auto"/>
      <w:lang w:val="en-GB"/>
    </w:rPr>
  </w:style>
  <w:style w:type="paragraph" w:styleId="List4">
    <w:name w:val="List 4"/>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132" w:hanging="283"/>
      <w:contextualSpacing/>
    </w:pPr>
    <w:rPr>
      <w:rFonts w:ascii="Evelyn Raleway" w:eastAsiaTheme="minorHAnsi" w:hAnsi="Evelyn Raleway" w:cstheme="minorBidi"/>
      <w:sz w:val="21"/>
      <w:szCs w:val="22"/>
      <w:bdr w:val="none" w:sz="0" w:space="0" w:color="auto"/>
      <w:lang w:val="en-GB"/>
    </w:rPr>
  </w:style>
  <w:style w:type="paragraph" w:styleId="List5">
    <w:name w:val="List 5"/>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415" w:hanging="283"/>
      <w:contextualSpacing/>
    </w:pPr>
    <w:rPr>
      <w:rFonts w:ascii="Evelyn Raleway" w:eastAsiaTheme="minorHAnsi" w:hAnsi="Evelyn Raleway" w:cstheme="minorBidi"/>
      <w:sz w:val="21"/>
      <w:szCs w:val="22"/>
      <w:bdr w:val="none" w:sz="0" w:space="0" w:color="auto"/>
      <w:lang w:val="en-GB"/>
    </w:rPr>
  </w:style>
  <w:style w:type="paragraph" w:styleId="ListBullet">
    <w:name w:val="List Bullet"/>
    <w:basedOn w:val="Normal"/>
    <w:uiPriority w:val="99"/>
    <w:semiHidden/>
    <w:unhideWhenUsed/>
    <w:rsid w:val="008B198D"/>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Bullet2">
    <w:name w:val="List Bullet 2"/>
    <w:basedOn w:val="Normal"/>
    <w:uiPriority w:val="99"/>
    <w:semiHidden/>
    <w:unhideWhenUsed/>
    <w:rsid w:val="008B198D"/>
    <w:pPr>
      <w:numPr>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643"/>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Bullet3">
    <w:name w:val="List Bullet 3"/>
    <w:basedOn w:val="Normal"/>
    <w:uiPriority w:val="99"/>
    <w:semiHidden/>
    <w:unhideWhenUsed/>
    <w:rsid w:val="008B198D"/>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926"/>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Bullet4">
    <w:name w:val="List Bullet 4"/>
    <w:basedOn w:val="Normal"/>
    <w:uiPriority w:val="99"/>
    <w:semiHidden/>
    <w:unhideWhenUsed/>
    <w:rsid w:val="008B198D"/>
    <w:pPr>
      <w:numPr>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1209"/>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Bullet5">
    <w:name w:val="List Bullet 5"/>
    <w:basedOn w:val="Normal"/>
    <w:uiPriority w:val="99"/>
    <w:semiHidden/>
    <w:unhideWhenUsed/>
    <w:rsid w:val="008B198D"/>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1492"/>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Continue">
    <w:name w:val="List Continue"/>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283"/>
      <w:contextualSpacing/>
    </w:pPr>
    <w:rPr>
      <w:rFonts w:ascii="Evelyn Raleway" w:eastAsiaTheme="minorHAnsi" w:hAnsi="Evelyn Raleway" w:cstheme="minorBidi"/>
      <w:sz w:val="21"/>
      <w:szCs w:val="22"/>
      <w:bdr w:val="none" w:sz="0" w:space="0" w:color="auto"/>
      <w:lang w:val="en-GB"/>
    </w:rPr>
  </w:style>
  <w:style w:type="paragraph" w:styleId="ListContinue2">
    <w:name w:val="List Continue 2"/>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566"/>
      <w:contextualSpacing/>
    </w:pPr>
    <w:rPr>
      <w:rFonts w:ascii="Evelyn Raleway" w:eastAsiaTheme="minorHAnsi" w:hAnsi="Evelyn Raleway" w:cstheme="minorBidi"/>
      <w:sz w:val="21"/>
      <w:szCs w:val="22"/>
      <w:bdr w:val="none" w:sz="0" w:space="0" w:color="auto"/>
      <w:lang w:val="en-GB"/>
    </w:rPr>
  </w:style>
  <w:style w:type="paragraph" w:styleId="ListContinue3">
    <w:name w:val="List Continue 3"/>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849"/>
      <w:contextualSpacing/>
    </w:pPr>
    <w:rPr>
      <w:rFonts w:ascii="Evelyn Raleway" w:eastAsiaTheme="minorHAnsi" w:hAnsi="Evelyn Raleway" w:cstheme="minorBidi"/>
      <w:sz w:val="21"/>
      <w:szCs w:val="22"/>
      <w:bdr w:val="none" w:sz="0" w:space="0" w:color="auto"/>
      <w:lang w:val="en-GB"/>
    </w:rPr>
  </w:style>
  <w:style w:type="paragraph" w:styleId="ListContinue4">
    <w:name w:val="List Continue 4"/>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1132"/>
      <w:contextualSpacing/>
    </w:pPr>
    <w:rPr>
      <w:rFonts w:ascii="Evelyn Raleway" w:eastAsiaTheme="minorHAnsi" w:hAnsi="Evelyn Raleway" w:cstheme="minorBidi"/>
      <w:sz w:val="21"/>
      <w:szCs w:val="22"/>
      <w:bdr w:val="none" w:sz="0" w:space="0" w:color="auto"/>
      <w:lang w:val="en-GB"/>
    </w:rPr>
  </w:style>
  <w:style w:type="paragraph" w:styleId="ListContinue5">
    <w:name w:val="List Continue 5"/>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1415"/>
      <w:contextualSpacing/>
    </w:pPr>
    <w:rPr>
      <w:rFonts w:ascii="Evelyn Raleway" w:eastAsiaTheme="minorHAnsi" w:hAnsi="Evelyn Raleway" w:cstheme="minorBidi"/>
      <w:sz w:val="21"/>
      <w:szCs w:val="22"/>
      <w:bdr w:val="none" w:sz="0" w:space="0" w:color="auto"/>
      <w:lang w:val="en-GB"/>
    </w:rPr>
  </w:style>
  <w:style w:type="paragraph" w:styleId="ListNumber">
    <w:name w:val="List Number"/>
    <w:basedOn w:val="Normal"/>
    <w:uiPriority w:val="99"/>
    <w:semiHidden/>
    <w:unhideWhenUsed/>
    <w:rsid w:val="008B198D"/>
    <w:pPr>
      <w:numPr>
        <w:numId w:val="13"/>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Number2">
    <w:name w:val="List Number 2"/>
    <w:basedOn w:val="Normal"/>
    <w:uiPriority w:val="99"/>
    <w:semiHidden/>
    <w:unhideWhenUsed/>
    <w:rsid w:val="008B198D"/>
    <w:pPr>
      <w:numPr>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643"/>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Number3">
    <w:name w:val="List Number 3"/>
    <w:basedOn w:val="Normal"/>
    <w:uiPriority w:val="99"/>
    <w:semiHidden/>
    <w:unhideWhenUsed/>
    <w:rsid w:val="008B198D"/>
    <w:pPr>
      <w:numPr>
        <w:numId w:val="15"/>
      </w:numPr>
      <w:pBdr>
        <w:top w:val="none" w:sz="0" w:space="0" w:color="auto"/>
        <w:left w:val="none" w:sz="0" w:space="0" w:color="auto"/>
        <w:bottom w:val="none" w:sz="0" w:space="0" w:color="auto"/>
        <w:right w:val="none" w:sz="0" w:space="0" w:color="auto"/>
        <w:between w:val="none" w:sz="0" w:space="0" w:color="auto"/>
        <w:bar w:val="none" w:sz="0" w:color="auto"/>
      </w:pBdr>
      <w:tabs>
        <w:tab w:val="clear" w:pos="926"/>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Number4">
    <w:name w:val="List Number 4"/>
    <w:basedOn w:val="Normal"/>
    <w:uiPriority w:val="99"/>
    <w:semiHidden/>
    <w:unhideWhenUsed/>
    <w:rsid w:val="008B198D"/>
    <w:pPr>
      <w:numPr>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1209"/>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ListNumber5">
    <w:name w:val="List Number 5"/>
    <w:basedOn w:val="Normal"/>
    <w:uiPriority w:val="99"/>
    <w:semiHidden/>
    <w:unhideWhenUsed/>
    <w:rsid w:val="008B198D"/>
    <w:pPr>
      <w:numPr>
        <w:numId w:val="17"/>
      </w:numPr>
      <w:pBdr>
        <w:top w:val="none" w:sz="0" w:space="0" w:color="auto"/>
        <w:left w:val="none" w:sz="0" w:space="0" w:color="auto"/>
        <w:bottom w:val="none" w:sz="0" w:space="0" w:color="auto"/>
        <w:right w:val="none" w:sz="0" w:space="0" w:color="auto"/>
        <w:between w:val="none" w:sz="0" w:space="0" w:color="auto"/>
        <w:bar w:val="none" w:sz="0" w:color="auto"/>
      </w:pBdr>
      <w:tabs>
        <w:tab w:val="clear" w:pos="1492"/>
      </w:tabs>
      <w:spacing w:after="160" w:line="259" w:lineRule="auto"/>
      <w:ind w:left="0" w:firstLine="0"/>
      <w:contextualSpacing/>
    </w:pPr>
    <w:rPr>
      <w:rFonts w:ascii="Evelyn Raleway" w:eastAsiaTheme="minorHAnsi" w:hAnsi="Evelyn Raleway" w:cstheme="minorBidi"/>
      <w:sz w:val="21"/>
      <w:szCs w:val="22"/>
      <w:bdr w:val="none" w:sz="0" w:space="0" w:color="auto"/>
      <w:lang w:val="en-GB"/>
    </w:rPr>
  </w:style>
  <w:style w:type="paragraph" w:styleId="MacroText">
    <w:name w:val="macro"/>
    <w:link w:val="MacroTex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Theme="minorHAnsi" w:hAnsi="Consolas" w:cstheme="minorBidi"/>
      <w:bdr w:val="none" w:sz="0" w:space="0" w:color="auto"/>
      <w:lang w:eastAsia="en-US"/>
    </w:rPr>
  </w:style>
  <w:style w:type="character" w:customStyle="1" w:styleId="MacroTextChar">
    <w:name w:val="Macro Text Char"/>
    <w:basedOn w:val="DefaultParagraphFont"/>
    <w:link w:val="MacroText"/>
    <w:uiPriority w:val="99"/>
    <w:semiHidden/>
    <w:rsid w:val="008B198D"/>
    <w:rPr>
      <w:rFonts w:ascii="Consolas" w:eastAsiaTheme="minorHAnsi" w:hAnsi="Consolas" w:cstheme="minorBidi"/>
      <w:bdr w:val="none" w:sz="0" w:space="0" w:color="auto"/>
      <w:lang w:eastAsia="en-US"/>
    </w:rPr>
  </w:style>
  <w:style w:type="paragraph" w:styleId="MessageHeader">
    <w:name w:val="Message Header"/>
    <w:basedOn w:val="Normal"/>
    <w:link w:val="MessageHeaderChar"/>
    <w:uiPriority w:val="99"/>
    <w:semiHidden/>
    <w:unhideWhenUsed/>
    <w:rsid w:val="008B198D"/>
    <w:pPr>
      <w:pBdr>
        <w:top w:val="single" w:sz="6" w:space="1" w:color="auto"/>
        <w:left w:val="single" w:sz="6" w:space="1" w:color="auto"/>
        <w:bottom w:val="single" w:sz="6" w:space="1" w:color="auto"/>
        <w:right w:val="single" w:sz="6" w:space="1" w:color="auto"/>
        <w:between w:val="none" w:sz="0" w:space="0" w:color="auto"/>
        <w:bar w:val="none" w:sz="0" w:color="auto"/>
      </w:pBdr>
      <w:shd w:val="pct20" w:color="auto" w:fill="auto"/>
      <w:ind w:left="1134" w:hanging="1134"/>
    </w:pPr>
    <w:rPr>
      <w:rFonts w:asciiTheme="majorHAnsi" w:eastAsiaTheme="majorEastAsia" w:hAnsiTheme="majorHAnsi" w:cstheme="majorBidi"/>
      <w:bdr w:val="none" w:sz="0" w:space="0" w:color="auto"/>
      <w:lang w:val="en-GB"/>
    </w:rPr>
  </w:style>
  <w:style w:type="character" w:customStyle="1" w:styleId="MessageHeaderChar">
    <w:name w:val="Message Header Char"/>
    <w:basedOn w:val="DefaultParagraphFont"/>
    <w:link w:val="MessageHeader"/>
    <w:uiPriority w:val="99"/>
    <w:semiHidden/>
    <w:rsid w:val="008B198D"/>
    <w:rPr>
      <w:rFonts w:asciiTheme="majorHAnsi" w:eastAsiaTheme="majorEastAsia" w:hAnsiTheme="majorHAnsi" w:cstheme="majorBidi"/>
      <w:sz w:val="24"/>
      <w:szCs w:val="24"/>
      <w:bdr w:val="none" w:sz="0" w:space="0" w:color="auto"/>
      <w:shd w:val="pct20" w:color="auto" w:fill="auto"/>
      <w:lang w:eastAsia="en-US"/>
    </w:rPr>
  </w:style>
  <w:style w:type="paragraph" w:styleId="NoSpacing">
    <w:name w:val="No Spacing"/>
    <w:uiPriority w:val="1"/>
    <w:qFormat/>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1"/>
      <w:szCs w:val="22"/>
      <w:bdr w:val="none" w:sz="0" w:space="0" w:color="auto"/>
      <w:lang w:eastAsia="en-US"/>
    </w:rPr>
  </w:style>
  <w:style w:type="paragraph" w:styleId="NormalIndent">
    <w:name w:val="Normal Indent"/>
    <w:basedOn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Evelyn Raleway" w:eastAsiaTheme="minorHAnsi" w:hAnsi="Evelyn Raleway" w:cstheme="minorBidi"/>
      <w:sz w:val="21"/>
      <w:szCs w:val="22"/>
      <w:bdr w:val="none" w:sz="0" w:space="0" w:color="auto"/>
      <w:lang w:val="en-GB"/>
    </w:rPr>
  </w:style>
  <w:style w:type="paragraph" w:styleId="NoteHeading">
    <w:name w:val="Note Heading"/>
    <w:basedOn w:val="Normal"/>
    <w:next w:val="Normal"/>
    <w:link w:val="NoteHeading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Evelyn Raleway" w:eastAsiaTheme="minorHAnsi" w:hAnsi="Evelyn Raleway" w:cstheme="minorBidi"/>
      <w:sz w:val="21"/>
      <w:szCs w:val="22"/>
      <w:bdr w:val="none" w:sz="0" w:space="0" w:color="auto"/>
      <w:lang w:val="en-GB"/>
    </w:rPr>
  </w:style>
  <w:style w:type="character" w:customStyle="1" w:styleId="NoteHeadingChar">
    <w:name w:val="Note Heading Char"/>
    <w:basedOn w:val="DefaultParagraphFont"/>
    <w:link w:val="NoteHeading"/>
    <w:uiPriority w:val="99"/>
    <w:semiHidden/>
    <w:rsid w:val="008B198D"/>
    <w:rPr>
      <w:rFonts w:ascii="Evelyn Raleway" w:eastAsiaTheme="minorHAnsi" w:hAnsi="Evelyn Raleway" w:cstheme="minorBidi"/>
      <w:sz w:val="21"/>
      <w:szCs w:val="22"/>
      <w:bdr w:val="none" w:sz="0" w:space="0" w:color="auto"/>
      <w:lang w:eastAsia="en-US"/>
    </w:rPr>
  </w:style>
  <w:style w:type="paragraph" w:styleId="PlainText">
    <w:name w:val="Plain Text"/>
    <w:basedOn w:val="Normal"/>
    <w:link w:val="PlainText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heme="minorHAnsi" w:hAnsi="Consolas" w:cstheme="minorBidi"/>
      <w:sz w:val="21"/>
      <w:szCs w:val="21"/>
      <w:bdr w:val="none" w:sz="0" w:space="0" w:color="auto"/>
      <w:lang w:val="en-GB"/>
    </w:rPr>
  </w:style>
  <w:style w:type="character" w:customStyle="1" w:styleId="PlainTextChar">
    <w:name w:val="Plain Text Char"/>
    <w:basedOn w:val="DefaultParagraphFont"/>
    <w:link w:val="PlainText"/>
    <w:uiPriority w:val="99"/>
    <w:semiHidden/>
    <w:rsid w:val="008B198D"/>
    <w:rPr>
      <w:rFonts w:ascii="Consolas" w:eastAsiaTheme="minorHAnsi" w:hAnsi="Consolas" w:cstheme="minorBidi"/>
      <w:sz w:val="21"/>
      <w:szCs w:val="21"/>
      <w:bdr w:val="none" w:sz="0" w:space="0" w:color="auto"/>
      <w:lang w:eastAsia="en-US"/>
    </w:rPr>
  </w:style>
  <w:style w:type="paragraph" w:styleId="Quote">
    <w:name w:val="Quote"/>
    <w:basedOn w:val="Normal"/>
    <w:next w:val="Normal"/>
    <w:link w:val="QuoteChar"/>
    <w:uiPriority w:val="29"/>
    <w:qFormat/>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200" w:after="160" w:line="259" w:lineRule="auto"/>
      <w:ind w:left="864" w:right="864"/>
      <w:jc w:val="center"/>
    </w:pPr>
    <w:rPr>
      <w:rFonts w:ascii="Evelyn Raleway" w:eastAsiaTheme="minorHAnsi" w:hAnsi="Evelyn Raleway" w:cstheme="minorBidi"/>
      <w:i/>
      <w:iCs/>
      <w:color w:val="404040" w:themeColor="text1" w:themeTint="BF"/>
      <w:sz w:val="21"/>
      <w:szCs w:val="22"/>
      <w:bdr w:val="none" w:sz="0" w:space="0" w:color="auto"/>
      <w:lang w:val="en-GB"/>
    </w:rPr>
  </w:style>
  <w:style w:type="character" w:customStyle="1" w:styleId="QuoteChar">
    <w:name w:val="Quote Char"/>
    <w:basedOn w:val="DefaultParagraphFont"/>
    <w:link w:val="Quote"/>
    <w:uiPriority w:val="29"/>
    <w:rsid w:val="008B198D"/>
    <w:rPr>
      <w:rFonts w:ascii="Evelyn Raleway" w:eastAsiaTheme="minorHAnsi" w:hAnsi="Evelyn Raleway" w:cstheme="minorBidi"/>
      <w:i/>
      <w:iCs/>
      <w:color w:val="404040" w:themeColor="text1" w:themeTint="BF"/>
      <w:sz w:val="21"/>
      <w:szCs w:val="22"/>
      <w:bdr w:val="none" w:sz="0" w:space="0" w:color="auto"/>
      <w:lang w:eastAsia="en-US"/>
    </w:rPr>
  </w:style>
  <w:style w:type="paragraph" w:styleId="Salutation">
    <w:name w:val="Salutation"/>
    <w:basedOn w:val="Normal"/>
    <w:next w:val="Normal"/>
    <w:link w:val="Salutation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Evelyn Raleway" w:eastAsiaTheme="minorHAnsi" w:hAnsi="Evelyn Raleway" w:cstheme="minorBidi"/>
      <w:sz w:val="21"/>
      <w:szCs w:val="22"/>
      <w:bdr w:val="none" w:sz="0" w:space="0" w:color="auto"/>
      <w:lang w:val="en-GB"/>
    </w:rPr>
  </w:style>
  <w:style w:type="character" w:customStyle="1" w:styleId="SalutationChar">
    <w:name w:val="Salutation Char"/>
    <w:basedOn w:val="DefaultParagraphFont"/>
    <w:link w:val="Salutation"/>
    <w:uiPriority w:val="99"/>
    <w:semiHidden/>
    <w:rsid w:val="008B198D"/>
    <w:rPr>
      <w:rFonts w:ascii="Evelyn Raleway" w:eastAsiaTheme="minorHAnsi" w:hAnsi="Evelyn Raleway" w:cstheme="minorBidi"/>
      <w:sz w:val="21"/>
      <w:szCs w:val="22"/>
      <w:bdr w:val="none" w:sz="0" w:space="0" w:color="auto"/>
      <w:lang w:eastAsia="en-US"/>
    </w:rPr>
  </w:style>
  <w:style w:type="paragraph" w:styleId="Signature">
    <w:name w:val="Signature"/>
    <w:basedOn w:val="Normal"/>
    <w:link w:val="SignatureChar"/>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ind w:left="4252"/>
    </w:pPr>
    <w:rPr>
      <w:rFonts w:ascii="Evelyn Raleway" w:eastAsiaTheme="minorHAnsi" w:hAnsi="Evelyn Raleway" w:cstheme="minorBidi"/>
      <w:sz w:val="21"/>
      <w:szCs w:val="22"/>
      <w:bdr w:val="none" w:sz="0" w:space="0" w:color="auto"/>
      <w:lang w:val="en-GB"/>
    </w:rPr>
  </w:style>
  <w:style w:type="character" w:customStyle="1" w:styleId="SignatureChar">
    <w:name w:val="Signature Char"/>
    <w:basedOn w:val="DefaultParagraphFont"/>
    <w:link w:val="Signature"/>
    <w:uiPriority w:val="99"/>
    <w:semiHidden/>
    <w:rsid w:val="008B198D"/>
    <w:rPr>
      <w:rFonts w:ascii="Evelyn Raleway" w:eastAsiaTheme="minorHAnsi" w:hAnsi="Evelyn Raleway" w:cstheme="minorBidi"/>
      <w:sz w:val="21"/>
      <w:szCs w:val="22"/>
      <w:bdr w:val="none" w:sz="0" w:space="0" w:color="auto"/>
      <w:lang w:eastAsia="en-US"/>
    </w:rPr>
  </w:style>
  <w:style w:type="paragraph" w:styleId="Subtitle">
    <w:name w:val="Subtitle"/>
    <w:basedOn w:val="Normal"/>
    <w:next w:val="Normal"/>
    <w:link w:val="SubtitleChar"/>
    <w:uiPriority w:val="11"/>
    <w:qFormat/>
    <w:rsid w:val="008B198D"/>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n-GB"/>
    </w:rPr>
  </w:style>
  <w:style w:type="character" w:customStyle="1" w:styleId="SubtitleChar">
    <w:name w:val="Subtitle Char"/>
    <w:basedOn w:val="DefaultParagraphFont"/>
    <w:link w:val="Subtitle"/>
    <w:uiPriority w:val="11"/>
    <w:rsid w:val="008B198D"/>
    <w:rPr>
      <w:rFonts w:asciiTheme="minorHAnsi" w:eastAsiaTheme="minorEastAsia" w:hAnsiTheme="minorHAnsi" w:cstheme="minorBidi"/>
      <w:color w:val="5A5A5A" w:themeColor="text1" w:themeTint="A5"/>
      <w:spacing w:val="15"/>
      <w:sz w:val="22"/>
      <w:szCs w:val="22"/>
      <w:bdr w:val="none" w:sz="0" w:space="0" w:color="auto"/>
      <w:lang w:eastAsia="en-US"/>
    </w:rPr>
  </w:style>
  <w:style w:type="paragraph" w:styleId="TableofAuthorities">
    <w:name w:val="table of authorities"/>
    <w:basedOn w:val="Normal"/>
    <w:next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210" w:hanging="210"/>
    </w:pPr>
    <w:rPr>
      <w:rFonts w:ascii="Evelyn Raleway" w:eastAsiaTheme="minorHAnsi" w:hAnsi="Evelyn Raleway" w:cstheme="minorBidi"/>
      <w:sz w:val="21"/>
      <w:szCs w:val="22"/>
      <w:bdr w:val="none" w:sz="0" w:space="0" w:color="auto"/>
      <w:lang w:val="en-GB"/>
    </w:rPr>
  </w:style>
  <w:style w:type="paragraph" w:styleId="TableofFigures">
    <w:name w:val="table of figures"/>
    <w:basedOn w:val="Normal"/>
    <w:next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pPr>
    <w:rPr>
      <w:rFonts w:ascii="Evelyn Raleway" w:eastAsiaTheme="minorHAnsi" w:hAnsi="Evelyn Raleway" w:cstheme="minorBidi"/>
      <w:sz w:val="21"/>
      <w:szCs w:val="22"/>
      <w:bdr w:val="none" w:sz="0" w:space="0" w:color="auto"/>
      <w:lang w:val="en-GB"/>
    </w:rPr>
  </w:style>
  <w:style w:type="paragraph" w:styleId="Title">
    <w:name w:val="Title"/>
    <w:basedOn w:val="Normal"/>
    <w:next w:val="Normal"/>
    <w:link w:val="TitleChar"/>
    <w:uiPriority w:val="10"/>
    <w:qFormat/>
    <w:rsid w:val="008B198D"/>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8B198D"/>
    <w:rPr>
      <w:rFonts w:asciiTheme="majorHAnsi" w:eastAsiaTheme="majorEastAsia" w:hAnsiTheme="majorHAnsi" w:cstheme="majorBidi"/>
      <w:spacing w:val="-10"/>
      <w:kern w:val="28"/>
      <w:sz w:val="56"/>
      <w:szCs w:val="56"/>
      <w:bdr w:val="none" w:sz="0" w:space="0" w:color="auto"/>
      <w:lang w:eastAsia="en-US"/>
    </w:rPr>
  </w:style>
  <w:style w:type="paragraph" w:styleId="TOAHeading">
    <w:name w:val="toa heading"/>
    <w:basedOn w:val="Normal"/>
    <w:next w:val="Normal"/>
    <w:uiPriority w:val="9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before="120" w:after="160" w:line="259" w:lineRule="auto"/>
    </w:pPr>
    <w:rPr>
      <w:rFonts w:asciiTheme="majorHAnsi" w:eastAsiaTheme="majorEastAsia" w:hAnsiTheme="majorHAnsi" w:cstheme="majorBidi"/>
      <w:b/>
      <w:bCs/>
      <w:bdr w:val="none" w:sz="0" w:space="0" w:color="auto"/>
      <w:lang w:val="en-GB"/>
    </w:rPr>
  </w:style>
  <w:style w:type="paragraph" w:styleId="TOC1">
    <w:name w:val="toc 1"/>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pPr>
    <w:rPr>
      <w:rFonts w:ascii="Evelyn Raleway" w:eastAsiaTheme="minorHAnsi" w:hAnsi="Evelyn Raleway" w:cstheme="minorBidi"/>
      <w:sz w:val="21"/>
      <w:szCs w:val="22"/>
      <w:bdr w:val="none" w:sz="0" w:space="0" w:color="auto"/>
      <w:lang w:val="en-GB"/>
    </w:rPr>
  </w:style>
  <w:style w:type="paragraph" w:styleId="TOC2">
    <w:name w:val="toc 2"/>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210"/>
    </w:pPr>
    <w:rPr>
      <w:rFonts w:ascii="Evelyn Raleway" w:eastAsiaTheme="minorHAnsi" w:hAnsi="Evelyn Raleway" w:cstheme="minorBidi"/>
      <w:sz w:val="21"/>
      <w:szCs w:val="22"/>
      <w:bdr w:val="none" w:sz="0" w:space="0" w:color="auto"/>
      <w:lang w:val="en-GB"/>
    </w:rPr>
  </w:style>
  <w:style w:type="paragraph" w:styleId="TOC3">
    <w:name w:val="toc 3"/>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20"/>
    </w:pPr>
    <w:rPr>
      <w:rFonts w:ascii="Evelyn Raleway" w:eastAsiaTheme="minorHAnsi" w:hAnsi="Evelyn Raleway" w:cstheme="minorBidi"/>
      <w:sz w:val="21"/>
      <w:szCs w:val="22"/>
      <w:bdr w:val="none" w:sz="0" w:space="0" w:color="auto"/>
      <w:lang w:val="en-GB"/>
    </w:rPr>
  </w:style>
  <w:style w:type="paragraph" w:styleId="TOC4">
    <w:name w:val="toc 4"/>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630"/>
    </w:pPr>
    <w:rPr>
      <w:rFonts w:ascii="Evelyn Raleway" w:eastAsiaTheme="minorHAnsi" w:hAnsi="Evelyn Raleway" w:cstheme="minorBidi"/>
      <w:sz w:val="21"/>
      <w:szCs w:val="22"/>
      <w:bdr w:val="none" w:sz="0" w:space="0" w:color="auto"/>
      <w:lang w:val="en-GB"/>
    </w:rPr>
  </w:style>
  <w:style w:type="paragraph" w:styleId="TOC5">
    <w:name w:val="toc 5"/>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840"/>
    </w:pPr>
    <w:rPr>
      <w:rFonts w:ascii="Evelyn Raleway" w:eastAsiaTheme="minorHAnsi" w:hAnsi="Evelyn Raleway" w:cstheme="minorBidi"/>
      <w:sz w:val="21"/>
      <w:szCs w:val="22"/>
      <w:bdr w:val="none" w:sz="0" w:space="0" w:color="auto"/>
      <w:lang w:val="en-GB"/>
    </w:rPr>
  </w:style>
  <w:style w:type="paragraph" w:styleId="TOC6">
    <w:name w:val="toc 6"/>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1050"/>
    </w:pPr>
    <w:rPr>
      <w:rFonts w:ascii="Evelyn Raleway" w:eastAsiaTheme="minorHAnsi" w:hAnsi="Evelyn Raleway" w:cstheme="minorBidi"/>
      <w:sz w:val="21"/>
      <w:szCs w:val="22"/>
      <w:bdr w:val="none" w:sz="0" w:space="0" w:color="auto"/>
      <w:lang w:val="en-GB"/>
    </w:rPr>
  </w:style>
  <w:style w:type="paragraph" w:styleId="TOC7">
    <w:name w:val="toc 7"/>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1260"/>
    </w:pPr>
    <w:rPr>
      <w:rFonts w:ascii="Evelyn Raleway" w:eastAsiaTheme="minorHAnsi" w:hAnsi="Evelyn Raleway" w:cstheme="minorBidi"/>
      <w:sz w:val="21"/>
      <w:szCs w:val="22"/>
      <w:bdr w:val="none" w:sz="0" w:space="0" w:color="auto"/>
      <w:lang w:val="en-GB"/>
    </w:rPr>
  </w:style>
  <w:style w:type="paragraph" w:styleId="TOC8">
    <w:name w:val="toc 8"/>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1470"/>
    </w:pPr>
    <w:rPr>
      <w:rFonts w:ascii="Evelyn Raleway" w:eastAsiaTheme="minorHAnsi" w:hAnsi="Evelyn Raleway" w:cstheme="minorBidi"/>
      <w:sz w:val="21"/>
      <w:szCs w:val="22"/>
      <w:bdr w:val="none" w:sz="0" w:space="0" w:color="auto"/>
      <w:lang w:val="en-GB"/>
    </w:rPr>
  </w:style>
  <w:style w:type="paragraph" w:styleId="TOC9">
    <w:name w:val="toc 9"/>
    <w:basedOn w:val="Normal"/>
    <w:next w:val="Normal"/>
    <w:autoRedefine/>
    <w:uiPriority w:val="39"/>
    <w:semiHidden/>
    <w:unhideWhenUsed/>
    <w:rsid w:val="008B198D"/>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1680"/>
    </w:pPr>
    <w:rPr>
      <w:rFonts w:ascii="Evelyn Raleway" w:eastAsiaTheme="minorHAnsi" w:hAnsi="Evelyn Raleway" w:cstheme="minorBidi"/>
      <w:sz w:val="21"/>
      <w:szCs w:val="22"/>
      <w:bdr w:val="none" w:sz="0" w:space="0" w:color="auto"/>
      <w:lang w:val="en-GB"/>
    </w:rPr>
  </w:style>
  <w:style w:type="paragraph" w:styleId="TOCHeading">
    <w:name w:val="TOC Heading"/>
    <w:basedOn w:val="Heading1"/>
    <w:next w:val="Normal"/>
    <w:uiPriority w:val="39"/>
    <w:semiHidden/>
    <w:unhideWhenUsed/>
    <w:qFormat/>
    <w:rsid w:val="008B198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en-GB"/>
    </w:rPr>
  </w:style>
  <w:style w:type="paragraph" w:customStyle="1" w:styleId="p1">
    <w:name w:val="p1"/>
    <w:rsid w:val="008B198D"/>
    <w:rPr>
      <w:rFonts w:ascii="Calibri" w:hAnsi="Calibri" w:cs="Arial Unicode MS"/>
      <w:color w:val="000000"/>
      <w:sz w:val="17"/>
      <w:szCs w:val="17"/>
      <w:u w:color="000000"/>
      <w:lang w:val="en-US"/>
    </w:rPr>
  </w:style>
  <w:style w:type="character" w:customStyle="1" w:styleId="None">
    <w:name w:val="None"/>
    <w:rsid w:val="008B198D"/>
  </w:style>
  <w:style w:type="paragraph" w:customStyle="1" w:styleId="BodyA">
    <w:name w:val="Body A"/>
    <w:rsid w:val="008B198D"/>
    <w:rPr>
      <w:rFonts w:eastAsia="Times New Roman"/>
      <w:color w:val="000000"/>
      <w:sz w:val="24"/>
      <w:szCs w:val="24"/>
      <w:u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ulcrummetals.com/link/y5nj3e" TargetMode="External"/><Relationship Id="rId20" Type="http://schemas.openxmlformats.org/officeDocument/2006/relationships/hyperlink" Target="https://www.linkedin.com/company/fulcrum-metals-pl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image" Target="media/image6.png"/><Relationship Id="rId23" Type="http://schemas.microsoft.com/office/2016/09/relationships/commentsIds" Target="commentsIds.xml"/><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9.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microsoft.com/office/2011/relationships/commentsExtended" Target="commentsExtended.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CD4121116434EB38DDB1D7630CF54" ma:contentTypeVersion="20" ma:contentTypeDescription="Create a new document." ma:contentTypeScope="" ma:versionID="fe480e2028069dfe8532a178bf60118a">
  <xsd:schema xmlns:xsd="http://www.w3.org/2001/XMLSchema" xmlns:xs="http://www.w3.org/2001/XMLSchema" xmlns:p="http://schemas.microsoft.com/office/2006/metadata/properties" xmlns:ns2="da903b84-dee7-48ec-bef4-825efbcbf433" xmlns:ns3="1bab102b-4742-4273-8727-b584ff6c0030" targetNamespace="http://schemas.microsoft.com/office/2006/metadata/properties" ma:root="true" ma:fieldsID="f4e25fca9192cfa13238539d931dc459" ns2:_="" ns3:_="">
    <xsd:import namespace="da903b84-dee7-48ec-bef4-825efbcbf433"/>
    <xsd:import namespace="1bab102b-4742-4273-8727-b584ff6c00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preview"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03b84-dee7-48ec-bef4-825efbcbf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e49b88-f36b-4cab-9127-65c90193c9d6" ma:termSetId="09814cd3-568e-fe90-9814-8d621ff8fb84" ma:anchorId="fba54fb3-c3e1-fe81-a776-ca4b69148c4d" ma:open="true" ma:isKeyword="false">
      <xsd:complexType>
        <xsd:sequence>
          <xsd:element ref="pc:Terms" minOccurs="0" maxOccurs="1"/>
        </xsd:sequence>
      </xsd:complexType>
    </xsd:element>
    <xsd:element name="preview" ma:index="24" nillable="true" ma:displayName="preview" ma:format="Thumbnail" ma:internalName="preview">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b102b-4742-4273-8727-b584ff6c00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c22da1-8935-4abb-80cc-e9126f187922}" ma:internalName="TaxCatchAll" ma:showField="CatchAllData" ma:web="1bab102b-4742-4273-8727-b584ff6c0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bab102b-4742-4273-8727-b584ff6c0030" xsi:nil="true"/>
    <lcf76f155ced4ddcb4097134ff3c332f xmlns="da903b84-dee7-48ec-bef4-825efbcbf433">
      <Terms xmlns="http://schemas.microsoft.com/office/infopath/2007/PartnerControls"/>
    </lcf76f155ced4ddcb4097134ff3c332f>
    <preview xmlns="da903b84-dee7-48ec-bef4-825efbcbf4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3FD1D8-5439-4FB8-B789-FDEE27795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03b84-dee7-48ec-bef4-825efbcbf433"/>
    <ds:schemaRef ds:uri="1bab102b-4742-4273-8727-b584ff6c0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C63479-1700-4C57-B3B6-DB20F60426CA}">
  <ds:schemaRefs>
    <ds:schemaRef ds:uri="http://schemas.microsoft.com/office/2006/metadata/properties"/>
    <ds:schemaRef ds:uri="http://schemas.microsoft.com/office/infopath/2007/PartnerControls"/>
    <ds:schemaRef ds:uri="1bab102b-4742-4273-8727-b584ff6c0030"/>
    <ds:schemaRef ds:uri="da903b84-dee7-48ec-bef4-825efbcbf433"/>
  </ds:schemaRefs>
</ds:datastoreItem>
</file>

<file path=customXml/itemProps3.xml><?xml version="1.0" encoding="utf-8"?>
<ds:datastoreItem xmlns:ds="http://schemas.openxmlformats.org/officeDocument/2006/customXml" ds:itemID="{9F399BA8-3FCA-4D47-89E1-281CC7B004DC}">
  <ds:schemaRefs>
    <ds:schemaRef ds:uri="http://schemas.microsoft.com/sharepoint/v3/contenttype/forms"/>
  </ds:schemaRefs>
</ds:datastoreItem>
</file>

<file path=docMetadata/LabelInfo.xml><?xml version="1.0" encoding="utf-8"?>
<clbl:labelList xmlns:clbl="http://schemas.microsoft.com/office/2020/mipLabelMetadata">
  <clbl:label id="{d29f092e-abc9-44c0-8c19-92c6690b40b1}" enabled="1" method="Standard" siteId="{fc69750a-edcc-43be-bd5b-2cbe6f8d8c37}"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8850</Words>
  <Characters>50448</Characters>
  <Application>Microsoft Office Word</Application>
  <DocSecurity>4</DocSecurity>
  <Lines>420</Lines>
  <Paragraphs>118</Paragraphs>
  <ScaleCrop>false</ScaleCrop>
  <Company/>
  <LinksUpToDate>false</LinksUpToDate>
  <CharactersWithSpaces>59180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Athanas</dc:creator>
  <cp:lastModifiedBy>Charlotte Page</cp:lastModifiedBy>
  <cp:revision>2</cp:revision>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0x0101005FCCD4121116434EB38DDB1D7630CF54</vt:lpwstr>
  </property>
  <property fmtid="{D5CDD505-2E9C-101B-9397-08002B2CF9AE}" pid="3" name="docLang">
    <vt:lpwstr>en</vt:lpwstr>
  </property>
  <property fmtid="{D5CDD505-2E9C-101B-9397-08002B2CF9AE}" pid="4" name="MediaServiceImageTags">
    <vt:lpwstr/>
  </property>
</Properties>
</file>