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Calibri" w:cs="Calibri" w:eastAsia="Calibri" w:hAnsi="Calibri"/>
          <w:b/>
          <w:bCs/>
          <w:color w:val="1F3864"/>
          <w:sz w:val="36"/>
          <w:szCs w:val="36"/>
        </w:rPr>
        <w:t xml:space="preserve">MARIA JOSÉ CABRAL</w:t>
      </w:r>
    </w:p>
    <w:p>
      <w:pPr>
        <w:spacing w:after="60"/>
        <w:jc w:val="center"/>
      </w:pPr>
      <w:r>
        <w:rPr>
          <w:rFonts w:ascii="Calibri" w:cs="Calibri" w:eastAsia="Calibri" w:hAnsi="Calibri"/>
          <w:i/>
          <w:iCs/>
          <w:color w:val="2E6969"/>
          <w:sz w:val="22"/>
          <w:szCs w:val="22"/>
        </w:rPr>
        <w:t xml:space="preserve">Sworn Translator (Guatemala MFA) · Trilingual (ES · EN · PT) — Legal, International Development, Migration &amp; Human Rights</w:t>
      </w:r>
    </w:p>
    <w:p>
      <w:pPr>
        <w:spacing w:after="40"/>
        <w:jc w:val="center"/>
      </w:pPr>
      <w:r>
        <w:rPr>
          <w:rFonts w:ascii="Calibri" w:cs="Calibri" w:eastAsia="Calibri" w:hAnsi="Calibri"/>
          <w:color w:val="1F1F1F"/>
          <w:sz w:val="18"/>
          <w:szCs w:val="18"/>
        </w:rPr>
        <w:t xml:space="preserve">Based in São Paulo, Brazil &amp; Guatemala City, Guatemala  •  +55 11 99024-3658  •  +502 5915-7510</w:t>
      </w:r>
    </w:p>
    <w:p>
      <w:pPr>
        <w:spacing w:after="40"/>
        <w:jc w:val="center"/>
      </w:pPr>
      <w:r>
        <w:rPr>
          <w:rFonts w:ascii="Calibri" w:cs="Calibri" w:eastAsia="Calibri" w:hAnsi="Calibri"/>
          <w:color w:val="1F1F1F"/>
          <w:sz w:val="18"/>
          <w:szCs w:val="18"/>
        </w:rPr>
        <w:t xml:space="preserve">ariesbluemj@gmail.com  •  ProZ.com Profile ID: 2560097  •  Freelancer since 2011</w:t>
      </w:r>
    </w:p>
    <w:p>
      <w:pPr>
        <w:pStyle w:val="Heading1"/>
        <w:pBdr>
          <w:bottom w:val="single" w:color="2E6969" w:sz="12" w:space="1"/>
        </w:pBdr>
        <w:spacing w:after="100" w:before="200"/>
      </w:pPr>
      <w:r>
        <w:rPr>
          <w:rFonts w:ascii="Calibri" w:cs="Calibri" w:eastAsia="Calibri" w:hAnsi="Calibri"/>
          <w:b/>
          <w:bCs/>
          <w:color w:val="1F3864"/>
          <w:sz w:val="22"/>
          <w:szCs w:val="22"/>
        </w:rPr>
        <w:t xml:space="preserve">PROFESSIONAL PROFILE</w:t>
      </w:r>
    </w:p>
    <w:p>
      <w:pPr>
        <w:spacing w:after="80"/>
        <w:jc w:val="both"/>
      </w:pPr>
      <w:r>
        <w:rPr>
          <w:rFonts w:ascii="Calibri" w:cs="Calibri" w:eastAsia="Calibri" w:hAnsi="Calibri"/>
          <w:b w:val="false"/>
          <w:bCs w:val="false"/>
          <w:sz w:val="20"/>
          <w:szCs w:val="20"/>
        </w:rPr>
        <w:t xml:space="preserve">Sworn Translator officially registered with the Ministry of Foreign Affairs of Guatemala (Traductora Jurada), and trilingual language services professional (Spanish native, English C1 — UNLPE certified, Portuguese C1) based in São Paulo, Brazil and Guatemala City, Guatemala. Holder of a Bachelor of Laws (LL.B.), Bachelor in Political Science, Postgraduate Diploma in International Relations and MBA in Project Management &amp; Agile Methodologies. Freelance translator since 2011, combining linguistic precision and legal certification authority with 18+ years of substantive experience in the United Nations system (UNDP Guatemala, UNHCR Guatemala and UNHCR Brazil) drafting technical reports, legal instruments (MoUs, partnership agreements), donor communications, project proposals and analytical products in Spanish, English and Portuguese. Confidential, deadline-driven, attention to detail.</w:t>
      </w:r>
    </w:p>
    <w:p>
      <w:pPr>
        <w:pStyle w:val="Heading1"/>
        <w:pBdr>
          <w:bottom w:val="single" w:color="2E6969" w:sz="12" w:space="1"/>
        </w:pBdr>
        <w:spacing w:after="100" w:before="200"/>
      </w:pPr>
      <w:r>
        <w:rPr>
          <w:rFonts w:ascii="Calibri" w:cs="Calibri" w:eastAsia="Calibri" w:hAnsi="Calibri"/>
          <w:b/>
          <w:bCs/>
          <w:color w:val="1F3864"/>
          <w:sz w:val="22"/>
          <w:szCs w:val="22"/>
        </w:rPr>
        <w:t xml:space="preserve">LANGUAGE PAIRS &amp; SERVICES</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Language pairs: </w:t>
      </w:r>
      <w:r>
        <w:rPr>
          <w:rFonts w:ascii="Calibri" w:cs="Calibri" w:eastAsia="Calibri" w:hAnsi="Calibri"/>
          <w:b w:val="false"/>
          <w:bCs w:val="false"/>
          <w:i w:val="false"/>
          <w:iCs w:val="false"/>
          <w:color w:val="1F1F1F"/>
          <w:sz w:val="20"/>
          <w:szCs w:val="20"/>
        </w:rPr>
        <w:t xml:space="preserve">Spanish ↔ English, Spanish ↔ Portuguese, Portuguese ↔ English (bidirectional). Priority given to translation into Spanish (native language).</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Services: </w:t>
      </w:r>
      <w:r>
        <w:rPr>
          <w:rFonts w:ascii="Calibri" w:cs="Calibri" w:eastAsia="Calibri" w:hAnsi="Calibri"/>
          <w:b w:val="false"/>
          <w:bCs w:val="false"/>
          <w:i w:val="false"/>
          <w:iCs w:val="false"/>
          <w:color w:val="1F1F1F"/>
          <w:sz w:val="20"/>
          <w:szCs w:val="20"/>
        </w:rPr>
        <w:t xml:space="preserve">Sworn / official translation (officially registered with the Ministry of Foreign Affairs of Guatemala); general and specialised document translation; editing / revision / proofreading; consecutive and simultaneous interpreting.</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CAT &amp; assistance tools: </w:t>
      </w:r>
      <w:r>
        <w:rPr>
          <w:rFonts w:ascii="Calibri" w:cs="Calibri" w:eastAsia="Calibri" w:hAnsi="Calibri"/>
          <w:b w:val="false"/>
          <w:bCs w:val="false"/>
          <w:i w:val="false"/>
          <w:iCs w:val="false"/>
          <w:color w:val="1F1F1F"/>
          <w:sz w:val="20"/>
          <w:szCs w:val="20"/>
        </w:rPr>
        <w:t xml:space="preserve">Wordfast, OmegaT, Smartcat, MateCat, DeepL Pro.</w:t>
      </w:r>
    </w:p>
    <w:p>
      <w:pPr>
        <w:pStyle w:val="Heading1"/>
        <w:pBdr>
          <w:bottom w:val="single" w:color="2E6969" w:sz="12" w:space="1"/>
        </w:pBdr>
        <w:spacing w:after="100" w:before="200"/>
      </w:pPr>
      <w:r>
        <w:rPr>
          <w:rFonts w:ascii="Calibri" w:cs="Calibri" w:eastAsia="Calibri" w:hAnsi="Calibri"/>
          <w:b/>
          <w:bCs/>
          <w:color w:val="1F3864"/>
          <w:sz w:val="22"/>
          <w:szCs w:val="22"/>
        </w:rPr>
        <w:t xml:space="preserve">AREAS OF SPECIALISATION</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Legal / Law / Contracts: </w:t>
      </w:r>
      <w:r>
        <w:rPr>
          <w:rFonts w:ascii="Calibri" w:cs="Calibri" w:eastAsia="Calibri" w:hAnsi="Calibri"/>
          <w:b w:val="false"/>
          <w:bCs w:val="false"/>
          <w:i w:val="false"/>
          <w:iCs w:val="false"/>
          <w:color w:val="1F1F1F"/>
          <w:sz w:val="20"/>
          <w:szCs w:val="20"/>
        </w:rPr>
        <w:t xml:space="preserve">Memoranda of Understanding, partnership agreements, Letters of Agreement, grant agreements, terms of reference and legal instruments — drawn from LL.B. training and from years drafting and reviewing such documents at UNHCR and UNDP.</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Migration, Refugees, Human Rights &amp; International Protection: </w:t>
      </w:r>
      <w:r>
        <w:rPr>
          <w:rFonts w:ascii="Calibri" w:cs="Calibri" w:eastAsia="Calibri" w:hAnsi="Calibri"/>
          <w:b w:val="false"/>
          <w:bCs w:val="false"/>
          <w:i w:val="false"/>
          <w:iCs w:val="false"/>
          <w:color w:val="1F1F1F"/>
          <w:sz w:val="20"/>
          <w:szCs w:val="20"/>
        </w:rPr>
        <w:t xml:space="preserve">9+ years working directly with refugee, asylum-seeker and displaced populations at UNHCR Guatemala and Brazil, using official UN terminology in daily reports and communications.</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International Cooperation, Development &amp; UN Agenda: </w:t>
      </w:r>
      <w:r>
        <w:rPr>
          <w:rFonts w:ascii="Calibri" w:cs="Calibri" w:eastAsia="Calibri" w:hAnsi="Calibri"/>
          <w:b w:val="false"/>
          <w:bCs w:val="false"/>
          <w:i w:val="false"/>
          <w:iCs w:val="false"/>
          <w:color w:val="1F1F1F"/>
          <w:sz w:val="20"/>
          <w:szCs w:val="20"/>
        </w:rPr>
        <w:t xml:space="preserve">7 years at UNDP Guatemala working across multiple SDG-aligned sectors, drafting donor reports, concept notes, research briefs and knowledge products.</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Business &amp; Project Management: </w:t>
      </w:r>
      <w:r>
        <w:rPr>
          <w:rFonts w:ascii="Calibri" w:cs="Calibri" w:eastAsia="Calibri" w:hAnsi="Calibri"/>
          <w:b w:val="false"/>
          <w:bCs w:val="false"/>
          <w:i w:val="false"/>
          <w:iCs w:val="false"/>
          <w:color w:val="1F1F1F"/>
          <w:sz w:val="20"/>
          <w:szCs w:val="20"/>
        </w:rPr>
        <w:t xml:space="preserve">MBA in Project Management &amp; Agile Methodologies; IDB Project Management Development; McKinsey Business Strategy &amp; Business Leadership.</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Cinema, Film, TV &amp; Drama: </w:t>
      </w:r>
      <w:r>
        <w:rPr>
          <w:rFonts w:ascii="Calibri" w:cs="Calibri" w:eastAsia="Calibri" w:hAnsi="Calibri"/>
          <w:b w:val="false"/>
          <w:bCs w:val="false"/>
          <w:i w:val="false"/>
          <w:iCs w:val="false"/>
          <w:color w:val="1F1F1F"/>
          <w:sz w:val="20"/>
          <w:szCs w:val="20"/>
        </w:rPr>
        <w:t xml:space="preserve">Additional area of interest available for translation and subtitling projects.</w:t>
      </w:r>
    </w:p>
    <w:p>
      <w:pPr>
        <w:pStyle w:val="Heading1"/>
        <w:pBdr>
          <w:bottom w:val="single" w:color="2E6969" w:sz="12" w:space="1"/>
        </w:pBdr>
        <w:spacing w:after="100" w:before="200"/>
      </w:pPr>
      <w:r>
        <w:rPr>
          <w:rFonts w:ascii="Calibri" w:cs="Calibri" w:eastAsia="Calibri" w:hAnsi="Calibri"/>
          <w:b/>
          <w:bCs/>
          <w:color w:val="1F3864"/>
          <w:sz w:val="22"/>
          <w:szCs w:val="22"/>
        </w:rPr>
        <w:t xml:space="preserve">WORKING LANGUAGES</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Spanish: </w:t>
      </w:r>
      <w:r>
        <w:rPr>
          <w:rFonts w:ascii="Calibri" w:cs="Calibri" w:eastAsia="Calibri" w:hAnsi="Calibri"/>
          <w:b w:val="false"/>
          <w:bCs w:val="false"/>
          <w:i w:val="false"/>
          <w:iCs w:val="false"/>
          <w:color w:val="1F1F1F"/>
          <w:sz w:val="20"/>
          <w:szCs w:val="20"/>
        </w:rPr>
        <w:t xml:space="preserve">Native.</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English: </w:t>
      </w:r>
      <w:r>
        <w:rPr>
          <w:rFonts w:ascii="Calibri" w:cs="Calibri" w:eastAsia="Calibri" w:hAnsi="Calibri"/>
          <w:b w:val="false"/>
          <w:bCs w:val="false"/>
          <w:i w:val="false"/>
          <w:iCs w:val="false"/>
          <w:color w:val="1F1F1F"/>
          <w:sz w:val="20"/>
          <w:szCs w:val="20"/>
        </w:rPr>
        <w:t xml:space="preserve">C1 — UN Language Proficiency Examination (UNLPE) certified; daily working language across 16 years of UN assignments (UNDP and UNHCR).</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Portuguese: </w:t>
      </w:r>
      <w:r>
        <w:rPr>
          <w:rFonts w:ascii="Calibri" w:cs="Calibri" w:eastAsia="Calibri" w:hAnsi="Calibri"/>
          <w:b w:val="false"/>
          <w:bCs w:val="false"/>
          <w:i w:val="false"/>
          <w:iCs w:val="false"/>
          <w:color w:val="1F1F1F"/>
          <w:sz w:val="20"/>
          <w:szCs w:val="20"/>
        </w:rPr>
        <w:t xml:space="preserve">C1 — daily working language for 7 years at UNHCR Brazil (2019–2025), including direct partner negotiations, drafting of project agreements and inter-agency representation.</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French: </w:t>
      </w:r>
      <w:r>
        <w:rPr>
          <w:rFonts w:ascii="Calibri" w:cs="Calibri" w:eastAsia="Calibri" w:hAnsi="Calibri"/>
          <w:b w:val="false"/>
          <w:bCs w:val="false"/>
          <w:i w:val="false"/>
          <w:iCs w:val="false"/>
          <w:color w:val="1F1F1F"/>
          <w:sz w:val="20"/>
          <w:szCs w:val="20"/>
        </w:rPr>
        <w:t xml:space="preserve">A2, in progress.</w:t>
      </w:r>
    </w:p>
    <w:p>
      <w:pPr>
        <w:pStyle w:val="Heading1"/>
        <w:pBdr>
          <w:bottom w:val="single" w:color="2E6969" w:sz="12" w:space="1"/>
        </w:pBdr>
        <w:spacing w:after="100" w:before="200"/>
      </w:pPr>
      <w:r>
        <w:rPr>
          <w:rFonts w:ascii="Calibri" w:cs="Calibri" w:eastAsia="Calibri" w:hAnsi="Calibri"/>
          <w:b/>
          <w:bCs/>
          <w:color w:val="1F3864"/>
          <w:sz w:val="22"/>
          <w:szCs w:val="22"/>
        </w:rPr>
        <w:t xml:space="preserve">SUBSTANTIVE PROFESSIONAL BACKGROUND</w:t>
      </w:r>
    </w:p>
    <w:p>
      <w:pPr>
        <w:spacing w:after="100"/>
        <w:jc w:val="both"/>
      </w:pPr>
      <w:r>
        <w:rPr>
          <w:rFonts w:ascii="Calibri" w:cs="Calibri" w:eastAsia="Calibri" w:hAnsi="Calibri"/>
          <w:i/>
          <w:iCs/>
          <w:color w:val="1F1F1F"/>
          <w:sz w:val="20"/>
          <w:szCs w:val="20"/>
        </w:rPr>
        <w:t xml:space="preserve">The following UN-system experience underpins the terminology fluency, subject-matter accuracy and deadline discipline that inform my translation practice. All documents produced in this role were drafted, reviewed or negotiated in Spanish, English and/or Portuguese.</w:t>
      </w:r>
    </w:p>
    <w:p>
      <w:pPr>
        <w:tabs>
          <w:tab w:val="right" w:pos="9026"/>
        </w:tabs>
        <w:spacing w:after="0" w:before="120"/>
      </w:pPr>
      <w:r>
        <w:rPr>
          <w:rFonts w:ascii="Calibri" w:cs="Calibri" w:eastAsia="Calibri" w:hAnsi="Calibri"/>
          <w:b/>
          <w:bCs/>
          <w:color w:val="1F3864"/>
          <w:sz w:val="21"/>
          <w:szCs w:val="21"/>
        </w:rPr>
        <w:t xml:space="preserve">UNHCR — Field Office São Paulo (FOSP)</w:t>
      </w:r>
      <w:r>
        <w:rPr>
          <w:rFonts w:ascii="Calibri" w:cs="Calibri" w:eastAsia="Calibri" w:hAnsi="Calibri"/>
          <w:i/>
          <w:iCs/>
          <w:color w:val="1F1F1F"/>
          <w:sz w:val="20"/>
          <w:szCs w:val="20"/>
        </w:rPr>
        <w:t xml:space="preserve">	São Paulo, Brazil</w:t>
      </w:r>
    </w:p>
    <w:p>
      <w:pPr>
        <w:tabs>
          <w:tab w:val="right" w:pos="9026"/>
        </w:tabs>
        <w:spacing w:after="40" w:before="0"/>
      </w:pPr>
      <w:r>
        <w:rPr>
          <w:rFonts w:ascii="Calibri" w:cs="Calibri" w:eastAsia="Calibri" w:hAnsi="Calibri"/>
          <w:i/>
          <w:iCs/>
          <w:color w:val="2E6969"/>
          <w:sz w:val="20"/>
          <w:szCs w:val="20"/>
        </w:rPr>
        <w:t xml:space="preserve">Senior Programme Assistant</w:t>
      </w:r>
      <w:r>
        <w:rPr>
          <w:rFonts w:ascii="Calibri" w:cs="Calibri" w:eastAsia="Calibri" w:hAnsi="Calibri"/>
          <w:color w:val="1F1F1F"/>
          <w:sz w:val="20"/>
          <w:szCs w:val="20"/>
        </w:rPr>
        <w:t xml:space="preserve">	Jan 2019 – Dec 2025</w:t>
      </w:r>
    </w:p>
    <w:p>
      <w:pPr>
        <w:pStyle w:val="ListParagraph"/>
        <w:numPr>
          <w:ilvl w:val="0"/>
          <w:numId w:val="2"/>
        </w:numPr>
        <w:spacing w:after="60"/>
        <w:jc w:val="both"/>
      </w:pPr>
      <w:r>
        <w:rPr>
          <w:rFonts w:ascii="Calibri" w:cs="Calibri" w:eastAsia="Calibri" w:hAnsi="Calibri"/>
          <w:color w:val="1F1F1F"/>
          <w:sz w:val="20"/>
          <w:szCs w:val="20"/>
        </w:rPr>
        <w:t xml:space="preserve">Coordinated UNHCR's programme across six Brazilian federative units; negotiated umbrella partnership agreements (in Portuguese) with government, NGOs, faith-based organisations and Refugee-Led Organisations; drafted and reviewed monthly, quarterly and annual reports for senior management and donors in English and Portuguese; led emergency response documentation for the Rio Grande do Sul floods (2024) and the Afghan situation.</w:t>
      </w:r>
    </w:p>
    <w:p>
      <w:pPr>
        <w:tabs>
          <w:tab w:val="right" w:pos="9026"/>
        </w:tabs>
        <w:spacing w:after="0" w:before="120"/>
      </w:pPr>
      <w:r>
        <w:rPr>
          <w:rFonts w:ascii="Calibri" w:cs="Calibri" w:eastAsia="Calibri" w:hAnsi="Calibri"/>
          <w:b/>
          <w:bCs/>
          <w:color w:val="1F3864"/>
          <w:sz w:val="21"/>
          <w:szCs w:val="21"/>
        </w:rPr>
        <w:t xml:space="preserve">UNHCR — National Office</w:t>
      </w:r>
      <w:r>
        <w:rPr>
          <w:rFonts w:ascii="Calibri" w:cs="Calibri" w:eastAsia="Calibri" w:hAnsi="Calibri"/>
          <w:i/>
          <w:iCs/>
          <w:color w:val="1F1F1F"/>
          <w:sz w:val="20"/>
          <w:szCs w:val="20"/>
        </w:rPr>
        <w:t xml:space="preserve">	Guatemala City, Guatemala</w:t>
      </w:r>
    </w:p>
    <w:p>
      <w:pPr>
        <w:tabs>
          <w:tab w:val="right" w:pos="9026"/>
        </w:tabs>
        <w:spacing w:after="40" w:before="0"/>
      </w:pPr>
      <w:r>
        <w:rPr>
          <w:rFonts w:ascii="Calibri" w:cs="Calibri" w:eastAsia="Calibri" w:hAnsi="Calibri"/>
          <w:i/>
          <w:iCs/>
          <w:color w:val="2E6969"/>
          <w:sz w:val="20"/>
          <w:szCs w:val="20"/>
        </w:rPr>
        <w:t xml:space="preserve">Programme Associate</w:t>
      </w:r>
      <w:r>
        <w:rPr>
          <w:rFonts w:ascii="Calibri" w:cs="Calibri" w:eastAsia="Calibri" w:hAnsi="Calibri"/>
          <w:color w:val="1F1F1F"/>
          <w:sz w:val="20"/>
          <w:szCs w:val="20"/>
        </w:rPr>
        <w:t xml:space="preserve">	Aug 2016 – Oct 2018</w:t>
      </w:r>
    </w:p>
    <w:p>
      <w:pPr>
        <w:pStyle w:val="ListParagraph"/>
        <w:numPr>
          <w:ilvl w:val="0"/>
          <w:numId w:val="2"/>
        </w:numPr>
        <w:spacing w:after="60"/>
        <w:jc w:val="both"/>
      </w:pPr>
      <w:r>
        <w:rPr>
          <w:rFonts w:ascii="Calibri" w:cs="Calibri" w:eastAsia="Calibri" w:hAnsi="Calibri"/>
          <w:color w:val="1F1F1F"/>
          <w:sz w:val="20"/>
          <w:szCs w:val="20"/>
        </w:rPr>
        <w:t xml:space="preserve">Managed 12 implementing partnerships in a mixed-movement refugee context; drafted donor reports, concept notes and project proposals in Spanish and English; supervised the national Programme team and acted as Officer-in-Charge.</w:t>
      </w:r>
    </w:p>
    <w:p>
      <w:pPr>
        <w:tabs>
          <w:tab w:val="right" w:pos="9026"/>
        </w:tabs>
        <w:spacing w:after="0" w:before="120"/>
      </w:pPr>
      <w:r>
        <w:rPr>
          <w:rFonts w:ascii="Calibri" w:cs="Calibri" w:eastAsia="Calibri" w:hAnsi="Calibri"/>
          <w:b/>
          <w:bCs/>
          <w:color w:val="1F3864"/>
          <w:sz w:val="21"/>
          <w:szCs w:val="21"/>
        </w:rPr>
        <w:t xml:space="preserve">UNDP</w:t>
      </w:r>
      <w:r>
        <w:rPr>
          <w:rFonts w:ascii="Calibri" w:cs="Calibri" w:eastAsia="Calibri" w:hAnsi="Calibri"/>
          <w:i/>
          <w:iCs/>
          <w:color w:val="1F1F1F"/>
          <w:sz w:val="20"/>
          <w:szCs w:val="20"/>
        </w:rPr>
        <w:t xml:space="preserve">	Guatemala City, Guatemala</w:t>
      </w:r>
    </w:p>
    <w:p>
      <w:pPr>
        <w:tabs>
          <w:tab w:val="right" w:pos="9026"/>
        </w:tabs>
        <w:spacing w:after="40" w:before="0"/>
      </w:pPr>
      <w:r>
        <w:rPr>
          <w:rFonts w:ascii="Calibri" w:cs="Calibri" w:eastAsia="Calibri" w:hAnsi="Calibri"/>
          <w:i/>
          <w:iCs/>
          <w:color w:val="2E6969"/>
          <w:sz w:val="20"/>
          <w:szCs w:val="20"/>
        </w:rPr>
        <w:t xml:space="preserve">Associate Project Coordinator</w:t>
      </w:r>
      <w:r>
        <w:rPr>
          <w:rFonts w:ascii="Calibri" w:cs="Calibri" w:eastAsia="Calibri" w:hAnsi="Calibri"/>
          <w:color w:val="1F1F1F"/>
          <w:sz w:val="20"/>
          <w:szCs w:val="20"/>
        </w:rPr>
        <w:t xml:space="preserve">	Feb 2009 – Jul 2016</w:t>
      </w:r>
    </w:p>
    <w:p>
      <w:pPr>
        <w:pStyle w:val="ListParagraph"/>
        <w:numPr>
          <w:ilvl w:val="0"/>
          <w:numId w:val="2"/>
        </w:numPr>
        <w:spacing w:after="60"/>
        <w:jc w:val="both"/>
      </w:pPr>
      <w:r>
        <w:rPr>
          <w:rFonts w:ascii="Calibri" w:cs="Calibri" w:eastAsia="Calibri" w:hAnsi="Calibri"/>
          <w:color w:val="1F1F1F"/>
          <w:sz w:val="20"/>
          <w:szCs w:val="20"/>
        </w:rPr>
        <w:t xml:space="preserve">Coordinated national-level UNDP projects with government counterparts, donors and civil society; drafted MoUs, Letters of Agreement, analytical reports and knowledge products in Spanish and English; supported multi-stakeholder events and inter-agency dialogues.</w:t>
      </w:r>
    </w:p>
    <w:p>
      <w:pPr>
        <w:tabs>
          <w:tab w:val="right" w:pos="9026"/>
        </w:tabs>
        <w:spacing w:after="0" w:before="120"/>
      </w:pPr>
      <w:r>
        <w:rPr>
          <w:rFonts w:ascii="Calibri" w:cs="Calibri" w:eastAsia="Calibri" w:hAnsi="Calibri"/>
          <w:b/>
          <w:bCs/>
          <w:color w:val="1F3864"/>
          <w:sz w:val="21"/>
          <w:szCs w:val="21"/>
        </w:rPr>
        <w:t xml:space="preserve">HELVETAS Swiss Intercooperation</w:t>
      </w:r>
      <w:r>
        <w:rPr>
          <w:rFonts w:ascii="Calibri" w:cs="Calibri" w:eastAsia="Calibri" w:hAnsi="Calibri"/>
          <w:i/>
          <w:iCs/>
          <w:color w:val="1F1F1F"/>
          <w:sz w:val="20"/>
          <w:szCs w:val="20"/>
        </w:rPr>
        <w:t xml:space="preserve">	Guatemala</w:t>
      </w:r>
    </w:p>
    <w:p>
      <w:pPr>
        <w:tabs>
          <w:tab w:val="right" w:pos="9026"/>
        </w:tabs>
        <w:spacing w:after="40" w:before="0"/>
      </w:pPr>
      <w:r>
        <w:rPr>
          <w:rFonts w:ascii="Calibri" w:cs="Calibri" w:eastAsia="Calibri" w:hAnsi="Calibri"/>
          <w:i/>
          <w:iCs/>
          <w:color w:val="2E6969"/>
          <w:sz w:val="20"/>
          <w:szCs w:val="20"/>
        </w:rPr>
        <w:t xml:space="preserve">Project Coordinator</w:t>
      </w:r>
      <w:r>
        <w:rPr>
          <w:rFonts w:ascii="Calibri" w:cs="Calibri" w:eastAsia="Calibri" w:hAnsi="Calibri"/>
          <w:color w:val="1F1F1F"/>
          <w:sz w:val="20"/>
          <w:szCs w:val="20"/>
        </w:rPr>
        <w:t xml:space="preserve">	Jun 2007 – Dec 2008</w:t>
      </w:r>
    </w:p>
    <w:p>
      <w:pPr>
        <w:pStyle w:val="ListParagraph"/>
        <w:numPr>
          <w:ilvl w:val="0"/>
          <w:numId w:val="2"/>
        </w:numPr>
        <w:spacing w:after="60"/>
        <w:jc w:val="both"/>
      </w:pPr>
      <w:r>
        <w:rPr>
          <w:rFonts w:ascii="Calibri" w:cs="Calibri" w:eastAsia="Calibri" w:hAnsi="Calibri"/>
          <w:color w:val="1F1F1F"/>
          <w:sz w:val="20"/>
          <w:szCs w:val="20"/>
        </w:rPr>
        <w:t xml:space="preserve">Designed environmental sustainability campaigns reaching 10,000+ community members; delivered training to 2,000+ trainees; negotiated 20 multi-sector partnership agreements.</w:t>
      </w:r>
    </w:p>
    <w:p>
      <w:pPr>
        <w:pStyle w:val="Heading1"/>
        <w:pBdr>
          <w:bottom w:val="single" w:color="2E6969" w:sz="12" w:space="1"/>
        </w:pBdr>
        <w:spacing w:after="100" w:before="200"/>
      </w:pPr>
      <w:r>
        <w:rPr>
          <w:rFonts w:ascii="Calibri" w:cs="Calibri" w:eastAsia="Calibri" w:hAnsi="Calibri"/>
          <w:b/>
          <w:bCs/>
          <w:color w:val="1F3864"/>
          <w:sz w:val="22"/>
          <w:szCs w:val="22"/>
        </w:rPr>
        <w:t xml:space="preserve">EDUCATION</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MBA in Project Management &amp; Agile Methodologies — </w:t>
      </w:r>
      <w:r>
        <w:rPr>
          <w:rFonts w:ascii="Calibri" w:cs="Calibri" w:eastAsia="Calibri" w:hAnsi="Calibri"/>
          <w:b w:val="false"/>
          <w:bCs w:val="false"/>
          <w:i w:val="false"/>
          <w:iCs w:val="false"/>
          <w:color w:val="1F1F1F"/>
          <w:sz w:val="20"/>
          <w:szCs w:val="20"/>
        </w:rPr>
        <w:t xml:space="preserve">Pontifícia Universidade Católica do Rio Grande do Sul (PUCRS), Brazil  |  2025 – 2026</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Postgraduate Certificate in Agile Project Management — </w:t>
      </w:r>
      <w:r>
        <w:rPr>
          <w:rFonts w:ascii="Calibri" w:cs="Calibri" w:eastAsia="Calibri" w:hAnsi="Calibri"/>
          <w:b w:val="false"/>
          <w:bCs w:val="false"/>
          <w:i w:val="false"/>
          <w:iCs w:val="false"/>
          <w:color w:val="1F1F1F"/>
          <w:sz w:val="20"/>
          <w:szCs w:val="20"/>
        </w:rPr>
        <w:t xml:space="preserve">University of Colorado Boulder, USA  |  2024</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Postgraduate Certificate in Program Management — </w:t>
      </w:r>
      <w:r>
        <w:rPr>
          <w:rFonts w:ascii="Calibri" w:cs="Calibri" w:eastAsia="Calibri" w:hAnsi="Calibri"/>
          <w:b w:val="false"/>
          <w:bCs w:val="false"/>
          <w:i w:val="false"/>
          <w:iCs w:val="false"/>
          <w:color w:val="1F1F1F"/>
          <w:sz w:val="20"/>
          <w:szCs w:val="20"/>
        </w:rPr>
        <w:t xml:space="preserve">University of Colorado Boulder, USA  |  2024</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Postgraduate Diploma in International Relations — </w:t>
      </w:r>
      <w:r>
        <w:rPr>
          <w:rFonts w:ascii="Calibri" w:cs="Calibri" w:eastAsia="Calibri" w:hAnsi="Calibri"/>
          <w:b w:val="false"/>
          <w:bCs w:val="false"/>
          <w:i w:val="false"/>
          <w:iCs w:val="false"/>
          <w:color w:val="1F1F1F"/>
          <w:sz w:val="20"/>
          <w:szCs w:val="20"/>
        </w:rPr>
        <w:t xml:space="preserve">Da Vinci University, Guatemala  |  2017</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Bachelor of Laws (LL.B.) — </w:t>
      </w:r>
      <w:r>
        <w:rPr>
          <w:rFonts w:ascii="Calibri" w:cs="Calibri" w:eastAsia="Calibri" w:hAnsi="Calibri"/>
          <w:b w:val="false"/>
          <w:bCs w:val="false"/>
          <w:i w:val="false"/>
          <w:iCs w:val="false"/>
          <w:color w:val="1F1F1F"/>
          <w:sz w:val="20"/>
          <w:szCs w:val="20"/>
        </w:rPr>
        <w:t xml:space="preserve">Da Vinci University, Guatemala  |  2017</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Bachelor in Political Science — </w:t>
      </w:r>
      <w:r>
        <w:rPr>
          <w:rFonts w:ascii="Calibri" w:cs="Calibri" w:eastAsia="Calibri" w:hAnsi="Calibri"/>
          <w:b w:val="false"/>
          <w:bCs w:val="false"/>
          <w:i w:val="false"/>
          <w:iCs w:val="false"/>
          <w:color w:val="1F1F1F"/>
          <w:sz w:val="20"/>
          <w:szCs w:val="20"/>
        </w:rPr>
        <w:t xml:space="preserve">Rafael Landívar University, Guatemala  |  2001</w:t>
      </w:r>
    </w:p>
    <w:p>
      <w:pPr>
        <w:pStyle w:val="Heading1"/>
        <w:pBdr>
          <w:bottom w:val="single" w:color="2E6969" w:sz="12" w:space="1"/>
        </w:pBdr>
        <w:spacing w:after="100" w:before="200"/>
      </w:pPr>
      <w:r>
        <w:rPr>
          <w:rFonts w:ascii="Calibri" w:cs="Calibri" w:eastAsia="Calibri" w:hAnsi="Calibri"/>
          <w:b/>
          <w:bCs/>
          <w:color w:val="1F3864"/>
          <w:sz w:val="22"/>
          <w:szCs w:val="22"/>
        </w:rPr>
        <w:t xml:space="preserve">CERTIFICATIONS &amp; PROFESSIONAL DEVELOPMENT</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Official Translation Credential: </w:t>
      </w:r>
      <w:r>
        <w:rPr>
          <w:rFonts w:ascii="Calibri" w:cs="Calibri" w:eastAsia="Calibri" w:hAnsi="Calibri"/>
          <w:b w:val="false"/>
          <w:bCs w:val="false"/>
          <w:i w:val="false"/>
          <w:iCs w:val="false"/>
          <w:color w:val="1F1F1F"/>
          <w:sz w:val="20"/>
          <w:szCs w:val="20"/>
        </w:rPr>
        <w:t xml:space="preserve">Sworn Translator (Traductora Jurada) — registered with the Ministry of Foreign Affairs of Guatemala. Authorised to produce official translations with legal validity.</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Language: </w:t>
      </w:r>
      <w:r>
        <w:rPr>
          <w:rFonts w:ascii="Calibri" w:cs="Calibri" w:eastAsia="Calibri" w:hAnsi="Calibri"/>
          <w:b w:val="false"/>
          <w:bCs w:val="false"/>
          <w:i w:val="false"/>
          <w:iCs w:val="false"/>
          <w:color w:val="1F1F1F"/>
          <w:sz w:val="20"/>
          <w:szCs w:val="20"/>
        </w:rPr>
        <w:t xml:space="preserve">UN Language Proficiency Examination (UNLPE) — English, C1.</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UNHCR: </w:t>
      </w:r>
      <w:r>
        <w:rPr>
          <w:rFonts w:ascii="Calibri" w:cs="Calibri" w:eastAsia="Calibri" w:hAnsi="Calibri"/>
          <w:b w:val="false"/>
          <w:bCs w:val="false"/>
          <w:i w:val="false"/>
          <w:iCs w:val="false"/>
          <w:color w:val="1F1F1F"/>
          <w:sz w:val="20"/>
          <w:szCs w:val="20"/>
        </w:rPr>
        <w:t xml:space="preserve">Programme Management; Results-Based Management (RBM); Implementing with Partners (FIP); Programming in Emergencies; Enterprise Risk Management; Cash-Based Interventions.</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IDB: </w:t>
      </w:r>
      <w:r>
        <w:rPr>
          <w:rFonts w:ascii="Calibri" w:cs="Calibri" w:eastAsia="Calibri" w:hAnsi="Calibri"/>
          <w:b w:val="false"/>
          <w:bCs w:val="false"/>
          <w:i w:val="false"/>
          <w:iCs w:val="false"/>
          <w:color w:val="1F1F1F"/>
          <w:sz w:val="20"/>
          <w:szCs w:val="20"/>
        </w:rPr>
        <w:t xml:space="preserve">Public-Private Partnerships in Latin America &amp; the Caribbean; Project Management Development.</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McKinsey &amp; Company: </w:t>
      </w:r>
      <w:r>
        <w:rPr>
          <w:rFonts w:ascii="Calibri" w:cs="Calibri" w:eastAsia="Calibri" w:hAnsi="Calibri"/>
          <w:b w:val="false"/>
          <w:bCs w:val="false"/>
          <w:i w:val="false"/>
          <w:iCs w:val="false"/>
          <w:color w:val="1F1F1F"/>
          <w:sz w:val="20"/>
          <w:szCs w:val="20"/>
        </w:rPr>
        <w:t xml:space="preserve">Business Strategy; Business Leadership.</w:t>
      </w:r>
    </w:p>
    <w:p>
      <w:pPr>
        <w:pStyle w:val="Heading1"/>
        <w:pBdr>
          <w:bottom w:val="single" w:color="2E6969" w:sz="12" w:space="1"/>
        </w:pBdr>
        <w:spacing w:after="100" w:before="200"/>
      </w:pPr>
      <w:r>
        <w:rPr>
          <w:rFonts w:ascii="Calibri" w:cs="Calibri" w:eastAsia="Calibri" w:hAnsi="Calibri"/>
          <w:b/>
          <w:bCs/>
          <w:color w:val="1F3864"/>
          <w:sz w:val="22"/>
          <w:szCs w:val="22"/>
        </w:rPr>
        <w:t xml:space="preserve">AVAILABILITY &amp; RATES</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Availability: </w:t>
      </w:r>
      <w:r>
        <w:rPr>
          <w:rFonts w:ascii="Calibri" w:cs="Calibri" w:eastAsia="Calibri" w:hAnsi="Calibri"/>
          <w:b w:val="false"/>
          <w:bCs w:val="false"/>
          <w:i w:val="false"/>
          <w:iCs w:val="false"/>
          <w:color w:val="1F1F1F"/>
          <w:sz w:val="20"/>
          <w:szCs w:val="20"/>
        </w:rPr>
        <w:t xml:space="preserve">Freelance projects on a per-assignment basis; short and mid-length turnarounds negotiable.</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Rates: </w:t>
      </w:r>
      <w:r>
        <w:rPr>
          <w:rFonts w:ascii="Calibri" w:cs="Calibri" w:eastAsia="Calibri" w:hAnsi="Calibri"/>
          <w:b w:val="false"/>
          <w:bCs w:val="false"/>
          <w:i w:val="false"/>
          <w:iCs w:val="false"/>
          <w:color w:val="1F1F1F"/>
          <w:sz w:val="20"/>
          <w:szCs w:val="20"/>
        </w:rPr>
        <w:t xml:space="preserve">Available on request, based on language pair, subject matter, volume and turnaround. Test translations considered.</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Confidentiality: </w:t>
      </w:r>
      <w:r>
        <w:rPr>
          <w:rFonts w:ascii="Calibri" w:cs="Calibri" w:eastAsia="Calibri" w:hAnsi="Calibri"/>
          <w:b w:val="false"/>
          <w:bCs w:val="false"/>
          <w:i w:val="false"/>
          <w:iCs w:val="false"/>
          <w:color w:val="1F1F1F"/>
          <w:sz w:val="20"/>
          <w:szCs w:val="20"/>
        </w:rPr>
        <w:t xml:space="preserve">Non-disclosure agreements (NDAs) welcomed and standard for legal, HR and sensitive material.</w:t>
      </w:r>
    </w:p>
    <w:p>
      <w:pPr>
        <w:pStyle w:val="Heading1"/>
        <w:pBdr>
          <w:bottom w:val="single" w:color="2E6969" w:sz="12" w:space="1"/>
        </w:pBdr>
        <w:spacing w:after="100" w:before="200"/>
      </w:pPr>
      <w:r>
        <w:rPr>
          <w:rFonts w:ascii="Calibri" w:cs="Calibri" w:eastAsia="Calibri" w:hAnsi="Calibri"/>
          <w:b/>
          <w:bCs/>
          <w:color w:val="1F3864"/>
          <w:sz w:val="22"/>
          <w:szCs w:val="22"/>
        </w:rPr>
        <w:t xml:space="preserve">CONTACT</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Email: </w:t>
      </w:r>
      <w:r>
        <w:rPr>
          <w:rFonts w:ascii="Calibri" w:cs="Calibri" w:eastAsia="Calibri" w:hAnsi="Calibri"/>
          <w:b w:val="false"/>
          <w:bCs w:val="false"/>
          <w:i w:val="false"/>
          <w:iCs w:val="false"/>
          <w:color w:val="1F1F1F"/>
          <w:sz w:val="20"/>
          <w:szCs w:val="20"/>
        </w:rPr>
        <w:t xml:space="preserve">ariesbluemj@gmail.com</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Phone: </w:t>
      </w:r>
      <w:r>
        <w:rPr>
          <w:rFonts w:ascii="Calibri" w:cs="Calibri" w:eastAsia="Calibri" w:hAnsi="Calibri"/>
          <w:b w:val="false"/>
          <w:bCs w:val="false"/>
          <w:i w:val="false"/>
          <w:iCs w:val="false"/>
          <w:color w:val="1F1F1F"/>
          <w:sz w:val="20"/>
          <w:szCs w:val="20"/>
        </w:rPr>
        <w:t xml:space="preserve">+55 11 99024-3658 (São Paulo, Brazil)  •  +502 5915-7510 (Guatemala City, Guatemala)</w:t>
      </w:r>
    </w:p>
    <w:p>
      <w:pPr>
        <w:pStyle w:val="ListParagraph"/>
        <w:numPr>
          <w:ilvl w:val="0"/>
          <w:numId w:val="2"/>
        </w:numPr>
        <w:spacing w:after="60"/>
        <w:jc w:val="both"/>
      </w:pPr>
      <w:r>
        <w:rPr>
          <w:rFonts w:ascii="Calibri" w:cs="Calibri" w:eastAsia="Calibri" w:hAnsi="Calibri"/>
          <w:b/>
          <w:bCs/>
          <w:i w:val="false"/>
          <w:iCs w:val="false"/>
          <w:color w:val="1F1F1F"/>
          <w:sz w:val="20"/>
          <w:szCs w:val="20"/>
        </w:rPr>
        <w:t xml:space="preserve">ProZ.com: </w:t>
      </w:r>
      <w:r>
        <w:rPr>
          <w:rFonts w:ascii="Calibri" w:cs="Calibri" w:eastAsia="Calibri" w:hAnsi="Calibri"/>
          <w:b w:val="false"/>
          <w:bCs w:val="false"/>
          <w:i w:val="false"/>
          <w:iCs w:val="false"/>
          <w:color w:val="1F1F1F"/>
          <w:sz w:val="20"/>
          <w:szCs w:val="20"/>
        </w:rPr>
        <w:t xml:space="preserve">profile 2560097 — https://www.proz.com/next/profile/2560097/overview</w:t>
      </w:r>
    </w:p>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outlineLvl w:val="0"/>
    </w:pPr>
    <w:rPr>
      <w:rFonts w:ascii="Calibri" w:cs="Calibri" w:eastAsia="Calibri" w:hAnsi="Calibri"/>
      <w:b/>
      <w:bCs/>
      <w:color w:val="1F386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Freelance Translator — Maria Jose Cabral</dc:title>
  <dc:creator>Maria José Cabral</dc:creator>
  <cp:lastModifiedBy>Un-named</cp:lastModifiedBy>
  <cp:revision>1</cp:revision>
  <dcterms:created xsi:type="dcterms:W3CDTF">2026-07-16T15:30:30.275Z</dcterms:created>
  <dcterms:modified xsi:type="dcterms:W3CDTF">2026-07-16T15:30:30.276Z</dcterms:modified>
</cp:coreProperties>
</file>

<file path=docProps/custom.xml><?xml version="1.0" encoding="utf-8"?>
<Properties xmlns="http://schemas.openxmlformats.org/officeDocument/2006/custom-properties" xmlns:vt="http://schemas.openxmlformats.org/officeDocument/2006/docPropsVTypes"/>
</file>