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1FED90E4">
      <w:pPr>
        <w:keepNext w:val="1"/>
        <w:keepLines w:val="1"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b w:val="1"/>
          <w:sz w:val="44"/>
        </w:rPr>
        <w:t>Wu Fengming (Sam)</w:t>
      </w:r>
    </w:p>
    <w:p w14:paraId="733EEC1C">
      <w:r>
        <w:rPr>
          <w:b w:val="1"/>
        </w:rPr>
        <w:t>English–Chinese Translator &amp; Reviewer | PhD in Foreign Language and Literature</w:t>
      </w:r>
    </w:p>
    <w:p w14:paraId="4F12EED7"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 w:val="1"/>
          <w:sz w:val="32"/>
        </w:rPr>
        <w:t>Contact Information</w:t>
      </w:r>
    </w:p>
    <w:p w14:paraId="7F6C8724">
      <w:pPr>
        <w:numPr>
          <w:ilvl w:val="0"/>
          <w:numId w:val="1"/>
        </w:numPr>
      </w:pPr>
      <w:r>
        <w:t>Telephone: +86 15773123795</w:t>
      </w:r>
    </w:p>
    <w:p w14:paraId="2F67E19D">
      <w:pPr>
        <w:numPr>
          <w:ilvl w:val="0"/>
          <w:numId w:val="1"/>
        </w:numPr>
      </w:pPr>
      <w:r>
        <w:t>E-mail: samuelwu66@163.com</w:t>
      </w:r>
    </w:p>
    <w:p w14:paraId="1D8030D7">
      <w:pPr>
        <w:numPr>
          <w:ilvl w:val="0"/>
          <w:numId w:val="1"/>
        </w:numPr>
      </w:pPr>
      <w:r>
        <w:t>ProZ.com Profile: www.proz.com/profile/684256</w:t>
      </w:r>
    </w:p>
    <w:p w14:paraId="6349C376">
      <w:pPr>
        <w:numPr>
          <w:ilvl w:val="0"/>
          <w:numId w:val="1"/>
        </w:numPr>
      </w:pPr>
      <w:r>
        <w:t>Address: Room 301, Building B6, Feijiu Wuzi Jiaoyi Dashichang, Wangcheng District, Changsha 410200, PRC</w:t>
      </w:r>
    </w:p>
    <w:p w14:paraId="55803B8A"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 w:val="1"/>
          <w:sz w:val="32"/>
        </w:rPr>
        <w:t>Profile</w:t>
      </w:r>
    </w:p>
    <w:p w14:paraId="4A003F3C">
      <w:pPr>
        <w:numPr>
          <w:ilvl w:val="0"/>
          <w:numId w:val="1"/>
        </w:numPr>
      </w:pPr>
      <w:r>
        <w:t>Freelance English–Chinese translator and reviewer for 18 years, serving translation agencies across the United States and Europe; approximately 9–10 million source words translated and reviewed to date.</w:t>
      </w:r>
    </w:p>
    <w:p w14:paraId="5BA575B0">
      <w:pPr>
        <w:numPr>
          <w:ilvl w:val="0"/>
          <w:numId w:val="1"/>
        </w:numPr>
      </w:pPr>
      <w:r>
        <w:t>Broad coverage of mechanics, automotive, chemicals, electronics, finance, IT and software localization, law, tourism and marketing; project types include publicity materials, product/operation manuals, training materials, web content, software localization, legal documents and immigration files.</w:t>
      </w:r>
    </w:p>
    <w:p w14:paraId="5632A50C">
      <w:pPr>
        <w:numPr>
          <w:ilvl w:val="0"/>
          <w:numId w:val="1"/>
        </w:numPr>
      </w:pPr>
      <w:r>
        <w:t>Quality benchmarked against industry LQA standards (e.g. the Welocalize framework — no more than 4 minor error points per 1,000 source words); translations are suitable for direct delivery, and I fully support LQA of my work by clients or third parties.</w:t>
      </w:r>
    </w:p>
    <w:p w14:paraId="49FD705D">
      <w:pPr>
        <w:numPr>
          <w:ilvl w:val="0"/>
          <w:numId w:val="1"/>
        </w:numPr>
      </w:pPr>
      <w:r>
        <w:t>Steady, dependable capacity: annual business volume has remained consistent year after year, with long-term repeat collaborations.</w:t>
      </w:r>
    </w:p>
    <w:p w14:paraId="2C72F854"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 w:val="1"/>
          <w:sz w:val="32"/>
        </w:rPr>
        <w:t>Work Experience</w:t>
      </w:r>
    </w:p>
    <w:p w14:paraId="4F79C0C3">
      <w:r>
        <w:rPr>
          <w:b w:val="1"/>
        </w:rPr>
        <w:t>July 2019 – Present: Hunan First Normal University — Lecturer of English</w:t>
      </w:r>
    </w:p>
    <w:p w14:paraId="621772A6">
      <w:r>
        <w:rPr>
          <w:b w:val="1"/>
        </w:rPr>
        <w:t>2008 – Present: Freelance E-C / C-E Translator and Reviewer</w:t>
      </w:r>
    </w:p>
    <w:p w14:paraId="4381F954">
      <w:r>
        <w:t>Working for agencies including Logos, Prescient Technologies / Prescient Global Solutions, Welocalize, RWS, Argos Multilingual, CCJK, Mok GmbH, One Planet, RedCatStudio, Argentum Translations, etc.</w:t>
      </w:r>
    </w:p>
    <w:p w14:paraId="7B2D4509">
      <w:pPr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b w:val="1"/>
          <w:sz w:val="32"/>
        </w:rPr>
        <w:t>2022 – Present: Recent and Ongoing Work</w:t>
      </w:r>
    </w:p>
    <w:p w14:paraId="624E735B">
      <w:pPr>
        <w:numPr>
          <w:ilvl w:val="0"/>
          <w:numId w:val="1"/>
        </w:numPr>
      </w:pPr>
      <w:r>
        <w:rPr>
          <w:b w:val="1"/>
        </w:rPr>
        <w:t>Logos (logos.net)</w:t>
      </w:r>
      <w:r>
        <w:t xml:space="preserve"> — ongoing translation for </w:t>
      </w:r>
      <w:r>
        <w:rPr>
          <w:b w:val="1"/>
        </w:rPr>
        <w:t>Maserati</w:t>
      </w:r>
      <w:r>
        <w:t xml:space="preserve">, </w:t>
      </w:r>
      <w:r>
        <w:rPr>
          <w:b w:val="1"/>
        </w:rPr>
        <w:t>Toyota</w:t>
      </w:r>
      <w:r>
        <w:t xml:space="preserve"> and </w:t>
      </w:r>
      <w:r>
        <w:rPr>
          <w:b w:val="1"/>
        </w:rPr>
        <w:t>RS Components (Germany)</w:t>
      </w:r>
      <w:r>
        <w:t>, covering product information, marketing and e-commerce content, and automotive technical materials.</w:t>
      </w:r>
    </w:p>
    <w:p w14:paraId="7AACFD28">
      <w:pPr>
        <w:numPr>
          <w:ilvl w:val="0"/>
          <w:numId w:val="1"/>
        </w:numPr>
      </w:pPr>
      <w:r>
        <w:rPr>
          <w:b w:val="1"/>
        </w:rPr>
        <w:t>Prescient Technologies / Prescient Global Solutions (US)</w:t>
      </w:r>
      <w:r>
        <w:t xml:space="preserve"> — translation and review for various projects whose end client is the </w:t>
      </w:r>
      <w:r>
        <w:rPr>
          <w:b w:val="1"/>
        </w:rPr>
        <w:t>U.S. Department of Agriculture (USDA)</w:t>
      </w:r>
      <w:r>
        <w:t>.</w:t>
      </w:r>
    </w:p>
    <w:p w14:paraId="5F488CB6">
      <w:pPr>
        <w:numPr>
          <w:ilvl w:val="0"/>
          <w:numId w:val="1"/>
        </w:numPr>
      </w:pPr>
      <w:r>
        <w:t>Overall business volume consistent with previous years; all of the above are ongoing, repeat collaborations.</w:t>
      </w:r>
    </w:p>
    <w:p w14:paraId="3E763F60">
      <w:pPr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b w:val="1"/>
          <w:sz w:val="32"/>
        </w:rPr>
        <w:t>2008 – 2021: Selected Clients and Projects (by field)</w:t>
      </w:r>
    </w:p>
    <w:p w14:paraId="16B5032C">
      <w:pPr>
        <w:numPr>
          <w:ilvl w:val="0"/>
          <w:numId w:val="1"/>
        </w:numPr>
      </w:pPr>
      <w:r>
        <w:rPr>
          <w:b w:val="1"/>
        </w:rPr>
        <w:t>Automotive and engineering:</w:t>
      </w:r>
      <w:r>
        <w:t xml:space="preserve"> Daimler AG, Chrysler Group LLC, Continental AG, John Deere, Harley-Davidson, Komatsu, Volkswagen, Putzmeister, Stanley Black &amp; Decker, Videojet, Behringer, Omron, Yale locks</w:t>
      </w:r>
    </w:p>
    <w:p w14:paraId="53928525">
      <w:pPr>
        <w:numPr>
          <w:ilvl w:val="0"/>
          <w:numId w:val="1"/>
        </w:numPr>
      </w:pPr>
      <w:r>
        <w:rPr>
          <w:b w:val="1"/>
        </w:rPr>
        <w:t>IT and software localization:</w:t>
      </w:r>
      <w:r>
        <w:t xml:space="preserve"> NVIDIA, McAfee / Intel Security, Acronis, Autodesk, Atlassian, Dropbox, eBay, PayPal, GoDaddy, Twitter, Trend Micro, HP, Rockwell, EMC, EMSS, Qustodio, Busuu, UIPath, Rethink Robotics</w:t>
      </w:r>
    </w:p>
    <w:p w14:paraId="385A079A">
      <w:pPr>
        <w:numPr>
          <w:ilvl w:val="0"/>
          <w:numId w:val="1"/>
        </w:numPr>
      </w:pPr>
      <w:r>
        <w:rPr>
          <w:b w:val="1"/>
        </w:rPr>
        <w:t>Consumer, marketing and hospitality:</w:t>
      </w:r>
      <w:r>
        <w:t xml:space="preserve"> IKEA, Burberry, Hugo Boss, Coca-Cola, Wyndham Hotel Group, Anantara Hotels, Club Med, Expedia, Cargill, Netflix (legal and literary content), luxury sunglass brands (Miu Miu, Ray-Ban, Prada)</w:t>
      </w:r>
    </w:p>
    <w:p w14:paraId="3CE3AFF3">
      <w:pPr>
        <w:numPr>
          <w:ilvl w:val="0"/>
          <w:numId w:val="1"/>
        </w:numPr>
      </w:pPr>
      <w:r>
        <w:rPr>
          <w:b w:val="1"/>
        </w:rPr>
        <w:t>Legal, finance and government:</w:t>
      </w:r>
      <w:r>
        <w:t xml:space="preserve"> S&amp;P, Korn Ferry, Danaher, contract sets for CSSC and Red Stone General Tech., </w:t>
      </w:r>
      <w:r>
        <w:rPr>
          <w:i w:val="1"/>
        </w:rPr>
        <w:t>Reply of the State Council on the Construction Plan of the Core Functional Area of Tianjin North International Shipping Center</w:t>
      </w:r>
      <w:r>
        <w:t xml:space="preserve"> (No. 51 [2011]), immigration files</w:t>
      </w:r>
    </w:p>
    <w:p w14:paraId="79A5A202">
      <w:pPr>
        <w:numPr>
          <w:ilvl w:val="0"/>
          <w:numId w:val="1"/>
        </w:numPr>
      </w:pPr>
      <w:r>
        <w:rPr>
          <w:b w:val="1"/>
        </w:rPr>
        <w:t>Chemicals:</w:t>
      </w:r>
      <w:r>
        <w:t xml:space="preserve"> safety data sheets for The Dow Chemical Company and Henkel</w:t>
      </w:r>
    </w:p>
    <w:p w14:paraId="3F92D773">
      <w:pPr>
        <w:numPr>
          <w:ilvl w:val="0"/>
          <w:numId w:val="1"/>
        </w:numPr>
      </w:pPr>
      <w:r>
        <w:rPr>
          <w:b w:val="1"/>
        </w:rPr>
        <w:t>Tourism and publishing:</w:t>
      </w:r>
      <w:r>
        <w:t xml:space="preserve"> tourist maps of Hunan Province (translated for publication), website and publicity materials for the 5-star Sunshine Hotel, restaurant menus, news articles for d&amp;b audiotechnik</w:t>
      </w:r>
    </w:p>
    <w:p w14:paraId="405DFEC6"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 w:val="1"/>
          <w:sz w:val="32"/>
        </w:rPr>
        <w:t>Work Kit</w:t>
      </w:r>
    </w:p>
    <w:p w14:paraId="13380BEA">
      <w:r>
        <w:t>Two ThinkPad X1 Carbon laptops (Windows 10) installed with MS Office 365, Transit XV/NXT, SDLX 2007 SP2, SDL Trados 2007 Pro / 2019 Studio, Deja Vu X2, MemoQ, Xbench 3, Passolo 2011/2015/2016/2018, and all necessary PDF, OCR software and dictionaries; printer; scanner; high-speed ADSL / 4G Internet connection.</w:t>
      </w:r>
    </w:p>
    <w:p w14:paraId="43012D45"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 w:val="1"/>
          <w:sz w:val="32"/>
        </w:rPr>
        <w:t>Education / Qualifications</w:t>
      </w:r>
    </w:p>
    <w:p w14:paraId="398763E3">
      <w:pPr>
        <w:numPr>
          <w:ilvl w:val="0"/>
          <w:numId w:val="1"/>
        </w:numPr>
      </w:pPr>
      <w:r>
        <w:rPr>
          <w:b w:val="1"/>
        </w:rPr>
        <w:t>2014 – 2022: Hunan University — PhD in Foreign Language and Literature</w:t>
      </w:r>
      <w:r>
        <w:t xml:space="preserve"> (Doctor of Literature, June 2022)</w:t>
      </w:r>
    </w:p>
    <w:p w14:paraId="0AF6E03C">
      <w:pPr>
        <w:numPr>
          <w:ilvl w:val="0"/>
          <w:numId w:val="1"/>
        </w:numPr>
      </w:pPr>
      <w:r>
        <w:t>2010 – 2012: Changsha University of Science and Technology — MA in Linguistics</w:t>
      </w:r>
    </w:p>
    <w:p w14:paraId="729485D5">
      <w:pPr>
        <w:numPr>
          <w:ilvl w:val="0"/>
          <w:numId w:val="1"/>
        </w:numPr>
      </w:pPr>
      <w:r>
        <w:t>1998 – 2002: Harbin Institute of Technology — BA in English Language and Literature; TEM-8 (indicating the highest linguistic proficiency of a Chinese college graduate in the English language); basic knowledge of French</w:t>
      </w:r>
    </w:p>
    <w:p w14:paraId="105A61D5"/>
    <w:sectPr/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2026-09-20T23:34:22Z</dcterms:created>
  <dcterms:modified xsi:type="dcterms:W3CDTF">2026-09-20T23:34:22Z</dcterms:modified>
</cp:coreProperties>
</file>