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jc w:val="center"/>
      </w:pPr>
      <w:r>
        <w:rPr>
          <w:rFonts w:ascii="Calibri" w:hAnsi="Calibri"/>
          <w:b/>
          <w:color w:val="1E3A8A"/>
          <w:sz w:val="44"/>
        </w:rPr>
        <w:t>ECESU BOZAN</w:t>
      </w:r>
    </w:p>
    <w:p>
      <w:pPr>
        <w:spacing w:before="0" w:after="80"/>
        <w:jc w:val="center"/>
      </w:pPr>
      <w:r>
        <w:rPr>
          <w:rFonts w:ascii="Calibri" w:hAnsi="Calibri"/>
          <w:b/>
          <w:color w:val="475569"/>
          <w:sz w:val="23"/>
        </w:rPr>
        <w:t>Turkish Language Specialist | Audio Captioning &amp; LLM Evaluation</w:t>
      </w:r>
    </w:p>
    <w:p>
      <w:pPr>
        <w:spacing w:before="0" w:after="200"/>
        <w:jc w:val="center"/>
      </w:pPr>
      <w:r>
        <w:rPr>
          <w:rFonts w:ascii="Calibri" w:hAnsi="Calibri"/>
          <w:color w:val="64748B"/>
          <w:sz w:val="19"/>
        </w:rPr>
        <w:t>Antalya, Turkey  |  bozanecesu@gmail.com  |  +90 530 857 6004  |  Available immediately (20+ hrs/wk)</w:t>
      </w:r>
    </w:p>
    <w:tbl>
      <w:tblPr>
        <w:tblW w:type="auto" w:w="0"/>
        <w:jc w:val="center"/>
        <w:tblLayout w:type="fixed"/>
        <w:tblLook w:firstColumn="1" w:firstRow="1" w:lastColumn="0" w:lastRow="0" w:noHBand="0" w:noVBand="1" w:val="04A0"/>
      </w:tblPr>
      <w:tblGrid>
        <w:gridCol w:w="10080"/>
      </w:tblGrid>
      <w:tr>
        <w:tc>
          <w:tcPr>
            <w:tcW w:type="dxa" w:w="10080"/>
            <w:shd w:fill="1E3A8A"/>
            <w:tcMar>
              <w:top w:w="70" w:type="dxa"/>
              <w:bottom w:w="70" w:type="dxa"/>
              <w:left w:w="120" w:type="dxa"/>
              <w:right w:w="120" w:type="dxa"/>
            </w:tcMar>
          </w:tcPr>
          <w:p>
            <w:pPr>
              <w:spacing w:before="40" w:after="40"/>
            </w:pPr>
            <w:r>
              <w:rPr>
                <w:rFonts w:ascii="Calibri" w:hAnsi="Calibri"/>
                <w:b/>
                <w:color w:val="FFFFFF"/>
                <w:sz w:val="21"/>
              </w:rPr>
              <w:t>PROFESSIONAL SUMMARY</w:t>
            </w:r>
          </w:p>
        </w:tc>
      </w:tr>
    </w:tbl>
    <w:p>
      <w:pPr>
        <w:spacing w:before="0" w:after="40"/>
      </w:pPr>
    </w:p>
    <w:p>
      <w:pPr>
        <w:spacing w:line="276" w:lineRule="auto" w:after="120"/>
      </w:pPr>
      <w:r>
        <w:rPr>
          <w:rFonts w:ascii="Calibri" w:hAnsi="Calibri"/>
          <w:color w:val="1E293B"/>
          <w:sz w:val="19"/>
        </w:rPr>
        <w:t>Native Turkish Speaker and C2-certified English Language Specialist with extensive experience in data annotation, audio captioning/transcription evaluation, and Large Language Model (LLM) fine-tuning pipelines. Proven track record in evaluating audio-text alignment, time-stamping accuracy, acoustic-linguistic fidelity, and semantic precision under strict SLA and AHT benchmarks. Highly proficient in adhering to complex annotation guidelines, error taxonomy schemas, and QA standards across global crowdsourcing and localization platforms. Available to start immediately with full dedication of 4+ hours/day.</w:t>
      </w:r>
    </w:p>
    <w:tbl>
      <w:tblPr>
        <w:tblW w:type="auto" w:w="0"/>
        <w:jc w:val="center"/>
        <w:tblLayout w:type="fixed"/>
        <w:tblLook w:firstColumn="1" w:firstRow="1" w:lastColumn="0" w:lastRow="0" w:noHBand="0" w:noVBand="1" w:val="04A0"/>
      </w:tblPr>
      <w:tblGrid>
        <w:gridCol w:w="10080"/>
      </w:tblGrid>
      <w:tr>
        <w:tc>
          <w:tcPr>
            <w:tcW w:type="dxa" w:w="10080"/>
            <w:shd w:fill="1E3A8A"/>
            <w:tcMar>
              <w:top w:w="70" w:type="dxa"/>
              <w:bottom w:w="70" w:type="dxa"/>
              <w:left w:w="120" w:type="dxa"/>
              <w:right w:w="120" w:type="dxa"/>
            </w:tcMar>
          </w:tcPr>
          <w:p>
            <w:pPr>
              <w:spacing w:before="40" w:after="40"/>
            </w:pPr>
            <w:r>
              <w:rPr>
                <w:rFonts w:ascii="Calibri" w:hAnsi="Calibri"/>
                <w:b/>
                <w:color w:val="FFFFFF"/>
                <w:sz w:val="21"/>
              </w:rPr>
              <w:t>CORE QUALIFICATIONS &amp; PROJECT ALIGNMENT</w:t>
            </w:r>
          </w:p>
        </w:tc>
      </w:tr>
    </w:tbl>
    <w:p>
      <w:pPr>
        <w:spacing w:before="0" w:after="40"/>
      </w:pPr>
    </w:p>
    <w:tbl>
      <w:tblPr>
        <w:tblW w:type="auto" w:w="0"/>
        <w:jc w:val="center"/>
        <w:tblLayout w:type="fixed"/>
        <w:tblLook w:firstColumn="1" w:firstRow="1" w:lastColumn="0" w:lastRow="0" w:noHBand="0" w:noVBand="1" w:val="04A0"/>
      </w:tblPr>
      <w:tblGrid>
        <w:gridCol w:w="5040"/>
        <w:gridCol w:w="5040"/>
      </w:tblGrid>
      <w:tr>
        <w:tc>
          <w:tcPr>
            <w:tcW w:type="dxa" w:w="5040"/>
            <w:tcMar>
              <w:top w:w="35" w:type="dxa"/>
              <w:bottom w:w="35" w:type="dxa"/>
              <w:left w:w="50" w:type="dxa"/>
              <w:right w:w="50" w:type="dxa"/>
            </w:tcMar>
          </w:tcPr>
          <w:p>
            <w:pPr>
              <w:spacing w:after="40"/>
            </w:pPr>
            <w:r>
              <w:rPr>
                <w:rFonts w:ascii="Calibri" w:hAnsi="Calibri"/>
                <w:color w:val="1E293B"/>
                <w:sz w:val="19"/>
              </w:rPr>
              <w:t>• Native Turkish Fluency &amp; Native Nuances</w:t>
            </w:r>
          </w:p>
        </w:tc>
        <w:tc>
          <w:tcPr>
            <w:tcW w:type="dxa" w:w="5040"/>
            <w:tcMar>
              <w:top w:w="35" w:type="dxa"/>
              <w:bottom w:w="35" w:type="dxa"/>
              <w:left w:w="50" w:type="dxa"/>
              <w:right w:w="50" w:type="dxa"/>
            </w:tcMar>
          </w:tcPr>
          <w:p>
            <w:pPr>
              <w:spacing w:after="40"/>
            </w:pPr>
            <w:r>
              <w:rPr>
                <w:rFonts w:ascii="Calibri" w:hAnsi="Calibri"/>
                <w:color w:val="1E293B"/>
                <w:sz w:val="19"/>
              </w:rPr>
              <w:t>• Audio Caption &amp; Subtitle QA (Timing, Accuracy, Sync)</w:t>
            </w:r>
          </w:p>
        </w:tc>
      </w:tr>
      <w:tr>
        <w:tc>
          <w:tcPr>
            <w:tcW w:type="dxa" w:w="5040"/>
            <w:tcMar>
              <w:top w:w="35" w:type="dxa"/>
              <w:bottom w:w="35" w:type="dxa"/>
              <w:left w:w="50" w:type="dxa"/>
              <w:right w:w="50" w:type="dxa"/>
            </w:tcMar>
          </w:tcPr>
          <w:p>
            <w:pPr>
              <w:spacing w:after="40"/>
            </w:pPr>
            <w:r>
              <w:rPr>
                <w:rFonts w:ascii="Calibri" w:hAnsi="Calibri"/>
                <w:color w:val="1E293B"/>
                <w:sz w:val="19"/>
              </w:rPr>
              <w:t>• LLM Data Evaluation &amp; Prompt/Response Scoring</w:t>
            </w:r>
          </w:p>
        </w:tc>
        <w:tc>
          <w:tcPr>
            <w:tcW w:type="dxa" w:w="5040"/>
            <w:tcMar>
              <w:top w:w="35" w:type="dxa"/>
              <w:bottom w:w="35" w:type="dxa"/>
              <w:left w:w="50" w:type="dxa"/>
              <w:right w:w="50" w:type="dxa"/>
            </w:tcMar>
          </w:tcPr>
          <w:p>
            <w:pPr>
              <w:spacing w:after="40"/>
            </w:pPr>
            <w:r>
              <w:rPr>
                <w:rFonts w:ascii="Calibri" w:hAnsi="Calibri"/>
                <w:color w:val="1E293B"/>
                <w:sz w:val="19"/>
              </w:rPr>
              <w:t>• Error Taxonomy &amp; Quality Control (WER/AHT Compliance)</w:t>
            </w:r>
          </w:p>
        </w:tc>
      </w:tr>
      <w:tr>
        <w:tc>
          <w:tcPr>
            <w:tcW w:type="dxa" w:w="5040"/>
            <w:tcMar>
              <w:top w:w="35" w:type="dxa"/>
              <w:bottom w:w="35" w:type="dxa"/>
              <w:left w:w="50" w:type="dxa"/>
              <w:right w:w="50" w:type="dxa"/>
            </w:tcMar>
          </w:tcPr>
          <w:p>
            <w:pPr>
              <w:spacing w:after="40"/>
            </w:pPr>
            <w:r>
              <w:rPr>
                <w:rFonts w:ascii="Calibri" w:hAnsi="Calibri"/>
                <w:color w:val="1E293B"/>
                <w:sz w:val="19"/>
              </w:rPr>
              <w:t>• Rigorous Adherence to Project Guidelines</w:t>
            </w:r>
          </w:p>
        </w:tc>
        <w:tc>
          <w:tcPr>
            <w:tcW w:type="dxa" w:w="5040"/>
            <w:tcMar>
              <w:top w:w="35" w:type="dxa"/>
              <w:bottom w:w="35" w:type="dxa"/>
              <w:left w:w="50" w:type="dxa"/>
              <w:right w:w="50" w:type="dxa"/>
            </w:tcMar>
          </w:tcPr>
          <w:p>
            <w:pPr>
              <w:spacing w:after="40"/>
            </w:pPr>
            <w:r>
              <w:rPr>
                <w:rFonts w:ascii="Calibri" w:hAnsi="Calibri"/>
                <w:color w:val="1E293B"/>
                <w:sz w:val="19"/>
              </w:rPr>
              <w:t>• Audio Transcription &amp; Acoustic Ambiguity Resolution</w:t>
            </w:r>
          </w:p>
        </w:tc>
      </w:tr>
    </w:tbl>
    <w:p>
      <w:pPr>
        <w:spacing w:after="80"/>
      </w:pPr>
    </w:p>
    <w:tbl>
      <w:tblPr>
        <w:tblW w:type="auto" w:w="0"/>
        <w:jc w:val="center"/>
        <w:tblLayout w:type="fixed"/>
        <w:tblLook w:firstColumn="1" w:firstRow="1" w:lastColumn="0" w:lastRow="0" w:noHBand="0" w:noVBand="1" w:val="04A0"/>
      </w:tblPr>
      <w:tblGrid>
        <w:gridCol w:w="10080"/>
      </w:tblGrid>
      <w:tr>
        <w:tc>
          <w:tcPr>
            <w:tcW w:type="dxa" w:w="10080"/>
            <w:shd w:fill="1E3A8A"/>
            <w:tcMar>
              <w:top w:w="70" w:type="dxa"/>
              <w:bottom w:w="70" w:type="dxa"/>
              <w:left w:w="120" w:type="dxa"/>
              <w:right w:w="120" w:type="dxa"/>
            </w:tcMar>
          </w:tcPr>
          <w:p>
            <w:pPr>
              <w:spacing w:before="40" w:after="40"/>
            </w:pPr>
            <w:r>
              <w:rPr>
                <w:rFonts w:ascii="Calibri" w:hAnsi="Calibri"/>
                <w:b/>
                <w:color w:val="FFFFFF"/>
                <w:sz w:val="21"/>
              </w:rPr>
              <w:t>RELEVANT EXPERIENCE</w:t>
            </w:r>
          </w:p>
        </w:tc>
      </w:tr>
    </w:tbl>
    <w:p>
      <w:pPr>
        <w:spacing w:before="0" w:after="40"/>
      </w:pPr>
    </w:p>
    <w:p>
      <w:pPr>
        <w:spacing w:before="60" w:after="40"/>
      </w:pPr>
      <w:r>
        <w:rPr>
          <w:rFonts w:ascii="Calibri" w:hAnsi="Calibri"/>
          <w:b/>
          <w:color w:val="1E3A8A"/>
          <w:sz w:val="20"/>
        </w:rPr>
        <w:t>Linguistic Data Specialist &amp; LLM Evaluator</w:t>
      </w:r>
      <w:r>
        <w:rPr>
          <w:rFonts w:ascii="Calibri" w:hAnsi="Calibri"/>
          <w:i/>
          <w:color w:val="475569"/>
          <w:sz w:val="19"/>
        </w:rPr>
        <w:t xml:space="preserve"> | Independent Contractor / Remote Platforms (OneForma, GienTech, ProZ)</w:t>
      </w:r>
      <w:r>
        <w:rPr>
          <w:rFonts w:ascii="Calibri" w:hAnsi="Calibri"/>
          <w:color w:val="64748B"/>
          <w:sz w:val="18"/>
        </w:rPr>
        <w:t xml:space="preserve">  (2024 – Present)</w:t>
      </w:r>
    </w:p>
    <w:p>
      <w:pPr>
        <w:pStyle w:val="ListBullet"/>
        <w:spacing w:before="20" w:after="40" w:line="276" w:lineRule="auto"/>
      </w:pPr>
      <w:r>
        <w:rPr>
          <w:rFonts w:ascii="Calibri" w:hAnsi="Calibri"/>
          <w:color w:val="334155"/>
          <w:sz w:val="19"/>
        </w:rPr>
        <w:t>Evaluate speech recognition (ASR) outputs, audio transcriptions, and captions against Turkish source recordings for phonological, grammatical, and syntactic accuracy.</w:t>
      </w:r>
    </w:p>
    <w:p>
      <w:pPr>
        <w:pStyle w:val="ListBullet"/>
        <w:spacing w:before="20" w:after="40" w:line="276" w:lineRule="auto"/>
      </w:pPr>
      <w:r>
        <w:rPr>
          <w:rFonts w:ascii="Calibri" w:hAnsi="Calibri"/>
          <w:color w:val="334155"/>
          <w:sz w:val="19"/>
        </w:rPr>
        <w:t>Assess Large Language Model (LLM) responses for factual accuracy, natural language understanding (NLU), safety, and adherence to specific prompt directives.</w:t>
      </w:r>
    </w:p>
    <w:p>
      <w:pPr>
        <w:pStyle w:val="ListBullet"/>
        <w:spacing w:before="20" w:after="40" w:line="276" w:lineRule="auto"/>
      </w:pPr>
      <w:r>
        <w:rPr>
          <w:rFonts w:ascii="Calibri" w:hAnsi="Calibri"/>
          <w:color w:val="334155"/>
          <w:sz w:val="19"/>
        </w:rPr>
        <w:t>Perform deep error categorization (hallucination, omission, misinterpretation, sound-alike word confusion, timestamp misalignment) according to rigorous client rubrics.</w:t>
      </w:r>
    </w:p>
    <w:p>
      <w:pPr>
        <w:pStyle w:val="ListBullet"/>
        <w:spacing w:before="20" w:after="40" w:line="276" w:lineRule="auto"/>
      </w:pPr>
      <w:r>
        <w:rPr>
          <w:rFonts w:ascii="Calibri" w:hAnsi="Calibri"/>
          <w:color w:val="334155"/>
          <w:sz w:val="19"/>
        </w:rPr>
        <w:t>Consistently exceed benchmark metrics for Average Handling Time (AHT) while maintaining first-time QA pass rates above 98%.</w:t>
      </w:r>
    </w:p>
    <w:p>
      <w:pPr>
        <w:spacing w:before="60" w:after="40"/>
      </w:pPr>
      <w:r>
        <w:rPr>
          <w:rFonts w:ascii="Calibri" w:hAnsi="Calibri"/>
          <w:b/>
          <w:color w:val="1E3A8A"/>
          <w:sz w:val="20"/>
        </w:rPr>
        <w:t>Freelance Turkish Translator &amp; Quality Analyst</w:t>
      </w:r>
      <w:r>
        <w:rPr>
          <w:rFonts w:ascii="Calibri" w:hAnsi="Calibri"/>
          <w:i/>
          <w:color w:val="475569"/>
          <w:sz w:val="19"/>
        </w:rPr>
        <w:t xml:space="preserve"> | Mea Lingua, Jeenie &amp; Private Clients</w:t>
      </w:r>
      <w:r>
        <w:rPr>
          <w:rFonts w:ascii="Calibri" w:hAnsi="Calibri"/>
          <w:color w:val="64748B"/>
          <w:sz w:val="18"/>
        </w:rPr>
        <w:t xml:space="preserve">  (2024 – Present)</w:t>
      </w:r>
    </w:p>
    <w:p>
      <w:pPr>
        <w:pStyle w:val="ListBullet"/>
        <w:spacing w:before="20" w:after="40" w:line="276" w:lineRule="auto"/>
      </w:pPr>
      <w:r>
        <w:rPr>
          <w:rFonts w:ascii="Calibri" w:hAnsi="Calibri"/>
          <w:color w:val="334155"/>
          <w:sz w:val="19"/>
        </w:rPr>
        <w:t>Delivered end-to-end English &lt;-&gt; Turkish translation, localization, and audio-visual caption verification across digital and technical content.</w:t>
      </w:r>
    </w:p>
    <w:p>
      <w:pPr>
        <w:pStyle w:val="ListBullet"/>
        <w:spacing w:before="20" w:after="40" w:line="276" w:lineRule="auto"/>
      </w:pPr>
      <w:r>
        <w:rPr>
          <w:rFonts w:ascii="Calibri" w:hAnsi="Calibri"/>
          <w:color w:val="334155"/>
          <w:sz w:val="19"/>
        </w:rPr>
        <w:t>Applied strict quality assurance workflows to ensure captions perfectly reflected speaker tone, cadence, specialized jargon, and background audio descriptions.</w:t>
      </w:r>
    </w:p>
    <w:p>
      <w:pPr>
        <w:pStyle w:val="ListBullet"/>
        <w:spacing w:before="20" w:after="40" w:line="276" w:lineRule="auto"/>
      </w:pPr>
      <w:r>
        <w:rPr>
          <w:rFonts w:ascii="Calibri" w:hAnsi="Calibri"/>
          <w:color w:val="334155"/>
          <w:sz w:val="19"/>
        </w:rPr>
        <w:t>Maintained prompt communication and rapid turnaround times across multiple concurrent project pipelines.</w:t>
      </w:r>
    </w:p>
    <w:p>
      <w:pPr>
        <w:spacing w:after="80"/>
      </w:pPr>
    </w:p>
    <w:tbl>
      <w:tblPr>
        <w:tblW w:type="auto" w:w="0"/>
        <w:jc w:val="center"/>
        <w:tblLayout w:type="fixed"/>
        <w:tblLook w:firstColumn="1" w:firstRow="1" w:lastColumn="0" w:lastRow="0" w:noHBand="0" w:noVBand="1" w:val="04A0"/>
      </w:tblPr>
      <w:tblGrid>
        <w:gridCol w:w="10080"/>
      </w:tblGrid>
      <w:tr>
        <w:tc>
          <w:tcPr>
            <w:tcW w:type="dxa" w:w="10080"/>
            <w:shd w:fill="1E3A8A"/>
            <w:tcMar>
              <w:top w:w="70" w:type="dxa"/>
              <w:bottom w:w="70" w:type="dxa"/>
              <w:left w:w="120" w:type="dxa"/>
              <w:right w:w="120" w:type="dxa"/>
            </w:tcMar>
          </w:tcPr>
          <w:p>
            <w:pPr>
              <w:spacing w:before="40" w:after="40"/>
            </w:pPr>
            <w:r>
              <w:rPr>
                <w:rFonts w:ascii="Calibri" w:hAnsi="Calibri"/>
                <w:b/>
                <w:color w:val="FFFFFF"/>
                <w:sz w:val="21"/>
              </w:rPr>
              <w:t>EDUCATION</w:t>
            </w:r>
          </w:p>
        </w:tc>
      </w:tr>
    </w:tbl>
    <w:p>
      <w:pPr>
        <w:spacing w:before="0" w:after="40"/>
      </w:pPr>
    </w:p>
    <w:p>
      <w:pPr>
        <w:spacing w:before="60" w:after="40"/>
      </w:pPr>
      <w:r>
        <w:rPr>
          <w:rFonts w:ascii="Calibri" w:hAnsi="Calibri"/>
          <w:b/>
          <w:color w:val="1E3A8A"/>
          <w:sz w:val="20"/>
        </w:rPr>
        <w:t>Akdeniz University</w:t>
      </w:r>
      <w:r>
        <w:rPr>
          <w:rFonts w:ascii="Calibri" w:hAnsi="Calibri"/>
          <w:color w:val="475569"/>
          <w:sz w:val="19"/>
        </w:rPr>
        <w:t xml:space="preserve"> | Bachelor of Science  (Expected Graduation: 2028)</w:t>
      </w:r>
    </w:p>
    <w:p>
      <w:pPr>
        <w:pStyle w:val="ListBullet"/>
        <w:spacing w:before="20" w:after="80"/>
      </w:pPr>
      <w:r>
        <w:rPr>
          <w:rFonts w:ascii="Calibri" w:hAnsi="Calibri"/>
          <w:color w:val="334155"/>
          <w:sz w:val="19"/>
        </w:rPr>
        <w:t>Developed strong analytical problem-solving skills, structured data handling, and high-discipline attention to technical guidelines.</w:t>
      </w:r>
    </w:p>
    <w:tbl>
      <w:tblPr>
        <w:tblW w:type="auto" w:w="0"/>
        <w:jc w:val="center"/>
        <w:tblLayout w:type="fixed"/>
        <w:tblLook w:firstColumn="1" w:firstRow="1" w:lastColumn="0" w:lastRow="0" w:noHBand="0" w:noVBand="1" w:val="04A0"/>
      </w:tblPr>
      <w:tblGrid>
        <w:gridCol w:w="10080"/>
      </w:tblGrid>
      <w:tr>
        <w:tc>
          <w:tcPr>
            <w:tcW w:type="dxa" w:w="10080"/>
            <w:shd w:fill="1E3A8A"/>
            <w:tcMar>
              <w:top w:w="70" w:type="dxa"/>
              <w:bottom w:w="70" w:type="dxa"/>
              <w:left w:w="120" w:type="dxa"/>
              <w:right w:w="120" w:type="dxa"/>
            </w:tcMar>
          </w:tcPr>
          <w:p>
            <w:pPr>
              <w:spacing w:before="40" w:after="40"/>
            </w:pPr>
            <w:r>
              <w:rPr>
                <w:rFonts w:ascii="Calibri" w:hAnsi="Calibri"/>
                <w:b/>
                <w:color w:val="FFFFFF"/>
                <w:sz w:val="21"/>
              </w:rPr>
              <w:t>LANGUAGES, TOOLS &amp; AVAILABILITY</w:t>
            </w:r>
          </w:p>
        </w:tc>
      </w:tr>
    </w:tbl>
    <w:p>
      <w:pPr>
        <w:spacing w:before="0" w:after="40"/>
      </w:pPr>
    </w:p>
    <w:tbl>
      <w:tblPr>
        <w:tblW w:type="auto" w:w="0"/>
        <w:jc w:val="center"/>
        <w:tblLayout w:type="fixed"/>
        <w:tblLook w:firstColumn="1" w:firstRow="1" w:lastColumn="0" w:lastRow="0" w:noHBand="0" w:noVBand="1" w:val="04A0"/>
      </w:tblPr>
      <w:tblGrid>
        <w:gridCol w:w="3312"/>
        <w:gridCol w:w="6768"/>
      </w:tblGrid>
      <w:tr>
        <w:tc>
          <w:tcPr>
            <w:tcW w:type="dxa" w:w="5040"/>
            <w:tcMar>
              <w:top w:w="30" w:type="dxa"/>
              <w:bottom w:w="30" w:type="dxa"/>
              <w:left w:w="50" w:type="dxa"/>
              <w:right w:w="50" w:type="dxa"/>
            </w:tcMar>
          </w:tcPr>
          <w:p>
            <w:pPr>
              <w:spacing w:after="20"/>
            </w:pPr>
            <w:r>
              <w:rPr>
                <w:rFonts w:ascii="Calibri" w:hAnsi="Calibri"/>
                <w:b/>
                <w:color w:val="1E3A8A"/>
                <w:sz w:val="19"/>
              </w:rPr>
              <w:t>Languages:</w:t>
            </w:r>
          </w:p>
        </w:tc>
        <w:tc>
          <w:tcPr>
            <w:tcW w:type="dxa" w:w="5040"/>
            <w:tcMar>
              <w:top w:w="30" w:type="dxa"/>
              <w:bottom w:w="30" w:type="dxa"/>
              <w:left w:w="50" w:type="dxa"/>
              <w:right w:w="50" w:type="dxa"/>
            </w:tcMar>
          </w:tcPr>
          <w:p>
            <w:pPr>
              <w:spacing w:after="20"/>
            </w:pPr>
            <w:r>
              <w:rPr>
                <w:rFonts w:ascii="Calibri" w:hAnsi="Calibri"/>
                <w:color w:val="334155"/>
                <w:sz w:val="19"/>
              </w:rPr>
              <w:t>Turkish (Native), English (C2 Proficient / Fluent)</w:t>
            </w:r>
          </w:p>
        </w:tc>
      </w:tr>
      <w:tr>
        <w:tc>
          <w:tcPr>
            <w:tcW w:type="dxa" w:w="5040"/>
            <w:tcMar>
              <w:top w:w="30" w:type="dxa"/>
              <w:bottom w:w="30" w:type="dxa"/>
              <w:left w:w="50" w:type="dxa"/>
              <w:right w:w="50" w:type="dxa"/>
            </w:tcMar>
          </w:tcPr>
          <w:p>
            <w:pPr>
              <w:spacing w:after="20"/>
            </w:pPr>
            <w:r>
              <w:rPr>
                <w:rFonts w:ascii="Calibri" w:hAnsi="Calibri"/>
                <w:b/>
                <w:color w:val="1E3A8A"/>
                <w:sz w:val="19"/>
              </w:rPr>
              <w:t>Annotation &amp; QA Tools:</w:t>
            </w:r>
          </w:p>
        </w:tc>
        <w:tc>
          <w:tcPr>
            <w:tcW w:type="dxa" w:w="5040"/>
            <w:tcMar>
              <w:top w:w="30" w:type="dxa"/>
              <w:bottom w:w="30" w:type="dxa"/>
              <w:left w:w="50" w:type="dxa"/>
              <w:right w:w="50" w:type="dxa"/>
            </w:tcMar>
          </w:tcPr>
          <w:p>
            <w:pPr>
              <w:spacing w:after="20"/>
            </w:pPr>
            <w:r>
              <w:rPr>
                <w:rFonts w:ascii="Calibri" w:hAnsi="Calibri"/>
                <w:color w:val="334155"/>
                <w:sz w:val="19"/>
              </w:rPr>
              <w:t>Labelbox, Scale AI platforms, Audio Transcription Software, Subtitle Edit, Microsoft Excel/Word</w:t>
            </w:r>
          </w:p>
        </w:tc>
      </w:tr>
      <w:tr>
        <w:tc>
          <w:tcPr>
            <w:tcW w:type="dxa" w:w="5040"/>
            <w:tcMar>
              <w:top w:w="30" w:type="dxa"/>
              <w:bottom w:w="30" w:type="dxa"/>
              <w:left w:w="50" w:type="dxa"/>
              <w:right w:w="50" w:type="dxa"/>
            </w:tcMar>
          </w:tcPr>
          <w:p>
            <w:pPr>
              <w:spacing w:after="20"/>
            </w:pPr>
            <w:r>
              <w:rPr>
                <w:rFonts w:ascii="Calibri" w:hAnsi="Calibri"/>
                <w:b/>
                <w:color w:val="1E3A8A"/>
                <w:sz w:val="19"/>
              </w:rPr>
              <w:t>Availability &amp; Commitment:</w:t>
            </w:r>
          </w:p>
        </w:tc>
        <w:tc>
          <w:tcPr>
            <w:tcW w:type="dxa" w:w="5040"/>
            <w:tcMar>
              <w:top w:w="30" w:type="dxa"/>
              <w:bottom w:w="30" w:type="dxa"/>
              <w:left w:w="50" w:type="dxa"/>
              <w:right w:w="50" w:type="dxa"/>
            </w:tcMar>
          </w:tcPr>
          <w:p>
            <w:pPr>
              <w:spacing w:after="20"/>
            </w:pPr>
            <w:r>
              <w:rPr>
                <w:rFonts w:ascii="Calibri" w:hAnsi="Calibri"/>
                <w:color w:val="334155"/>
                <w:sz w:val="19"/>
              </w:rPr>
              <w:t>Available immediately; able to commit 20–30 hours/week (minimum 4 hours/day, Mon–Fri)</w:t>
            </w:r>
          </w:p>
        </w:tc>
      </w:tr>
    </w:tbl>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