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57AE28" w14:textId="3FD746D9" w:rsidR="00E75180" w:rsidRPr="007C72B3" w:rsidRDefault="00E75180" w:rsidP="00F0609B">
      <w:pPr>
        <w:rPr>
          <w:rFonts w:asciiTheme="majorHAnsi" w:hAnsiTheme="majorHAnsi" w:cstheme="majorHAnsi"/>
        </w:rPr>
      </w:pPr>
      <w:r w:rsidRPr="007C72B3">
        <w:rPr>
          <w:rFonts w:asciiTheme="majorHAnsi" w:hAnsiTheme="majorHAnsi" w:cstheme="majorHAnsi"/>
        </w:rPr>
        <w:t>//</w:t>
      </w:r>
      <w:r w:rsidRPr="007C72B3">
        <w:rPr>
          <w:rFonts w:asciiTheme="majorHAnsi" w:hAnsiTheme="majorHAnsi" w:cstheme="majorHAnsi"/>
          <w:b/>
          <w:bCs/>
        </w:rPr>
        <w:t>Social</w:t>
      </w:r>
    </w:p>
    <w:p w14:paraId="451AD5A5" w14:textId="3182F1A2" w:rsidR="007C72B3" w:rsidRDefault="007C72B3" w:rsidP="004923C5">
      <w:pPr>
        <w:rPr>
          <w:rFonts w:asciiTheme="majorHAnsi" w:hAnsiTheme="majorHAnsi" w:cstheme="majorHAnsi"/>
        </w:rPr>
      </w:pPr>
    </w:p>
    <w:tbl>
      <w:tblPr>
        <w:tblStyle w:val="TableGrid"/>
        <w:tblW w:w="10551" w:type="dxa"/>
        <w:tblLook w:val="04A0" w:firstRow="1" w:lastRow="0" w:firstColumn="1" w:lastColumn="0" w:noHBand="0" w:noVBand="1"/>
      </w:tblPr>
      <w:tblGrid>
        <w:gridCol w:w="1961"/>
        <w:gridCol w:w="4974"/>
        <w:gridCol w:w="3616"/>
      </w:tblGrid>
      <w:tr w:rsidR="006F6743" w14:paraId="5A09CE7B" w14:textId="77777777" w:rsidTr="009717B4">
        <w:tc>
          <w:tcPr>
            <w:tcW w:w="1961" w:type="dxa"/>
            <w:vAlign w:val="center"/>
          </w:tcPr>
          <w:p w14:paraId="24CC1866" w14:textId="5EB3DE46" w:rsidR="00567151" w:rsidRPr="007C72B3" w:rsidRDefault="002218D2" w:rsidP="006F6743">
            <w:pPr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Target</w:t>
            </w:r>
            <w:r w:rsidR="00567151">
              <w:rPr>
                <w:rFonts w:asciiTheme="majorHAnsi" w:hAnsiTheme="majorHAnsi" w:cstheme="majorHAnsi"/>
                <w:b/>
                <w:bCs/>
              </w:rPr>
              <w:t xml:space="preserve"> Audience</w:t>
            </w:r>
          </w:p>
        </w:tc>
        <w:tc>
          <w:tcPr>
            <w:tcW w:w="4974" w:type="dxa"/>
            <w:vAlign w:val="center"/>
          </w:tcPr>
          <w:p w14:paraId="6239C2B2" w14:textId="191063A9" w:rsidR="00567151" w:rsidRPr="007C72B3" w:rsidRDefault="00567151" w:rsidP="006F6743">
            <w:pPr>
              <w:rPr>
                <w:rFonts w:asciiTheme="majorHAnsi" w:hAnsiTheme="majorHAnsi" w:cstheme="majorHAnsi"/>
                <w:b/>
                <w:bCs/>
              </w:rPr>
            </w:pPr>
            <w:r w:rsidRPr="007C72B3">
              <w:rPr>
                <w:rFonts w:asciiTheme="majorHAnsi" w:hAnsiTheme="majorHAnsi" w:cstheme="majorHAnsi"/>
                <w:b/>
                <w:bCs/>
              </w:rPr>
              <w:t>Post Caption</w:t>
            </w:r>
          </w:p>
        </w:tc>
        <w:tc>
          <w:tcPr>
            <w:tcW w:w="3616" w:type="dxa"/>
            <w:vAlign w:val="center"/>
          </w:tcPr>
          <w:p w14:paraId="5CEF0E70" w14:textId="5BA7674F" w:rsidR="00567151" w:rsidRPr="007C72B3" w:rsidRDefault="00567151" w:rsidP="006F6743">
            <w:pPr>
              <w:rPr>
                <w:rFonts w:asciiTheme="majorHAnsi" w:hAnsiTheme="majorHAnsi" w:cstheme="majorHAnsi"/>
                <w:b/>
                <w:bCs/>
              </w:rPr>
            </w:pPr>
            <w:r w:rsidRPr="007C72B3">
              <w:rPr>
                <w:rFonts w:asciiTheme="majorHAnsi" w:hAnsiTheme="majorHAnsi" w:cstheme="majorHAnsi"/>
                <w:b/>
                <w:bCs/>
              </w:rPr>
              <w:t>Photo</w:t>
            </w:r>
          </w:p>
        </w:tc>
      </w:tr>
      <w:tr w:rsidR="009717B4" w14:paraId="622419A5" w14:textId="77777777" w:rsidTr="009717B4">
        <w:tc>
          <w:tcPr>
            <w:tcW w:w="1961" w:type="dxa"/>
            <w:vAlign w:val="center"/>
          </w:tcPr>
          <w:p w14:paraId="3E2BBD8C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Brand Message</w:t>
            </w:r>
          </w:p>
          <w:p w14:paraId="63DBEB3E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162BF143" w14:textId="1965723A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Office Focus</w:t>
            </w:r>
          </w:p>
        </w:tc>
        <w:tc>
          <w:tcPr>
            <w:tcW w:w="4974" w:type="dxa"/>
            <w:vAlign w:val="center"/>
          </w:tcPr>
          <w:p w14:paraId="45431ED3" w14:textId="5B6C13F4" w:rsidR="009717B4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 xml:space="preserve">Choose the corner office or lease one out. The expertise of </w:t>
            </w:r>
            <w:r>
              <w:rPr>
                <w:rFonts w:asciiTheme="majorHAnsi" w:hAnsiTheme="majorHAnsi" w:cstheme="majorHAnsi"/>
              </w:rPr>
              <w:t>REMAX</w:t>
            </w:r>
            <w:r w:rsidRPr="007C72B3">
              <w:rPr>
                <w:rFonts w:asciiTheme="majorHAnsi" w:hAnsiTheme="majorHAnsi" w:cstheme="majorHAnsi"/>
              </w:rPr>
              <w:t xml:space="preserve"> Commercial® brokers helps </w:t>
            </w:r>
            <w:r>
              <w:rPr>
                <w:rFonts w:asciiTheme="majorHAnsi" w:hAnsiTheme="majorHAnsi" w:cstheme="majorHAnsi"/>
              </w:rPr>
              <w:t>open</w:t>
            </w:r>
            <w:r w:rsidRPr="007C72B3">
              <w:rPr>
                <w:rFonts w:asciiTheme="majorHAnsi" w:hAnsiTheme="majorHAnsi" w:cstheme="majorHAnsi"/>
              </w:rPr>
              <w:t xml:space="preserve"> doors to investments locally and globally.</w:t>
            </w:r>
          </w:p>
        </w:tc>
        <w:tc>
          <w:tcPr>
            <w:tcW w:w="3616" w:type="dxa"/>
            <w:vAlign w:val="center"/>
          </w:tcPr>
          <w:p w14:paraId="3B024BD6" w14:textId="28D5E3A2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308A77D9" wp14:editId="6208FAA4">
                  <wp:extent cx="2130425" cy="2130425"/>
                  <wp:effectExtent l="0" t="0" r="3175" b="317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1711" cy="2131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17B4" w14:paraId="2D96AAB0" w14:textId="77777777" w:rsidTr="009717B4">
        <w:tc>
          <w:tcPr>
            <w:tcW w:w="1961" w:type="dxa"/>
            <w:vAlign w:val="center"/>
          </w:tcPr>
          <w:p w14:paraId="7BAF15C7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Brand Message</w:t>
            </w:r>
          </w:p>
          <w:p w14:paraId="5E290870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7BCD1B61" w14:textId="06E36F14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Industrial Focus</w:t>
            </w:r>
          </w:p>
        </w:tc>
        <w:tc>
          <w:tcPr>
            <w:tcW w:w="4974" w:type="dxa"/>
            <w:vAlign w:val="center"/>
          </w:tcPr>
          <w:p w14:paraId="1DF8C508" w14:textId="135FAE73" w:rsidR="009717B4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 xml:space="preserve">For your industrial real estate investment, rely on the expertise of </w:t>
            </w:r>
            <w:r>
              <w:rPr>
                <w:rFonts w:asciiTheme="majorHAnsi" w:hAnsiTheme="majorHAnsi" w:cstheme="majorHAnsi"/>
              </w:rPr>
              <w:t>REMAX</w:t>
            </w:r>
            <w:r w:rsidRPr="007C72B3">
              <w:rPr>
                <w:rFonts w:asciiTheme="majorHAnsi" w:hAnsiTheme="majorHAnsi" w:cstheme="majorHAnsi"/>
              </w:rPr>
              <w:t xml:space="preserve"> Commercial® brokers and the strength of their global network.</w:t>
            </w:r>
          </w:p>
        </w:tc>
        <w:tc>
          <w:tcPr>
            <w:tcW w:w="3616" w:type="dxa"/>
            <w:vAlign w:val="center"/>
          </w:tcPr>
          <w:p w14:paraId="6BAB8192" w14:textId="4FF1152F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6EC681B7" wp14:editId="2F951E55">
                  <wp:extent cx="2130648" cy="2130648"/>
                  <wp:effectExtent l="0" t="0" r="3175" b="317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0648" cy="2130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17B4" w14:paraId="339871AC" w14:textId="77777777" w:rsidTr="009717B4">
        <w:tc>
          <w:tcPr>
            <w:tcW w:w="1961" w:type="dxa"/>
            <w:vAlign w:val="center"/>
          </w:tcPr>
          <w:p w14:paraId="2D3ED431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Brand Message</w:t>
            </w:r>
          </w:p>
          <w:p w14:paraId="03A57CC2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24865A1B" w14:textId="5E5F289A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Retail Focus</w:t>
            </w:r>
          </w:p>
        </w:tc>
        <w:tc>
          <w:tcPr>
            <w:tcW w:w="4974" w:type="dxa"/>
            <w:vAlign w:val="center"/>
          </w:tcPr>
          <w:p w14:paraId="081EE41A" w14:textId="13D4CB77" w:rsidR="009717B4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 xml:space="preserve">Turn your dreams of a retail empire into reality with the expertise of </w:t>
            </w:r>
            <w:r>
              <w:rPr>
                <w:rFonts w:asciiTheme="majorHAnsi" w:hAnsiTheme="majorHAnsi" w:cstheme="majorHAnsi"/>
              </w:rPr>
              <w:t>REMAX</w:t>
            </w:r>
            <w:r w:rsidRPr="007C72B3">
              <w:rPr>
                <w:rFonts w:asciiTheme="majorHAnsi" w:hAnsiTheme="majorHAnsi" w:cstheme="majorHAnsi"/>
              </w:rPr>
              <w:t xml:space="preserve"> Commercial</w:t>
            </w:r>
            <w:r w:rsidRPr="007C72B3">
              <w:rPr>
                <w:rFonts w:asciiTheme="majorHAnsi" w:hAnsiTheme="majorHAnsi" w:cstheme="majorHAnsi"/>
                <w:vertAlign w:val="superscript"/>
              </w:rPr>
              <w:t>®</w:t>
            </w:r>
            <w:r w:rsidRPr="007C72B3">
              <w:rPr>
                <w:rFonts w:asciiTheme="majorHAnsi" w:hAnsiTheme="majorHAnsi" w:cstheme="majorHAnsi"/>
              </w:rPr>
              <w:t xml:space="preserve">. </w:t>
            </w:r>
          </w:p>
        </w:tc>
        <w:tc>
          <w:tcPr>
            <w:tcW w:w="3616" w:type="dxa"/>
            <w:vAlign w:val="center"/>
          </w:tcPr>
          <w:p w14:paraId="111CA180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2013A85F" wp14:editId="6A621E6D">
                  <wp:extent cx="2144233" cy="2144233"/>
                  <wp:effectExtent l="0" t="0" r="254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4233" cy="21442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217BD5" w14:textId="796FC7BC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504E6750" wp14:editId="4F669716">
                  <wp:extent cx="2108133" cy="2108133"/>
                  <wp:effectExtent l="0" t="0" r="635" b="63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133" cy="21081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17B4" w14:paraId="6036164D" w14:textId="77777777" w:rsidTr="009717B4">
        <w:tc>
          <w:tcPr>
            <w:tcW w:w="1961" w:type="dxa"/>
            <w:vAlign w:val="center"/>
          </w:tcPr>
          <w:p w14:paraId="015ABE2C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lastRenderedPageBreak/>
              <w:t>Brand Message</w:t>
            </w:r>
          </w:p>
          <w:p w14:paraId="1D4F5E7C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0B4AECC4" w14:textId="113E47A6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Multifamily Focus</w:t>
            </w:r>
          </w:p>
        </w:tc>
        <w:tc>
          <w:tcPr>
            <w:tcW w:w="4974" w:type="dxa"/>
            <w:vAlign w:val="center"/>
          </w:tcPr>
          <w:p w14:paraId="5469CB62" w14:textId="225E2E84" w:rsidR="009717B4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 xml:space="preserve">Making a move to multifamily investing? Then, </w:t>
            </w:r>
            <w:proofErr w:type="gramStart"/>
            <w:r w:rsidRPr="007C72B3">
              <w:rPr>
                <w:rFonts w:asciiTheme="majorHAnsi" w:hAnsiTheme="majorHAnsi" w:cstheme="majorHAnsi"/>
              </w:rPr>
              <w:t>make a plan</w:t>
            </w:r>
            <w:proofErr w:type="gramEnd"/>
            <w:r w:rsidRPr="007C72B3">
              <w:rPr>
                <w:rFonts w:asciiTheme="majorHAnsi" w:hAnsiTheme="majorHAnsi" w:cstheme="majorHAnsi"/>
              </w:rPr>
              <w:t xml:space="preserve"> to speak to a </w:t>
            </w:r>
            <w:r>
              <w:rPr>
                <w:rFonts w:asciiTheme="majorHAnsi" w:hAnsiTheme="majorHAnsi" w:cstheme="majorHAnsi"/>
              </w:rPr>
              <w:t>REMAX</w:t>
            </w:r>
            <w:r w:rsidRPr="007C72B3">
              <w:rPr>
                <w:rFonts w:asciiTheme="majorHAnsi" w:hAnsiTheme="majorHAnsi" w:cstheme="majorHAnsi"/>
              </w:rPr>
              <w:t xml:space="preserve"> Commercial</w:t>
            </w:r>
            <w:r w:rsidRPr="007C72B3">
              <w:rPr>
                <w:rFonts w:asciiTheme="majorHAnsi" w:hAnsiTheme="majorHAnsi" w:cstheme="majorHAnsi"/>
                <w:vertAlign w:val="superscript"/>
              </w:rPr>
              <w:t>®</w:t>
            </w:r>
            <w:r w:rsidRPr="007C72B3">
              <w:rPr>
                <w:rFonts w:asciiTheme="majorHAnsi" w:hAnsiTheme="majorHAnsi" w:cstheme="majorHAnsi"/>
              </w:rPr>
              <w:t xml:space="preserve"> broker first. </w:t>
            </w:r>
          </w:p>
        </w:tc>
        <w:tc>
          <w:tcPr>
            <w:tcW w:w="3616" w:type="dxa"/>
            <w:vAlign w:val="center"/>
          </w:tcPr>
          <w:p w14:paraId="79AC4092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16026C28" wp14:editId="78AFB338">
                  <wp:extent cx="2135505" cy="2135505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5710" cy="2135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17B4" w14:paraId="597B2C01" w14:textId="77777777" w:rsidTr="009717B4">
        <w:tc>
          <w:tcPr>
            <w:tcW w:w="1961" w:type="dxa"/>
            <w:vAlign w:val="center"/>
          </w:tcPr>
          <w:p w14:paraId="55383BE4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Brand Message</w:t>
            </w:r>
          </w:p>
          <w:p w14:paraId="674BDB82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70B22C79" w14:textId="695E721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Land Focus</w:t>
            </w:r>
          </w:p>
        </w:tc>
        <w:tc>
          <w:tcPr>
            <w:tcW w:w="4974" w:type="dxa"/>
            <w:vAlign w:val="center"/>
          </w:tcPr>
          <w:p w14:paraId="0023010F" w14:textId="22FC421F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 xml:space="preserve">Explore prime real estate opportunities with </w:t>
            </w:r>
            <w:r>
              <w:rPr>
                <w:rFonts w:asciiTheme="majorHAnsi" w:hAnsiTheme="majorHAnsi" w:cstheme="majorHAnsi"/>
              </w:rPr>
              <w:t>REMAX</w:t>
            </w:r>
            <w:r w:rsidRPr="007C72B3">
              <w:rPr>
                <w:rFonts w:asciiTheme="majorHAnsi" w:hAnsiTheme="majorHAnsi" w:cstheme="majorHAnsi"/>
              </w:rPr>
              <w:t xml:space="preserve"> Commercial</w:t>
            </w:r>
            <w:r w:rsidRPr="007C72B3">
              <w:rPr>
                <w:rFonts w:asciiTheme="majorHAnsi" w:hAnsiTheme="majorHAnsi" w:cstheme="majorHAnsi"/>
                <w:vertAlign w:val="superscript"/>
              </w:rPr>
              <w:t>®</w:t>
            </w:r>
            <w:r w:rsidRPr="007C72B3">
              <w:rPr>
                <w:rFonts w:asciiTheme="majorHAnsi" w:hAnsiTheme="majorHAnsi" w:cstheme="majorHAnsi"/>
              </w:rPr>
              <w:t>. Contact a broker today to start your journey.</w:t>
            </w:r>
          </w:p>
        </w:tc>
        <w:tc>
          <w:tcPr>
            <w:tcW w:w="3616" w:type="dxa"/>
            <w:vAlign w:val="center"/>
          </w:tcPr>
          <w:p w14:paraId="59EC4E0D" w14:textId="367B4EDF" w:rsidR="009717B4" w:rsidRDefault="009717B4" w:rsidP="009717B4">
            <w:pPr>
              <w:rPr>
                <w:rFonts w:asciiTheme="majorHAnsi" w:hAnsiTheme="majorHAnsi" w:cstheme="majorHAnsi"/>
                <w:noProof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338D960E" wp14:editId="30C4AA82">
                  <wp:extent cx="2118995" cy="2118995"/>
                  <wp:effectExtent l="0" t="0" r="1905" b="190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9340" cy="2119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17B4" w14:paraId="4A932960" w14:textId="77777777" w:rsidTr="009717B4">
        <w:tc>
          <w:tcPr>
            <w:tcW w:w="1961" w:type="dxa"/>
            <w:vAlign w:val="center"/>
          </w:tcPr>
          <w:p w14:paraId="772A80C6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Brand Message</w:t>
            </w:r>
          </w:p>
          <w:p w14:paraId="3E245B1B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6D450E6E" w14:textId="349B1FEB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Hospitality Focus</w:t>
            </w:r>
          </w:p>
        </w:tc>
        <w:tc>
          <w:tcPr>
            <w:tcW w:w="4974" w:type="dxa"/>
            <w:vAlign w:val="center"/>
          </w:tcPr>
          <w:p w14:paraId="59A44CF8" w14:textId="76920B5B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 xml:space="preserve">Searching for hotel and resort real estate opportunities? Trust the expertise of </w:t>
            </w:r>
            <w:r>
              <w:rPr>
                <w:rFonts w:asciiTheme="majorHAnsi" w:hAnsiTheme="majorHAnsi" w:cstheme="majorHAnsi"/>
              </w:rPr>
              <w:t>REMAX</w:t>
            </w:r>
            <w:r w:rsidRPr="007C72B3">
              <w:rPr>
                <w:rFonts w:asciiTheme="majorHAnsi" w:hAnsiTheme="majorHAnsi" w:cstheme="majorHAnsi"/>
              </w:rPr>
              <w:t xml:space="preserve"> Commercial</w:t>
            </w:r>
            <w:r w:rsidRPr="007C72B3">
              <w:rPr>
                <w:rFonts w:asciiTheme="majorHAnsi" w:hAnsiTheme="majorHAnsi" w:cstheme="majorHAnsi"/>
                <w:vertAlign w:val="superscript"/>
              </w:rPr>
              <w:t>®</w:t>
            </w:r>
            <w:r w:rsidRPr="007C72B3">
              <w:rPr>
                <w:rFonts w:asciiTheme="majorHAnsi" w:hAnsiTheme="majorHAnsi" w:cstheme="majorHAnsi"/>
              </w:rPr>
              <w:t xml:space="preserve"> brokers for the best recommendations.</w:t>
            </w:r>
          </w:p>
        </w:tc>
        <w:tc>
          <w:tcPr>
            <w:tcW w:w="3616" w:type="dxa"/>
            <w:vAlign w:val="center"/>
          </w:tcPr>
          <w:p w14:paraId="0F299DB0" w14:textId="6E8DA2F6" w:rsidR="009717B4" w:rsidRDefault="009717B4" w:rsidP="009717B4">
            <w:pPr>
              <w:rPr>
                <w:rFonts w:asciiTheme="majorHAnsi" w:hAnsiTheme="majorHAnsi" w:cstheme="majorHAnsi"/>
                <w:noProof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4AB1BA31" wp14:editId="526B34A6">
                  <wp:extent cx="2133600" cy="213360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742" cy="21337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17B4" w14:paraId="179251F4" w14:textId="77777777" w:rsidTr="009717B4">
        <w:tc>
          <w:tcPr>
            <w:tcW w:w="1961" w:type="dxa"/>
            <w:vAlign w:val="center"/>
          </w:tcPr>
          <w:p w14:paraId="0A499E65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Investors</w:t>
            </w:r>
          </w:p>
          <w:p w14:paraId="6389E4C2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0E26A25A" w14:textId="454E2FBB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>Reach + Reputation</w:t>
            </w:r>
          </w:p>
        </w:tc>
        <w:tc>
          <w:tcPr>
            <w:tcW w:w="4974" w:type="dxa"/>
            <w:vAlign w:val="center"/>
          </w:tcPr>
          <w:p w14:paraId="572FCCBF" w14:textId="04F9B5F6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 xml:space="preserve">With a presence in over 110 countries and territories, the </w:t>
            </w:r>
            <w:r>
              <w:rPr>
                <w:rFonts w:asciiTheme="majorHAnsi" w:hAnsiTheme="majorHAnsi" w:cstheme="majorHAnsi"/>
              </w:rPr>
              <w:t>REMAX</w:t>
            </w:r>
            <w:r w:rsidRPr="007C72B3">
              <w:rPr>
                <w:rFonts w:asciiTheme="majorHAnsi" w:hAnsiTheme="majorHAnsi" w:cstheme="majorHAnsi"/>
              </w:rPr>
              <w:t>® network’s global footprint</w:t>
            </w:r>
            <w:r>
              <w:rPr>
                <w:rFonts w:asciiTheme="majorHAnsi" w:hAnsiTheme="majorHAnsi" w:cstheme="majorHAnsi"/>
              </w:rPr>
              <w:t xml:space="preserve"> </w:t>
            </w:r>
            <w:r w:rsidRPr="007C72B3">
              <w:rPr>
                <w:rFonts w:asciiTheme="majorHAnsi" w:hAnsiTheme="majorHAnsi" w:cstheme="majorHAnsi"/>
              </w:rPr>
              <w:t>is unmatched by any other real estate brand.</w:t>
            </w:r>
          </w:p>
        </w:tc>
        <w:tc>
          <w:tcPr>
            <w:tcW w:w="3616" w:type="dxa"/>
            <w:vAlign w:val="center"/>
          </w:tcPr>
          <w:p w14:paraId="5FCEB212" w14:textId="7C91AAA3" w:rsidR="009717B4" w:rsidRDefault="009717B4" w:rsidP="009717B4">
            <w:pPr>
              <w:rPr>
                <w:rFonts w:asciiTheme="majorHAnsi" w:hAnsiTheme="majorHAnsi" w:cstheme="majorHAnsi"/>
                <w:noProof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7B4C2453" wp14:editId="0A44CD35">
                  <wp:extent cx="2158365" cy="2158365"/>
                  <wp:effectExtent l="0" t="0" r="635" b="63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8755" cy="2158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17B4" w14:paraId="222A5E1D" w14:textId="77777777" w:rsidTr="009717B4">
        <w:tc>
          <w:tcPr>
            <w:tcW w:w="1961" w:type="dxa"/>
            <w:vAlign w:val="center"/>
          </w:tcPr>
          <w:p w14:paraId="58E3DA58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lastRenderedPageBreak/>
              <w:t>Investors</w:t>
            </w:r>
          </w:p>
          <w:p w14:paraId="7A4240B2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5863979C" w14:textId="383C3ECE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>Knowledge + Tools</w:t>
            </w:r>
          </w:p>
        </w:tc>
        <w:tc>
          <w:tcPr>
            <w:tcW w:w="4974" w:type="dxa"/>
            <w:vAlign w:val="center"/>
          </w:tcPr>
          <w:p w14:paraId="7AC63F7B" w14:textId="7777777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 xml:space="preserve">Location, location, location. Let a </w:t>
            </w:r>
            <w:r>
              <w:rPr>
                <w:rFonts w:asciiTheme="majorHAnsi" w:hAnsiTheme="majorHAnsi" w:cstheme="majorHAnsi"/>
              </w:rPr>
              <w:t>REMAX</w:t>
            </w:r>
            <w:r w:rsidRPr="007C72B3">
              <w:rPr>
                <w:rFonts w:asciiTheme="majorHAnsi" w:hAnsiTheme="majorHAnsi" w:cstheme="majorHAnsi"/>
              </w:rPr>
              <w:t xml:space="preserve"> Commercial</w:t>
            </w:r>
            <w:r>
              <w:rPr>
                <w:rFonts w:asciiTheme="majorHAnsi" w:hAnsiTheme="majorHAnsi" w:cstheme="majorHAnsi"/>
              </w:rPr>
              <w:t>®</w:t>
            </w:r>
            <w:r w:rsidRPr="007C72B3">
              <w:rPr>
                <w:rFonts w:asciiTheme="majorHAnsi" w:hAnsiTheme="majorHAnsi" w:cstheme="majorHAnsi"/>
              </w:rPr>
              <w:t xml:space="preserve"> broker guide you with the most up-to-date commercial resources and cutting-edge tools to help put you ahead of the competition.</w:t>
            </w:r>
          </w:p>
          <w:p w14:paraId="635EC951" w14:textId="7B2F15C8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3616" w:type="dxa"/>
            <w:vAlign w:val="center"/>
          </w:tcPr>
          <w:p w14:paraId="465E13CC" w14:textId="2861989D" w:rsidR="009717B4" w:rsidRDefault="009717B4" w:rsidP="009717B4">
            <w:pPr>
              <w:rPr>
                <w:rFonts w:asciiTheme="majorHAnsi" w:hAnsiTheme="majorHAnsi" w:cstheme="majorHAnsi"/>
                <w:noProof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4328810C" wp14:editId="42879F7F">
                  <wp:extent cx="2114439" cy="2114439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439" cy="211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17B4" w14:paraId="3F82608F" w14:textId="77777777" w:rsidTr="009717B4">
        <w:tc>
          <w:tcPr>
            <w:tcW w:w="1961" w:type="dxa"/>
            <w:vAlign w:val="center"/>
          </w:tcPr>
          <w:p w14:paraId="1CFE35CB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Investors</w:t>
            </w:r>
          </w:p>
          <w:p w14:paraId="5EA30ED4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6F863DC2" w14:textId="5F62715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>Growth Pathways</w:t>
            </w:r>
          </w:p>
        </w:tc>
        <w:tc>
          <w:tcPr>
            <w:tcW w:w="4974" w:type="dxa"/>
            <w:vAlign w:val="center"/>
          </w:tcPr>
          <w:p w14:paraId="227E5CD4" w14:textId="7777777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REMAX</w:t>
            </w:r>
            <w:r w:rsidRPr="007C72B3">
              <w:rPr>
                <w:rFonts w:asciiTheme="majorHAnsi" w:hAnsiTheme="majorHAnsi" w:cstheme="majorHAnsi"/>
              </w:rPr>
              <w:t xml:space="preserve"> Commercial® brokers work across various property and transaction types, meaning your reach won’t exceed their grasp.</w:t>
            </w:r>
          </w:p>
          <w:p w14:paraId="4E6952AE" w14:textId="7FBC228B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3616" w:type="dxa"/>
            <w:vAlign w:val="center"/>
          </w:tcPr>
          <w:p w14:paraId="3995B660" w14:textId="783FC39B" w:rsidR="009717B4" w:rsidRDefault="009717B4" w:rsidP="009717B4">
            <w:pPr>
              <w:rPr>
                <w:rFonts w:asciiTheme="majorHAnsi" w:hAnsiTheme="majorHAnsi" w:cstheme="majorHAnsi"/>
                <w:noProof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414006A6" wp14:editId="6911BD3E">
                  <wp:extent cx="2119742" cy="2119742"/>
                  <wp:effectExtent l="0" t="0" r="1270" b="127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9742" cy="21197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17B4" w14:paraId="44AD68FD" w14:textId="77777777" w:rsidTr="009717B4">
        <w:tc>
          <w:tcPr>
            <w:tcW w:w="1961" w:type="dxa"/>
            <w:vAlign w:val="center"/>
          </w:tcPr>
          <w:p w14:paraId="2AC3C600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Investors</w:t>
            </w:r>
          </w:p>
          <w:p w14:paraId="29E4A377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627F8283" w14:textId="338FACCA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>General</w:t>
            </w:r>
          </w:p>
        </w:tc>
        <w:tc>
          <w:tcPr>
            <w:tcW w:w="4974" w:type="dxa"/>
            <w:vAlign w:val="center"/>
          </w:tcPr>
          <w:p w14:paraId="64BBF054" w14:textId="7777777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 xml:space="preserve">Backed by the </w:t>
            </w:r>
            <w:r>
              <w:rPr>
                <w:rFonts w:asciiTheme="majorHAnsi" w:hAnsiTheme="majorHAnsi" w:cstheme="majorHAnsi"/>
              </w:rPr>
              <w:t>REMAX</w:t>
            </w:r>
            <w:r w:rsidRPr="007C72B3">
              <w:rPr>
                <w:rFonts w:asciiTheme="majorHAnsi" w:hAnsiTheme="majorHAnsi" w:cstheme="majorHAnsi"/>
                <w:vertAlign w:val="superscript"/>
              </w:rPr>
              <w:t>®</w:t>
            </w:r>
            <w:r w:rsidRPr="007C72B3">
              <w:rPr>
                <w:rFonts w:asciiTheme="majorHAnsi" w:hAnsiTheme="majorHAnsi" w:cstheme="majorHAnsi"/>
              </w:rPr>
              <w:t xml:space="preserve"> brand, </w:t>
            </w:r>
            <w:r>
              <w:rPr>
                <w:rFonts w:asciiTheme="majorHAnsi" w:hAnsiTheme="majorHAnsi" w:cstheme="majorHAnsi"/>
              </w:rPr>
              <w:t>REMAX</w:t>
            </w:r>
            <w:r w:rsidRPr="007C72B3">
              <w:rPr>
                <w:rFonts w:asciiTheme="majorHAnsi" w:hAnsiTheme="majorHAnsi" w:cstheme="majorHAnsi"/>
              </w:rPr>
              <w:t xml:space="preserve"> Commercial</w:t>
            </w:r>
            <w:r w:rsidRPr="007C72B3">
              <w:rPr>
                <w:rFonts w:asciiTheme="majorHAnsi" w:hAnsiTheme="majorHAnsi" w:cstheme="majorHAnsi"/>
                <w:vertAlign w:val="superscript"/>
              </w:rPr>
              <w:t>®</w:t>
            </w:r>
            <w:r w:rsidRPr="007C72B3">
              <w:rPr>
                <w:rFonts w:asciiTheme="majorHAnsi" w:hAnsiTheme="majorHAnsi" w:cstheme="majorHAnsi"/>
              </w:rPr>
              <w:t xml:space="preserve"> comes with instant credibility that helps </w:t>
            </w:r>
            <w:r>
              <w:rPr>
                <w:rFonts w:asciiTheme="majorHAnsi" w:hAnsiTheme="majorHAnsi" w:cstheme="majorHAnsi"/>
              </w:rPr>
              <w:t>open</w:t>
            </w:r>
            <w:r w:rsidRPr="007C72B3">
              <w:rPr>
                <w:rFonts w:asciiTheme="majorHAnsi" w:hAnsiTheme="majorHAnsi" w:cstheme="majorHAnsi"/>
              </w:rPr>
              <w:t xml:space="preserve"> doors to connections and properties all over the world.</w:t>
            </w:r>
          </w:p>
          <w:p w14:paraId="07BF2612" w14:textId="0BFC20B5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3616" w:type="dxa"/>
            <w:vAlign w:val="center"/>
          </w:tcPr>
          <w:p w14:paraId="4B242507" w14:textId="575112F6" w:rsidR="009717B4" w:rsidRDefault="009717B4" w:rsidP="009717B4">
            <w:pPr>
              <w:rPr>
                <w:rFonts w:asciiTheme="majorHAnsi" w:hAnsiTheme="majorHAnsi" w:cstheme="majorHAnsi"/>
                <w:noProof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5C5159B5" wp14:editId="14B8C541">
                  <wp:extent cx="2121377" cy="2121377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1377" cy="21213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17B4" w14:paraId="2F0D79FF" w14:textId="77777777" w:rsidTr="009717B4">
        <w:tc>
          <w:tcPr>
            <w:tcW w:w="1961" w:type="dxa"/>
            <w:vAlign w:val="center"/>
          </w:tcPr>
          <w:p w14:paraId="032781D4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Brokers</w:t>
            </w:r>
          </w:p>
          <w:p w14:paraId="74CC11CD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28B5C25C" w14:textId="1DAC447C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>General</w:t>
            </w:r>
          </w:p>
        </w:tc>
        <w:tc>
          <w:tcPr>
            <w:tcW w:w="4974" w:type="dxa"/>
            <w:vAlign w:val="center"/>
          </w:tcPr>
          <w:p w14:paraId="18FFB304" w14:textId="7777777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>Become part of a global commercial network backed by the power of one of the most recognized brands in real estate.</w:t>
            </w:r>
          </w:p>
          <w:p w14:paraId="5FEE1B89" w14:textId="7777777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3616" w:type="dxa"/>
            <w:vAlign w:val="center"/>
          </w:tcPr>
          <w:p w14:paraId="4CA347FC" w14:textId="60C2499E" w:rsidR="009717B4" w:rsidRDefault="009717B4" w:rsidP="009717B4">
            <w:pPr>
              <w:rPr>
                <w:rFonts w:asciiTheme="majorHAnsi" w:hAnsiTheme="majorHAnsi" w:cstheme="majorHAnsi"/>
                <w:noProof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188F0BCA" wp14:editId="30DB4D9E">
                  <wp:extent cx="2123624" cy="2123624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3624" cy="2123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17B4" w14:paraId="0ACC103D" w14:textId="77777777" w:rsidTr="009717B4">
        <w:tc>
          <w:tcPr>
            <w:tcW w:w="1961" w:type="dxa"/>
            <w:vAlign w:val="center"/>
          </w:tcPr>
          <w:p w14:paraId="2E70E709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lastRenderedPageBreak/>
              <w:t>Brokers</w:t>
            </w:r>
          </w:p>
          <w:p w14:paraId="251A9043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330DF13F" w14:textId="0AF3918D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>Reach + Reputation</w:t>
            </w:r>
          </w:p>
        </w:tc>
        <w:tc>
          <w:tcPr>
            <w:tcW w:w="4974" w:type="dxa"/>
            <w:vAlign w:val="center"/>
          </w:tcPr>
          <w:p w14:paraId="24835488" w14:textId="7777777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 xml:space="preserve">With over 60,000 commercial transactions worldwide (sales and lease volume, YE2023), let the </w:t>
            </w:r>
            <w:r>
              <w:rPr>
                <w:rFonts w:asciiTheme="majorHAnsi" w:hAnsiTheme="majorHAnsi" w:cstheme="majorHAnsi"/>
              </w:rPr>
              <w:t>REMAX</w:t>
            </w:r>
            <w:r w:rsidRPr="007C72B3">
              <w:rPr>
                <w:rFonts w:asciiTheme="majorHAnsi" w:hAnsiTheme="majorHAnsi" w:cstheme="majorHAnsi"/>
              </w:rPr>
              <w:t xml:space="preserve"> Commercial</w:t>
            </w:r>
            <w:r w:rsidRPr="007C72B3">
              <w:rPr>
                <w:rFonts w:asciiTheme="majorHAnsi" w:hAnsiTheme="majorHAnsi" w:cstheme="majorHAnsi"/>
                <w:vertAlign w:val="superscript"/>
              </w:rPr>
              <w:t>®</w:t>
            </w:r>
            <w:r w:rsidRPr="007C72B3">
              <w:rPr>
                <w:rFonts w:asciiTheme="majorHAnsi" w:hAnsiTheme="majorHAnsi" w:cstheme="majorHAnsi"/>
              </w:rPr>
              <w:t xml:space="preserve"> reputation unlock doors for you.</w:t>
            </w:r>
          </w:p>
          <w:p w14:paraId="38ECCDE9" w14:textId="7777777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3616" w:type="dxa"/>
            <w:vAlign w:val="center"/>
          </w:tcPr>
          <w:p w14:paraId="6FA43D2E" w14:textId="2BAD63D0" w:rsidR="009717B4" w:rsidRDefault="009717B4" w:rsidP="009717B4">
            <w:pPr>
              <w:rPr>
                <w:rFonts w:asciiTheme="majorHAnsi" w:hAnsiTheme="majorHAnsi" w:cstheme="majorHAnsi"/>
                <w:noProof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35DAE82C" wp14:editId="5F627910">
                  <wp:extent cx="2113538" cy="2113538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538" cy="21135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17B4" w14:paraId="00D78596" w14:textId="77777777" w:rsidTr="009717B4">
        <w:tc>
          <w:tcPr>
            <w:tcW w:w="1961" w:type="dxa"/>
            <w:vAlign w:val="center"/>
          </w:tcPr>
          <w:p w14:paraId="12C8C37F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Brokers</w:t>
            </w:r>
          </w:p>
          <w:p w14:paraId="20BD5A6F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5197B7D2" w14:textId="3B009769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>Knowledge + Tools</w:t>
            </w:r>
          </w:p>
        </w:tc>
        <w:tc>
          <w:tcPr>
            <w:tcW w:w="4974" w:type="dxa"/>
            <w:vAlign w:val="center"/>
          </w:tcPr>
          <w:p w14:paraId="5D4EA219" w14:textId="7777777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>Constant testing and investing in industry-leading tools mean you could better compete and meet your clients' needs.</w:t>
            </w:r>
          </w:p>
          <w:p w14:paraId="4473CDF4" w14:textId="7777777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3616" w:type="dxa"/>
            <w:vAlign w:val="center"/>
          </w:tcPr>
          <w:p w14:paraId="29B0DB3D" w14:textId="6B425A7E" w:rsidR="009717B4" w:rsidRDefault="009717B4" w:rsidP="009717B4">
            <w:pPr>
              <w:rPr>
                <w:rFonts w:asciiTheme="majorHAnsi" w:hAnsiTheme="majorHAnsi" w:cstheme="majorHAnsi"/>
                <w:noProof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6B9676E7" wp14:editId="30BEFA87">
                  <wp:extent cx="2118527" cy="2118527"/>
                  <wp:effectExtent l="0" t="0" r="2540" b="254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527" cy="2118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17B4" w14:paraId="1B8DEE62" w14:textId="77777777" w:rsidTr="009717B4">
        <w:tc>
          <w:tcPr>
            <w:tcW w:w="1961" w:type="dxa"/>
            <w:vAlign w:val="center"/>
          </w:tcPr>
          <w:p w14:paraId="72C4D355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Brokers</w:t>
            </w:r>
          </w:p>
          <w:p w14:paraId="1B363481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672C7779" w14:textId="03EC4C42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>Growth Pathways</w:t>
            </w:r>
          </w:p>
        </w:tc>
        <w:tc>
          <w:tcPr>
            <w:tcW w:w="4974" w:type="dxa"/>
            <w:vAlign w:val="center"/>
          </w:tcPr>
          <w:p w14:paraId="2CAD77DE" w14:textId="7777777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>Specialize in all property types — not just a few — within a global network of over 14</w:t>
            </w:r>
            <w:r>
              <w:rPr>
                <w:rFonts w:asciiTheme="majorHAnsi" w:hAnsiTheme="majorHAnsi" w:cstheme="majorHAnsi"/>
              </w:rPr>
              <w:t>5</w:t>
            </w:r>
            <w:r w:rsidRPr="007C72B3">
              <w:rPr>
                <w:rFonts w:asciiTheme="majorHAnsi" w:hAnsiTheme="majorHAnsi" w:cstheme="majorHAnsi"/>
              </w:rPr>
              <w:t>,000 agents. Experience more commercial referral opportunities.</w:t>
            </w:r>
          </w:p>
          <w:p w14:paraId="2FF04EB3" w14:textId="7777777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3616" w:type="dxa"/>
            <w:vAlign w:val="center"/>
          </w:tcPr>
          <w:p w14:paraId="310803FE" w14:textId="6C41D702" w:rsidR="009717B4" w:rsidRDefault="009717B4" w:rsidP="009717B4">
            <w:pPr>
              <w:rPr>
                <w:rFonts w:asciiTheme="majorHAnsi" w:hAnsiTheme="majorHAnsi" w:cstheme="majorHAnsi"/>
                <w:noProof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34E252E0" wp14:editId="296D6AD9">
                  <wp:extent cx="2123180" cy="212318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3180" cy="2123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17B4" w14:paraId="32C39020" w14:textId="77777777" w:rsidTr="009717B4">
        <w:tc>
          <w:tcPr>
            <w:tcW w:w="1961" w:type="dxa"/>
            <w:vAlign w:val="center"/>
          </w:tcPr>
          <w:p w14:paraId="3EC27016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Brokers</w:t>
            </w:r>
          </w:p>
          <w:p w14:paraId="381EA6D9" w14:textId="77777777" w:rsidR="009717B4" w:rsidRDefault="009717B4" w:rsidP="009717B4">
            <w:pPr>
              <w:rPr>
                <w:rFonts w:asciiTheme="majorHAnsi" w:hAnsiTheme="majorHAnsi" w:cstheme="majorHAnsi"/>
              </w:rPr>
            </w:pPr>
          </w:p>
          <w:p w14:paraId="2EFEE78A" w14:textId="4452D0BC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Community</w:t>
            </w:r>
          </w:p>
        </w:tc>
        <w:tc>
          <w:tcPr>
            <w:tcW w:w="4974" w:type="dxa"/>
            <w:vAlign w:val="center"/>
          </w:tcPr>
          <w:p w14:paraId="15DC50E0" w14:textId="7777777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  <w:r w:rsidRPr="007C72B3">
              <w:rPr>
                <w:rFonts w:asciiTheme="majorHAnsi" w:hAnsiTheme="majorHAnsi" w:cstheme="majorHAnsi"/>
              </w:rPr>
              <w:t xml:space="preserve">For over 30 years, </w:t>
            </w:r>
            <w:r>
              <w:rPr>
                <w:rFonts w:asciiTheme="majorHAnsi" w:hAnsiTheme="majorHAnsi" w:cstheme="majorHAnsi"/>
              </w:rPr>
              <w:t>REMAX</w:t>
            </w:r>
            <w:r w:rsidRPr="007C72B3">
              <w:rPr>
                <w:rFonts w:asciiTheme="majorHAnsi" w:hAnsiTheme="majorHAnsi" w:cstheme="majorHAnsi"/>
              </w:rPr>
              <w:t>® associates involved in the Miracle Property program have helped raise over $200 million for Children’s Miracle Network Hospitals® across the U.S. and Canada. 100% of all donations stay within the community.</w:t>
            </w:r>
          </w:p>
          <w:p w14:paraId="04056CFB" w14:textId="77777777" w:rsidR="009717B4" w:rsidRPr="007C72B3" w:rsidRDefault="009717B4" w:rsidP="009717B4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3616" w:type="dxa"/>
            <w:vAlign w:val="center"/>
          </w:tcPr>
          <w:p w14:paraId="5F329679" w14:textId="7BF30FC3" w:rsidR="009717B4" w:rsidRDefault="009717B4" w:rsidP="009717B4">
            <w:pPr>
              <w:rPr>
                <w:rFonts w:asciiTheme="majorHAnsi" w:hAnsiTheme="majorHAnsi" w:cstheme="majorHAnsi"/>
                <w:noProof/>
              </w:rPr>
            </w:pPr>
            <w:r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36B09497" wp14:editId="1A8C4988">
                  <wp:extent cx="2117450" cy="2117450"/>
                  <wp:effectExtent l="0" t="0" r="3810" b="381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450" cy="2117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541F9F9" w14:textId="77777777" w:rsidR="0068671E" w:rsidRPr="007C72B3" w:rsidRDefault="0068671E" w:rsidP="0068671E">
      <w:pPr>
        <w:rPr>
          <w:rFonts w:asciiTheme="majorHAnsi" w:hAnsiTheme="majorHAnsi" w:cstheme="majorHAnsi"/>
        </w:rPr>
      </w:pPr>
    </w:p>
    <w:sectPr w:rsidR="0068671E" w:rsidRPr="007C72B3" w:rsidSect="006F6743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7276746"/>
    <w:multiLevelType w:val="hybridMultilevel"/>
    <w:tmpl w:val="F1EEE114"/>
    <w:lvl w:ilvl="0" w:tplc="D4F09A8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97655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523C"/>
    <w:rsid w:val="0003772C"/>
    <w:rsid w:val="00071CC6"/>
    <w:rsid w:val="00074F6E"/>
    <w:rsid w:val="00095A92"/>
    <w:rsid w:val="000D0375"/>
    <w:rsid w:val="000D7356"/>
    <w:rsid w:val="00125FE0"/>
    <w:rsid w:val="00152C4F"/>
    <w:rsid w:val="00167C3B"/>
    <w:rsid w:val="001738C2"/>
    <w:rsid w:val="00181AE8"/>
    <w:rsid w:val="0019658B"/>
    <w:rsid w:val="0020594C"/>
    <w:rsid w:val="00217395"/>
    <w:rsid w:val="002218D2"/>
    <w:rsid w:val="00243BC9"/>
    <w:rsid w:val="0028375A"/>
    <w:rsid w:val="00283BDC"/>
    <w:rsid w:val="002B186D"/>
    <w:rsid w:val="002B6808"/>
    <w:rsid w:val="00317A87"/>
    <w:rsid w:val="00327782"/>
    <w:rsid w:val="0034189A"/>
    <w:rsid w:val="00352602"/>
    <w:rsid w:val="0035468D"/>
    <w:rsid w:val="0036451E"/>
    <w:rsid w:val="003737BF"/>
    <w:rsid w:val="00373892"/>
    <w:rsid w:val="003A6EA4"/>
    <w:rsid w:val="003B185A"/>
    <w:rsid w:val="003D5064"/>
    <w:rsid w:val="003E1F52"/>
    <w:rsid w:val="003F540B"/>
    <w:rsid w:val="003F65B5"/>
    <w:rsid w:val="00404D39"/>
    <w:rsid w:val="00416EDA"/>
    <w:rsid w:val="00431B27"/>
    <w:rsid w:val="004923C5"/>
    <w:rsid w:val="00494364"/>
    <w:rsid w:val="004D01C3"/>
    <w:rsid w:val="004E6947"/>
    <w:rsid w:val="00504430"/>
    <w:rsid w:val="00567151"/>
    <w:rsid w:val="00570292"/>
    <w:rsid w:val="005808E3"/>
    <w:rsid w:val="00583044"/>
    <w:rsid w:val="005A10A3"/>
    <w:rsid w:val="005B158A"/>
    <w:rsid w:val="005C4101"/>
    <w:rsid w:val="005C6A9F"/>
    <w:rsid w:val="005D52BA"/>
    <w:rsid w:val="005F62B2"/>
    <w:rsid w:val="00602B8A"/>
    <w:rsid w:val="006323EC"/>
    <w:rsid w:val="0064033B"/>
    <w:rsid w:val="00680710"/>
    <w:rsid w:val="00685C27"/>
    <w:rsid w:val="0068671E"/>
    <w:rsid w:val="0068776E"/>
    <w:rsid w:val="006B3B8B"/>
    <w:rsid w:val="006E511B"/>
    <w:rsid w:val="006F4DB5"/>
    <w:rsid w:val="006F6743"/>
    <w:rsid w:val="007004DB"/>
    <w:rsid w:val="007047F8"/>
    <w:rsid w:val="00705C2B"/>
    <w:rsid w:val="00730657"/>
    <w:rsid w:val="0075523C"/>
    <w:rsid w:val="00757721"/>
    <w:rsid w:val="00792B3A"/>
    <w:rsid w:val="007A0CD3"/>
    <w:rsid w:val="007C72B3"/>
    <w:rsid w:val="007D0F7B"/>
    <w:rsid w:val="007D529C"/>
    <w:rsid w:val="007E6AC2"/>
    <w:rsid w:val="007F70E9"/>
    <w:rsid w:val="00801CE6"/>
    <w:rsid w:val="00820202"/>
    <w:rsid w:val="00821975"/>
    <w:rsid w:val="00827270"/>
    <w:rsid w:val="00830524"/>
    <w:rsid w:val="00830EE3"/>
    <w:rsid w:val="008424EC"/>
    <w:rsid w:val="00846265"/>
    <w:rsid w:val="00846F78"/>
    <w:rsid w:val="0085677B"/>
    <w:rsid w:val="008911C4"/>
    <w:rsid w:val="008D6935"/>
    <w:rsid w:val="008E71CA"/>
    <w:rsid w:val="00912665"/>
    <w:rsid w:val="009717B4"/>
    <w:rsid w:val="009A2604"/>
    <w:rsid w:val="009B58D3"/>
    <w:rsid w:val="009D1EA5"/>
    <w:rsid w:val="009F6808"/>
    <w:rsid w:val="00A05674"/>
    <w:rsid w:val="00A1304D"/>
    <w:rsid w:val="00A45FD3"/>
    <w:rsid w:val="00A72DE4"/>
    <w:rsid w:val="00A73CFA"/>
    <w:rsid w:val="00A75673"/>
    <w:rsid w:val="00AD5C7B"/>
    <w:rsid w:val="00AE3A34"/>
    <w:rsid w:val="00AF1462"/>
    <w:rsid w:val="00AF6FE1"/>
    <w:rsid w:val="00B517C1"/>
    <w:rsid w:val="00B6659C"/>
    <w:rsid w:val="00B916A3"/>
    <w:rsid w:val="00BB6236"/>
    <w:rsid w:val="00C059E9"/>
    <w:rsid w:val="00C1435A"/>
    <w:rsid w:val="00C1711A"/>
    <w:rsid w:val="00C27618"/>
    <w:rsid w:val="00C4113A"/>
    <w:rsid w:val="00C5157C"/>
    <w:rsid w:val="00C63F14"/>
    <w:rsid w:val="00C856B8"/>
    <w:rsid w:val="00C955F1"/>
    <w:rsid w:val="00CA1B33"/>
    <w:rsid w:val="00CE6865"/>
    <w:rsid w:val="00D01B90"/>
    <w:rsid w:val="00D06747"/>
    <w:rsid w:val="00D50A81"/>
    <w:rsid w:val="00D87F1A"/>
    <w:rsid w:val="00D948E2"/>
    <w:rsid w:val="00DC3F01"/>
    <w:rsid w:val="00E3772D"/>
    <w:rsid w:val="00E61B91"/>
    <w:rsid w:val="00E64A55"/>
    <w:rsid w:val="00E75180"/>
    <w:rsid w:val="00E83453"/>
    <w:rsid w:val="00E92E4F"/>
    <w:rsid w:val="00EA3713"/>
    <w:rsid w:val="00EF2126"/>
    <w:rsid w:val="00F0609B"/>
    <w:rsid w:val="00F10EDC"/>
    <w:rsid w:val="00F4383E"/>
    <w:rsid w:val="00F44120"/>
    <w:rsid w:val="00F65998"/>
    <w:rsid w:val="00FC1101"/>
    <w:rsid w:val="00FE087E"/>
    <w:rsid w:val="00FE239B"/>
    <w:rsid w:val="00FF0702"/>
    <w:rsid w:val="00FF1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6322C0"/>
  <w15:chartTrackingRefBased/>
  <w15:docId w15:val="{9CD9C144-614D-6E40-884E-597370964B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738C2"/>
    <w:pPr>
      <w:ind w:left="720"/>
      <w:contextualSpacing/>
    </w:pPr>
  </w:style>
  <w:style w:type="table" w:styleId="TableGrid">
    <w:name w:val="Table Grid"/>
    <w:basedOn w:val="TableNormal"/>
    <w:uiPriority w:val="39"/>
    <w:rsid w:val="007C72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367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219</TotalTime>
  <Pages>4</Pages>
  <Words>384</Words>
  <Characters>2192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Westmoreland, Sara</dc:creator>
  <cp:keywords/>
  <dc:description/>
  <cp:lastModifiedBy>Malinowski, Jackie</cp:lastModifiedBy>
  <cp:revision>126</cp:revision>
  <dcterms:created xsi:type="dcterms:W3CDTF">2024-08-07T12:40:00Z</dcterms:created>
  <dcterms:modified xsi:type="dcterms:W3CDTF">2025-10-05T02:19:00Z</dcterms:modified>
</cp:coreProperties>
</file>