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AD0AD" w14:textId="34175008" w:rsidR="00EB61A5" w:rsidRPr="005C42A2" w:rsidRDefault="009B39D8" w:rsidP="00EB61A5">
      <w:pPr>
        <w:ind w:left="-630"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DC4FDC">
        <w:rPr>
          <w:b/>
          <w:sz w:val="24"/>
          <w:szCs w:val="24"/>
        </w:rPr>
        <w:t>4</w:t>
      </w:r>
      <w:r w:rsidR="00EB61A5" w:rsidRPr="005C42A2">
        <w:rPr>
          <w:b/>
          <w:sz w:val="24"/>
          <w:szCs w:val="24"/>
        </w:rPr>
        <w:t xml:space="preserve"> Filing Season Changes</w:t>
      </w:r>
    </w:p>
    <w:p w14:paraId="1B52AA85" w14:textId="77777777" w:rsidR="00356881" w:rsidRDefault="00356881" w:rsidP="00356881">
      <w:pPr>
        <w:spacing w:after="0"/>
        <w:ind w:left="-630"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Montana Return </w:t>
      </w:r>
      <w:r w:rsidRPr="0007475F">
        <w:rPr>
          <w:b/>
          <w:sz w:val="24"/>
          <w:szCs w:val="24"/>
        </w:rPr>
        <w:t>Changes</w:t>
      </w:r>
    </w:p>
    <w:p w14:paraId="4D646464" w14:textId="78E127F4" w:rsidR="00356881" w:rsidRDefault="00356881" w:rsidP="00356881">
      <w:pPr>
        <w:spacing w:after="0"/>
        <w:ind w:left="-630"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2024 is the first tax year under the new tax scheme enacted by </w:t>
      </w:r>
      <w:r w:rsidR="00CF4261">
        <w:rPr>
          <w:bCs/>
          <w:sz w:val="24"/>
          <w:szCs w:val="24"/>
        </w:rPr>
        <w:t xml:space="preserve">the </w:t>
      </w:r>
      <w:r>
        <w:rPr>
          <w:bCs/>
          <w:sz w:val="24"/>
          <w:szCs w:val="24"/>
        </w:rPr>
        <w:t>Montana legislature.  The changes are significant and sadly</w:t>
      </w:r>
      <w:r w:rsidR="00CF4261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many of the little nuances</w:t>
      </w:r>
      <w:r w:rsidR="007A7384">
        <w:rPr>
          <w:bCs/>
          <w:sz w:val="24"/>
          <w:szCs w:val="24"/>
        </w:rPr>
        <w:t xml:space="preserve"> in the Montana code,</w:t>
      </w:r>
      <w:r>
        <w:rPr>
          <w:bCs/>
          <w:sz w:val="24"/>
          <w:szCs w:val="24"/>
        </w:rPr>
        <w:t xml:space="preserve"> that an old guy like me used </w:t>
      </w:r>
      <w:r w:rsidR="0097717E">
        <w:rPr>
          <w:bCs/>
          <w:sz w:val="24"/>
          <w:szCs w:val="24"/>
        </w:rPr>
        <w:t xml:space="preserve">over the years </w:t>
      </w:r>
      <w:r>
        <w:rPr>
          <w:bCs/>
          <w:sz w:val="24"/>
          <w:szCs w:val="24"/>
        </w:rPr>
        <w:t xml:space="preserve">to lower your tax bill have been taken away.   Following are the most significant changes: </w:t>
      </w:r>
    </w:p>
    <w:p w14:paraId="1F6C3363" w14:textId="77777777" w:rsidR="00356881" w:rsidRDefault="00356881" w:rsidP="00356881">
      <w:pPr>
        <w:spacing w:after="0"/>
        <w:ind w:left="-630" w:right="-270"/>
        <w:rPr>
          <w:b/>
          <w:sz w:val="24"/>
          <w:szCs w:val="24"/>
        </w:rPr>
      </w:pPr>
      <w:r w:rsidRPr="00551E01">
        <w:rPr>
          <w:b/>
          <w:sz w:val="24"/>
          <w:szCs w:val="24"/>
        </w:rPr>
        <w:t>Filing Status</w:t>
      </w:r>
    </w:p>
    <w:p w14:paraId="14FC1564" w14:textId="77777777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We now must use the same filing status used on your federal return.  (No more shifting income and deductions between spouses to lower your tax bill) </w:t>
      </w:r>
    </w:p>
    <w:p w14:paraId="25CD4830" w14:textId="4AAE1475" w:rsidR="00356881" w:rsidRDefault="00356881" w:rsidP="00356881">
      <w:pPr>
        <w:spacing w:after="0"/>
        <w:ind w:left="-630" w:right="-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Repealed </w:t>
      </w:r>
      <w:r w:rsidR="000F45EB">
        <w:rPr>
          <w:b/>
          <w:sz w:val="24"/>
          <w:szCs w:val="24"/>
        </w:rPr>
        <w:t>income</w:t>
      </w:r>
      <w:r>
        <w:rPr>
          <w:b/>
          <w:sz w:val="24"/>
          <w:szCs w:val="24"/>
        </w:rPr>
        <w:t xml:space="preserve"> </w:t>
      </w:r>
      <w:r w:rsidR="001042AD">
        <w:rPr>
          <w:b/>
          <w:sz w:val="24"/>
          <w:szCs w:val="24"/>
        </w:rPr>
        <w:t>exclusions.</w:t>
      </w:r>
      <w:r>
        <w:rPr>
          <w:b/>
          <w:sz w:val="24"/>
          <w:szCs w:val="24"/>
        </w:rPr>
        <w:t xml:space="preserve"> </w:t>
      </w:r>
    </w:p>
    <w:p w14:paraId="4F572F61" w14:textId="062AC194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Unemployment Compensation is now </w:t>
      </w:r>
      <w:r w:rsidR="001042AD">
        <w:rPr>
          <w:bCs/>
          <w:sz w:val="24"/>
          <w:szCs w:val="24"/>
        </w:rPr>
        <w:t>taxable.</w:t>
      </w:r>
      <w:r>
        <w:rPr>
          <w:bCs/>
          <w:sz w:val="24"/>
          <w:szCs w:val="24"/>
        </w:rPr>
        <w:t xml:space="preserve"> </w:t>
      </w:r>
    </w:p>
    <w:p w14:paraId="34C6D6A4" w14:textId="138E9196" w:rsidR="001E7BDF" w:rsidRDefault="00356881" w:rsidP="001E7BDF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Tip Income is now </w:t>
      </w:r>
      <w:r w:rsidR="001042AD">
        <w:rPr>
          <w:bCs/>
          <w:sz w:val="24"/>
          <w:szCs w:val="24"/>
        </w:rPr>
        <w:t>taxable.</w:t>
      </w:r>
    </w:p>
    <w:p w14:paraId="2AFBDF67" w14:textId="77777777" w:rsidR="00F23A88" w:rsidRDefault="00F23A88" w:rsidP="00F23A88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>The partial Interest income exclusion for taxpayers over age 65</w:t>
      </w:r>
    </w:p>
    <w:p w14:paraId="1BB63748" w14:textId="77777777" w:rsidR="00F23A88" w:rsidRDefault="00F23A88" w:rsidP="00F23A88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>The partial retirement income exclusion</w:t>
      </w:r>
    </w:p>
    <w:p w14:paraId="2E19B32F" w14:textId="77777777" w:rsidR="00F23A88" w:rsidRDefault="00F23A88" w:rsidP="00F23A88">
      <w:pPr>
        <w:pStyle w:val="ListParagraph"/>
        <w:spacing w:after="0"/>
        <w:ind w:left="90" w:right="-270"/>
        <w:rPr>
          <w:bCs/>
          <w:sz w:val="24"/>
          <w:szCs w:val="24"/>
        </w:rPr>
      </w:pPr>
    </w:p>
    <w:p w14:paraId="24206CDB" w14:textId="0DDA2994" w:rsidR="001E7BDF" w:rsidRDefault="001E7BDF" w:rsidP="001E7BDF">
      <w:pPr>
        <w:spacing w:after="0"/>
        <w:ind w:left="-630" w:right="-270"/>
        <w:rPr>
          <w:b/>
          <w:sz w:val="24"/>
          <w:szCs w:val="24"/>
        </w:rPr>
      </w:pPr>
      <w:r>
        <w:rPr>
          <w:b/>
          <w:sz w:val="24"/>
          <w:szCs w:val="24"/>
        </w:rPr>
        <w:t>Repealed income tax deduction</w:t>
      </w:r>
      <w:r w:rsidR="00F23A88">
        <w:rPr>
          <w:b/>
          <w:sz w:val="24"/>
          <w:szCs w:val="24"/>
        </w:rPr>
        <w:t>s and credits</w:t>
      </w:r>
      <w:r>
        <w:rPr>
          <w:b/>
          <w:sz w:val="24"/>
          <w:szCs w:val="24"/>
        </w:rPr>
        <w:t xml:space="preserve">. </w:t>
      </w:r>
    </w:p>
    <w:p w14:paraId="57DAFD79" w14:textId="794C1337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Capital gains tax </w:t>
      </w:r>
      <w:r w:rsidR="001042AD">
        <w:rPr>
          <w:bCs/>
          <w:sz w:val="24"/>
          <w:szCs w:val="24"/>
        </w:rPr>
        <w:t>credit.</w:t>
      </w:r>
    </w:p>
    <w:p w14:paraId="073AFAAE" w14:textId="6C2F9ECD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>100% deduction of health insurance and long-term insurance premiums</w:t>
      </w:r>
    </w:p>
    <w:p w14:paraId="7CAF9204" w14:textId="77777777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>Light Vehicle Tax (vehicle licenses) as an itemized deduction</w:t>
      </w:r>
    </w:p>
    <w:p w14:paraId="7681951E" w14:textId="77777777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>The $100 Political Contribution deduction.</w:t>
      </w:r>
    </w:p>
    <w:p w14:paraId="77616F7F" w14:textId="391135A3" w:rsidR="004E3EB4" w:rsidRDefault="004E3EB4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>All energy saving related credits</w:t>
      </w:r>
      <w:r w:rsidR="00E63D97">
        <w:rPr>
          <w:bCs/>
          <w:sz w:val="24"/>
          <w:szCs w:val="24"/>
        </w:rPr>
        <w:t xml:space="preserve"> for improvements to your home.</w:t>
      </w:r>
    </w:p>
    <w:p w14:paraId="64428EDE" w14:textId="77777777" w:rsidR="00356881" w:rsidRDefault="00356881" w:rsidP="00356881">
      <w:pPr>
        <w:spacing w:after="0"/>
        <w:ind w:left="-630" w:right="-2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Tax rates: </w:t>
      </w:r>
    </w:p>
    <w:p w14:paraId="0AFE10CF" w14:textId="77777777" w:rsidR="008D1547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 w:rsidRPr="008D1547">
        <w:rPr>
          <w:bCs/>
          <w:sz w:val="24"/>
          <w:szCs w:val="24"/>
        </w:rPr>
        <w:t xml:space="preserve">There are now </w:t>
      </w:r>
      <w:r w:rsidR="00E63D97" w:rsidRPr="008D1547">
        <w:rPr>
          <w:bCs/>
          <w:sz w:val="24"/>
          <w:szCs w:val="24"/>
        </w:rPr>
        <w:t xml:space="preserve">only </w:t>
      </w:r>
      <w:r w:rsidRPr="008D1547">
        <w:rPr>
          <w:bCs/>
          <w:sz w:val="24"/>
          <w:szCs w:val="24"/>
        </w:rPr>
        <w:t xml:space="preserve">two tax rates. </w:t>
      </w:r>
      <w:r w:rsidR="00252121" w:rsidRPr="008D1547">
        <w:rPr>
          <w:bCs/>
          <w:sz w:val="24"/>
          <w:szCs w:val="24"/>
        </w:rPr>
        <w:t xml:space="preserve">4.7% on your first layer of income </w:t>
      </w:r>
      <w:r w:rsidR="008D1547" w:rsidRPr="008D1547">
        <w:rPr>
          <w:bCs/>
          <w:sz w:val="24"/>
          <w:szCs w:val="24"/>
        </w:rPr>
        <w:t xml:space="preserve">and 5.9% on the rest of your income. </w:t>
      </w:r>
    </w:p>
    <w:p w14:paraId="207D304F" w14:textId="3F23C68E" w:rsidR="00356881" w:rsidRPr="008D1547" w:rsidRDefault="00057C10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The </w:t>
      </w:r>
      <w:r w:rsidR="00356881" w:rsidRPr="008D1547">
        <w:rPr>
          <w:bCs/>
          <w:sz w:val="24"/>
          <w:szCs w:val="24"/>
        </w:rPr>
        <w:t>size of the</w:t>
      </w:r>
      <w:r w:rsidR="00D116B9">
        <w:rPr>
          <w:bCs/>
          <w:sz w:val="24"/>
          <w:szCs w:val="24"/>
        </w:rPr>
        <w:t xml:space="preserve"> lower</w:t>
      </w:r>
      <w:r w:rsidR="00356881" w:rsidRPr="008D1547">
        <w:rPr>
          <w:bCs/>
          <w:sz w:val="24"/>
          <w:szCs w:val="24"/>
        </w:rPr>
        <w:t xml:space="preserve"> layer is determined </w:t>
      </w:r>
      <w:r w:rsidR="00D116B9">
        <w:rPr>
          <w:bCs/>
          <w:sz w:val="24"/>
          <w:szCs w:val="24"/>
        </w:rPr>
        <w:t xml:space="preserve">by </w:t>
      </w:r>
      <w:r w:rsidR="00426CB5">
        <w:rPr>
          <w:bCs/>
          <w:sz w:val="24"/>
          <w:szCs w:val="24"/>
        </w:rPr>
        <w:t>y</w:t>
      </w:r>
      <w:r w:rsidR="00356881" w:rsidRPr="008D1547">
        <w:rPr>
          <w:bCs/>
          <w:sz w:val="24"/>
          <w:szCs w:val="24"/>
        </w:rPr>
        <w:t xml:space="preserve">our filing status.  For Single taxpayers – the </w:t>
      </w:r>
      <w:r w:rsidR="00C83E33">
        <w:rPr>
          <w:bCs/>
          <w:sz w:val="24"/>
          <w:szCs w:val="24"/>
        </w:rPr>
        <w:t>4.7%-layer</w:t>
      </w:r>
      <w:r w:rsidR="00356881" w:rsidRPr="008D1547">
        <w:rPr>
          <w:bCs/>
          <w:sz w:val="24"/>
          <w:szCs w:val="24"/>
        </w:rPr>
        <w:t xml:space="preserve"> ends at $20,500 of taxable income, for Head of Household it </w:t>
      </w:r>
      <w:r w:rsidR="001C7F4F">
        <w:rPr>
          <w:bCs/>
          <w:sz w:val="24"/>
          <w:szCs w:val="24"/>
        </w:rPr>
        <w:t>ends</w:t>
      </w:r>
      <w:r w:rsidR="00356881" w:rsidRPr="008D1547">
        <w:rPr>
          <w:bCs/>
          <w:sz w:val="24"/>
          <w:szCs w:val="24"/>
        </w:rPr>
        <w:t xml:space="preserve"> $30,750 and for Married filing Joint it </w:t>
      </w:r>
      <w:r w:rsidR="001C7F4F">
        <w:rPr>
          <w:bCs/>
          <w:sz w:val="24"/>
          <w:szCs w:val="24"/>
        </w:rPr>
        <w:t>ends at</w:t>
      </w:r>
      <w:r w:rsidR="00356881" w:rsidRPr="008D1547">
        <w:rPr>
          <w:bCs/>
          <w:sz w:val="24"/>
          <w:szCs w:val="24"/>
        </w:rPr>
        <w:t xml:space="preserve"> </w:t>
      </w:r>
      <w:r w:rsidR="00C83E33" w:rsidRPr="008D1547">
        <w:rPr>
          <w:bCs/>
          <w:sz w:val="24"/>
          <w:szCs w:val="24"/>
        </w:rPr>
        <w:t>$41,000.</w:t>
      </w:r>
    </w:p>
    <w:p w14:paraId="582E4B42" w14:textId="77777777" w:rsidR="00356881" w:rsidRDefault="00356881" w:rsidP="00356881">
      <w:pPr>
        <w:pStyle w:val="ListParagraph"/>
        <w:numPr>
          <w:ilvl w:val="0"/>
          <w:numId w:val="8"/>
        </w:numPr>
        <w:spacing w:after="0"/>
        <w:ind w:right="-27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similar scheme applies to long-term capital gains. They are taxed at 3% at the lower income levels moving to 4.1% for higher incomes. </w:t>
      </w:r>
    </w:p>
    <w:p w14:paraId="030A001E" w14:textId="77777777" w:rsidR="00356881" w:rsidRDefault="00356881" w:rsidP="00CD010B">
      <w:pPr>
        <w:pStyle w:val="ListParagraph"/>
        <w:spacing w:after="0"/>
        <w:ind w:left="90" w:right="-270"/>
        <w:rPr>
          <w:bCs/>
          <w:sz w:val="24"/>
          <w:szCs w:val="24"/>
        </w:rPr>
      </w:pPr>
    </w:p>
    <w:p w14:paraId="31B329E9" w14:textId="77777777" w:rsidR="00356881" w:rsidRPr="0029754E" w:rsidRDefault="00356881" w:rsidP="00356881">
      <w:pPr>
        <w:spacing w:after="0"/>
        <w:ind w:left="-630" w:right="-270"/>
        <w:jc w:val="center"/>
        <w:rPr>
          <w:b/>
          <w:sz w:val="24"/>
          <w:szCs w:val="24"/>
          <w:u w:val="single"/>
        </w:rPr>
      </w:pPr>
      <w:r w:rsidRPr="0029754E">
        <w:rPr>
          <w:b/>
          <w:sz w:val="24"/>
          <w:szCs w:val="24"/>
          <w:u w:val="single"/>
        </w:rPr>
        <w:t>What survived the legislators’ axe?</w:t>
      </w:r>
    </w:p>
    <w:p w14:paraId="415B8D2A" w14:textId="0EBE1D8D" w:rsidR="00356881" w:rsidRDefault="00356881" w:rsidP="00356881">
      <w:pPr>
        <w:spacing w:after="0"/>
        <w:ind w:left="-630" w:right="-270"/>
      </w:pPr>
      <w:r>
        <w:rPr>
          <w:b/>
        </w:rPr>
        <w:t>Montana Medical Savings Accounts:</w:t>
      </w:r>
      <w:r w:rsidRPr="749E88BC">
        <w:rPr>
          <w:b/>
        </w:rPr>
        <w:t xml:space="preserve"> the</w:t>
      </w:r>
      <w:r>
        <w:t xml:space="preserve"> maximum contribution is $4,500 per taxpayer.  </w:t>
      </w:r>
    </w:p>
    <w:p w14:paraId="7043539B" w14:textId="77777777" w:rsidR="00356881" w:rsidRDefault="00356881" w:rsidP="00356881">
      <w:pPr>
        <w:spacing w:after="0"/>
        <w:ind w:left="-630" w:right="-270"/>
      </w:pPr>
    </w:p>
    <w:p w14:paraId="61EB48DC" w14:textId="687C8D9D" w:rsidR="00356881" w:rsidRDefault="00356881" w:rsidP="00356881">
      <w:pPr>
        <w:spacing w:after="0"/>
        <w:ind w:left="-630" w:right="-270"/>
      </w:pPr>
      <w:r>
        <w:rPr>
          <w:b/>
          <w:bCs/>
        </w:rPr>
        <w:t>Elderly homeowner/Renter Credit</w:t>
      </w:r>
      <w:r w:rsidR="749E88BC" w:rsidRPr="749E88BC">
        <w:rPr>
          <w:b/>
          <w:bCs/>
        </w:rPr>
        <w:t>:</w:t>
      </w:r>
      <w:r w:rsidRPr="749E88BC">
        <w:rPr>
          <w:b/>
        </w:rPr>
        <w:t xml:space="preserve"> Taxpayers</w:t>
      </w:r>
      <w:r>
        <w:t xml:space="preserve"> with total income of $45,000 or less may be eligible for an income tax credit based on the amount of rent paid or real estate taxes assessed on their primary residence.</w:t>
      </w:r>
    </w:p>
    <w:p w14:paraId="6A10DEA9" w14:textId="77777777" w:rsidR="00BA17CE" w:rsidRDefault="00BA17CE" w:rsidP="00356881">
      <w:pPr>
        <w:spacing w:after="0"/>
        <w:ind w:left="-630" w:right="-270"/>
      </w:pPr>
    </w:p>
    <w:p w14:paraId="57C1680A" w14:textId="77777777" w:rsidR="00CD010B" w:rsidRDefault="00CD01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1C11E53" w14:textId="77777777" w:rsidR="00CD010B" w:rsidRPr="005C42A2" w:rsidRDefault="00CD010B" w:rsidP="00CD010B">
      <w:pPr>
        <w:ind w:left="-630"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2024</w:t>
      </w:r>
      <w:r w:rsidRPr="005C42A2">
        <w:rPr>
          <w:b/>
          <w:sz w:val="24"/>
          <w:szCs w:val="24"/>
        </w:rPr>
        <w:t xml:space="preserve"> Filing Season Changes</w:t>
      </w:r>
    </w:p>
    <w:p w14:paraId="58B5360F" w14:textId="77777777" w:rsidR="00CD010B" w:rsidRDefault="00CD010B" w:rsidP="00CD010B">
      <w:pPr>
        <w:spacing w:after="0"/>
        <w:ind w:left="-630" w:right="-27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Montana Return </w:t>
      </w:r>
      <w:r w:rsidRPr="0007475F">
        <w:rPr>
          <w:b/>
          <w:sz w:val="24"/>
          <w:szCs w:val="24"/>
        </w:rPr>
        <w:t>Changes</w:t>
      </w:r>
    </w:p>
    <w:p w14:paraId="1A56FAF6" w14:textId="2F5B2C5B" w:rsidR="00356881" w:rsidRDefault="00356881" w:rsidP="00BA17CE">
      <w:pPr>
        <w:spacing w:after="0"/>
        <w:ind w:left="-630" w:right="-270"/>
        <w:jc w:val="center"/>
        <w:rPr>
          <w:b/>
          <w:sz w:val="24"/>
          <w:szCs w:val="24"/>
        </w:rPr>
      </w:pPr>
      <w:r w:rsidRPr="00BA17CE">
        <w:rPr>
          <w:b/>
          <w:sz w:val="24"/>
          <w:szCs w:val="24"/>
        </w:rPr>
        <w:t>New deduction</w:t>
      </w:r>
      <w:r w:rsidR="00AD3632">
        <w:rPr>
          <w:b/>
          <w:sz w:val="24"/>
          <w:szCs w:val="24"/>
        </w:rPr>
        <w:t>s</w:t>
      </w:r>
    </w:p>
    <w:p w14:paraId="03443477" w14:textId="216A449E" w:rsidR="005F6DEE" w:rsidRDefault="00D57D7A" w:rsidP="00EC04F7">
      <w:pPr>
        <w:spacing w:after="0"/>
        <w:ind w:left="-630" w:right="-270"/>
      </w:pPr>
      <w:r>
        <w:rPr>
          <w:b/>
          <w:bCs/>
        </w:rPr>
        <w:t>Over age 65 subtraction:</w:t>
      </w:r>
      <w:r w:rsidR="00EC04F7">
        <w:t xml:space="preserve"> Taxpayers</w:t>
      </w:r>
      <w:r>
        <w:t xml:space="preserve"> aged 65 and over </w:t>
      </w:r>
      <w:r w:rsidR="001D1FCB">
        <w:t xml:space="preserve">subtract $5,500 from their taxable income.  </w:t>
      </w:r>
      <w:r w:rsidR="005F6DEE">
        <w:t xml:space="preserve">For a Married </w:t>
      </w:r>
      <w:r w:rsidR="001F7DD2">
        <w:t>couple,</w:t>
      </w:r>
      <w:r w:rsidR="005F6DEE">
        <w:t xml:space="preserve"> the subtraction is $11,000 if both spouses are 65 or older. </w:t>
      </w:r>
    </w:p>
    <w:p w14:paraId="356A0A22" w14:textId="473D8F19" w:rsidR="002F5238" w:rsidRDefault="002F5238" w:rsidP="00EC04F7">
      <w:pPr>
        <w:spacing w:after="0"/>
        <w:ind w:left="-630" w:right="-270"/>
        <w:rPr>
          <w:b/>
          <w:bCs/>
        </w:rPr>
      </w:pPr>
    </w:p>
    <w:p w14:paraId="4EA8CC47" w14:textId="590C867C" w:rsidR="00DD0EAF" w:rsidRDefault="002F5238" w:rsidP="00EC04F7">
      <w:pPr>
        <w:spacing w:after="0"/>
        <w:ind w:left="-630" w:right="-270"/>
      </w:pPr>
      <w:r>
        <w:rPr>
          <w:b/>
          <w:bCs/>
        </w:rPr>
        <w:t xml:space="preserve">Working </w:t>
      </w:r>
      <w:r w:rsidR="00402674">
        <w:rPr>
          <w:b/>
          <w:bCs/>
        </w:rPr>
        <w:t>Military Retir</w:t>
      </w:r>
      <w:r w:rsidR="00747795">
        <w:rPr>
          <w:b/>
          <w:bCs/>
        </w:rPr>
        <w:t>e</w:t>
      </w:r>
      <w:r w:rsidR="00402674">
        <w:rPr>
          <w:b/>
          <w:bCs/>
        </w:rPr>
        <w:t xml:space="preserve">es: </w:t>
      </w:r>
      <w:r w:rsidR="00DD0EAF">
        <w:t>Military</w:t>
      </w:r>
      <w:r w:rsidR="00295C44">
        <w:t xml:space="preserve"> retirees</w:t>
      </w:r>
      <w:r w:rsidR="00F44B4F">
        <w:t xml:space="preserve"> with </w:t>
      </w:r>
      <w:r w:rsidR="00380D5D">
        <w:t>wage</w:t>
      </w:r>
      <w:r w:rsidR="00F44B4F">
        <w:t xml:space="preserve"> income </w:t>
      </w:r>
      <w:r w:rsidR="00D31DAF">
        <w:t xml:space="preserve">from a </w:t>
      </w:r>
      <w:r w:rsidR="00DD0EAF">
        <w:t>Montana</w:t>
      </w:r>
      <w:r w:rsidR="00D31DAF">
        <w:t xml:space="preserve"> employer</w:t>
      </w:r>
      <w:r w:rsidR="00380D5D">
        <w:t xml:space="preserve"> or self-</w:t>
      </w:r>
      <w:r w:rsidR="001042AD">
        <w:t>employment</w:t>
      </w:r>
      <w:r w:rsidR="00380D5D">
        <w:t xml:space="preserve"> income from a </w:t>
      </w:r>
      <w:r w:rsidR="00DD0EAF">
        <w:t>Montana</w:t>
      </w:r>
      <w:r w:rsidR="00380D5D">
        <w:t xml:space="preserve"> based business or far</w:t>
      </w:r>
      <w:r w:rsidR="00190437">
        <w:t xml:space="preserve">m and ranch operation </w:t>
      </w:r>
      <w:r w:rsidR="00295C44">
        <w:t xml:space="preserve">can exclude </w:t>
      </w:r>
      <w:r w:rsidR="005420AD">
        <w:t xml:space="preserve">up to 50% of </w:t>
      </w:r>
      <w:r w:rsidR="00DF6D61">
        <w:t xml:space="preserve">their retirement income </w:t>
      </w:r>
      <w:r w:rsidR="00C008DE">
        <w:t xml:space="preserve">received from the Defense </w:t>
      </w:r>
      <w:r w:rsidR="00DD0EAF">
        <w:t>Finance</w:t>
      </w:r>
      <w:r w:rsidR="00C008DE">
        <w:t xml:space="preserve"> and Accounting Services (DFAS)</w:t>
      </w:r>
      <w:r w:rsidR="00E21BBA">
        <w:t xml:space="preserve">.   The exclusion is allowed for the first five years </w:t>
      </w:r>
      <w:r w:rsidR="749E88BC">
        <w:t xml:space="preserve">of </w:t>
      </w:r>
      <w:r w:rsidR="00E21BBA">
        <w:t xml:space="preserve">the military </w:t>
      </w:r>
      <w:r w:rsidR="00DD0EAF">
        <w:t>retiree</w:t>
      </w:r>
      <w:r w:rsidR="00BA3BBA">
        <w:t xml:space="preserve">, </w:t>
      </w:r>
      <w:r w:rsidR="749E88BC">
        <w:t xml:space="preserve">who </w:t>
      </w:r>
      <w:r w:rsidR="00BA3BBA">
        <w:t>has retirement income</w:t>
      </w:r>
      <w:r w:rsidR="00423C8C">
        <w:t xml:space="preserve"> as </w:t>
      </w:r>
      <w:r w:rsidR="00DD0EAF">
        <w:t>Montana</w:t>
      </w:r>
      <w:r w:rsidR="00E21BBA">
        <w:t xml:space="preserve"> </w:t>
      </w:r>
      <w:r w:rsidR="001042AD">
        <w:t>resident</w:t>
      </w:r>
      <w:r w:rsidR="00E21BBA">
        <w:t xml:space="preserve"> </w:t>
      </w:r>
      <w:r w:rsidR="004F78D5">
        <w:t xml:space="preserve">while </w:t>
      </w:r>
      <w:r w:rsidR="001042AD">
        <w:t>continuing</w:t>
      </w:r>
      <w:r w:rsidR="004F78D5">
        <w:t xml:space="preserve"> </w:t>
      </w:r>
      <w:r w:rsidR="001042AD">
        <w:t>to</w:t>
      </w:r>
      <w:r w:rsidR="004F78D5">
        <w:t xml:space="preserve"> work or operate a </w:t>
      </w:r>
      <w:r w:rsidR="001042AD">
        <w:t>Montana</w:t>
      </w:r>
      <w:r w:rsidR="004F78D5">
        <w:t xml:space="preserve"> business or farm</w:t>
      </w:r>
      <w:r w:rsidR="00DD0EAF">
        <w:t xml:space="preserve">. </w:t>
      </w:r>
      <w:r w:rsidR="006D3B90">
        <w:t xml:space="preserve"> The exclusion is the lesser </w:t>
      </w:r>
      <w:r w:rsidR="749E88BC">
        <w:t>of</w:t>
      </w:r>
      <w:r w:rsidR="006D3B90">
        <w:t xml:space="preserve"> </w:t>
      </w:r>
      <w:r w:rsidR="00563541">
        <w:t>50% of t</w:t>
      </w:r>
      <w:r w:rsidR="008F3AE2">
        <w:t xml:space="preserve">he qualified retirement income or the taxpayer’s </w:t>
      </w:r>
      <w:proofErr w:type="gramStart"/>
      <w:r w:rsidR="008F3AE2">
        <w:t>earned income</w:t>
      </w:r>
      <w:proofErr w:type="gramEnd"/>
      <w:r w:rsidR="00A116EE">
        <w:t xml:space="preserve"> from Montana sources. </w:t>
      </w:r>
    </w:p>
    <w:p w14:paraId="76043ADA" w14:textId="77777777" w:rsidR="00356881" w:rsidRDefault="00356881" w:rsidP="009C7B2B">
      <w:pPr>
        <w:spacing w:after="0"/>
        <w:ind w:left="-630" w:right="-270"/>
        <w:jc w:val="center"/>
        <w:rPr>
          <w:b/>
          <w:sz w:val="24"/>
          <w:szCs w:val="24"/>
        </w:rPr>
      </w:pPr>
    </w:p>
    <w:p w14:paraId="1F034D10" w14:textId="0996B757" w:rsidR="00AE7DD2" w:rsidRPr="0007475F" w:rsidRDefault="00386AAD" w:rsidP="009C7B2B">
      <w:pPr>
        <w:spacing w:after="0"/>
        <w:ind w:left="-630" w:right="-270"/>
        <w:jc w:val="center"/>
        <w:rPr>
          <w:b/>
          <w:sz w:val="24"/>
          <w:szCs w:val="24"/>
        </w:rPr>
      </w:pPr>
      <w:r w:rsidRPr="0007475F">
        <w:rPr>
          <w:b/>
          <w:sz w:val="24"/>
          <w:szCs w:val="24"/>
        </w:rPr>
        <w:t>Federal</w:t>
      </w:r>
      <w:r w:rsidR="00C72D5C">
        <w:rPr>
          <w:b/>
          <w:sz w:val="24"/>
          <w:szCs w:val="24"/>
        </w:rPr>
        <w:t xml:space="preserve"> Return </w:t>
      </w:r>
      <w:r w:rsidRPr="0007475F">
        <w:rPr>
          <w:b/>
          <w:sz w:val="24"/>
          <w:szCs w:val="24"/>
        </w:rPr>
        <w:t>Changes</w:t>
      </w:r>
    </w:p>
    <w:p w14:paraId="61EA84E9" w14:textId="77777777" w:rsidR="007A79C6" w:rsidRDefault="007A79C6" w:rsidP="000024AA">
      <w:pPr>
        <w:spacing w:after="0"/>
        <w:ind w:left="-630" w:right="-270"/>
        <w:jc w:val="center"/>
        <w:rPr>
          <w:bCs/>
          <w:u w:val="single"/>
        </w:rPr>
      </w:pPr>
    </w:p>
    <w:p w14:paraId="5BB24FA2" w14:textId="1A4A2FB2" w:rsidR="000024AA" w:rsidRDefault="000024AA" w:rsidP="000024AA">
      <w:pPr>
        <w:spacing w:after="0"/>
        <w:ind w:left="-630" w:right="-270"/>
        <w:jc w:val="center"/>
        <w:rPr>
          <w:b/>
          <w:u w:val="single"/>
        </w:rPr>
      </w:pPr>
      <w:r>
        <w:rPr>
          <w:b/>
          <w:u w:val="single"/>
        </w:rPr>
        <w:t>Retirement Account Contrib</w:t>
      </w:r>
      <w:r w:rsidR="009C1B89">
        <w:rPr>
          <w:b/>
          <w:u w:val="single"/>
        </w:rPr>
        <w:t>ution Increases for 2024 and 2025</w:t>
      </w:r>
    </w:p>
    <w:p w14:paraId="7E185B49" w14:textId="60D49C70" w:rsidR="0026017C" w:rsidRDefault="0026017C" w:rsidP="007A79C6">
      <w:pPr>
        <w:spacing w:after="0"/>
        <w:ind w:left="-630" w:right="-270"/>
        <w:rPr>
          <w:b/>
        </w:rPr>
      </w:pPr>
      <w:r>
        <w:rPr>
          <w:b/>
        </w:rPr>
        <w:t xml:space="preserve">2024 </w:t>
      </w:r>
      <w:r w:rsidR="00620E86">
        <w:rPr>
          <w:b/>
        </w:rPr>
        <w:t xml:space="preserve">Retirement </w:t>
      </w:r>
      <w:r>
        <w:rPr>
          <w:b/>
        </w:rPr>
        <w:t>Contribution Limits:</w:t>
      </w:r>
    </w:p>
    <w:p w14:paraId="2EF169F2" w14:textId="47C0473E" w:rsidR="00A5378C" w:rsidRDefault="00A5378C" w:rsidP="00A5378C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Traditional and Roth IRA</w:t>
      </w:r>
      <w:r w:rsidR="00EF47D0">
        <w:rPr>
          <w:bCs/>
        </w:rPr>
        <w:t xml:space="preserve">’s:  $7,000 catchup contribution for </w:t>
      </w:r>
      <w:r w:rsidR="007E3D1E">
        <w:rPr>
          <w:bCs/>
        </w:rPr>
        <w:t>age 50+ $1,000</w:t>
      </w:r>
    </w:p>
    <w:p w14:paraId="6728B158" w14:textId="75B5E4A6" w:rsidR="007E3D1E" w:rsidRDefault="007E3D1E" w:rsidP="00A5378C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Simple IRA</w:t>
      </w:r>
      <w:r w:rsidR="004D2D21">
        <w:rPr>
          <w:bCs/>
        </w:rPr>
        <w:t xml:space="preserve"> – Salary deferral $16,000 catchup contribution for age 50+ $3,500</w:t>
      </w:r>
    </w:p>
    <w:p w14:paraId="6430600C" w14:textId="6F817F57" w:rsidR="004D2D21" w:rsidRDefault="004D2D21" w:rsidP="00A5378C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401K/403(b)</w:t>
      </w:r>
      <w:r w:rsidR="00FD0412">
        <w:rPr>
          <w:bCs/>
        </w:rPr>
        <w:t xml:space="preserve"> and 457(b) Salary </w:t>
      </w:r>
      <w:r w:rsidR="00620E86">
        <w:rPr>
          <w:bCs/>
        </w:rPr>
        <w:t>deferrals</w:t>
      </w:r>
      <w:r w:rsidR="00FD0412">
        <w:rPr>
          <w:bCs/>
        </w:rPr>
        <w:t xml:space="preserve"> $23,000 catchup </w:t>
      </w:r>
      <w:r w:rsidR="00620E86">
        <w:rPr>
          <w:bCs/>
        </w:rPr>
        <w:t>contribution</w:t>
      </w:r>
      <w:r w:rsidR="00FD0412">
        <w:rPr>
          <w:bCs/>
        </w:rPr>
        <w:t xml:space="preserve"> for age 50+ $7,500</w:t>
      </w:r>
    </w:p>
    <w:p w14:paraId="359A9543" w14:textId="77777777" w:rsidR="00620E86" w:rsidRDefault="00620E86" w:rsidP="00117427">
      <w:pPr>
        <w:pStyle w:val="ListParagraph"/>
        <w:spacing w:after="0"/>
        <w:ind w:left="90" w:right="-270"/>
        <w:rPr>
          <w:bCs/>
        </w:rPr>
      </w:pPr>
    </w:p>
    <w:p w14:paraId="25A2EC72" w14:textId="64386A29" w:rsidR="00620E86" w:rsidRDefault="00620E86" w:rsidP="00620E86">
      <w:pPr>
        <w:spacing w:after="0"/>
        <w:ind w:left="-630" w:right="-270"/>
        <w:rPr>
          <w:b/>
        </w:rPr>
      </w:pPr>
      <w:r>
        <w:rPr>
          <w:b/>
        </w:rPr>
        <w:t>2025 Retirement Contribution Limits:</w:t>
      </w:r>
    </w:p>
    <w:p w14:paraId="7655A674" w14:textId="683B8F43" w:rsidR="00620E86" w:rsidRDefault="00620E86" w:rsidP="00620E86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Traditional and Roth IRA’s:  $7,000 catchup contribution for age 50+ $1,000</w:t>
      </w:r>
    </w:p>
    <w:p w14:paraId="4EDFB690" w14:textId="182B7DB0" w:rsidR="00620E86" w:rsidRDefault="00620E86" w:rsidP="00620E86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Simple IRA – Salary deferral $16,</w:t>
      </w:r>
      <w:r w:rsidR="000044AC">
        <w:rPr>
          <w:bCs/>
        </w:rPr>
        <w:t>5</w:t>
      </w:r>
      <w:r>
        <w:rPr>
          <w:bCs/>
        </w:rPr>
        <w:t>00 catchup contribution for age 50+ $3,500</w:t>
      </w:r>
      <w:r w:rsidR="000044AC">
        <w:rPr>
          <w:bCs/>
        </w:rPr>
        <w:t>.  Employees ages 60-</w:t>
      </w:r>
      <w:bookmarkStart w:id="0" w:name="_Int_rcI2HhNF"/>
      <w:r w:rsidR="000044AC">
        <w:rPr>
          <w:bCs/>
        </w:rPr>
        <w:t xml:space="preserve">63 </w:t>
      </w:r>
      <w:r w:rsidR="00EC1E6F">
        <w:rPr>
          <w:bCs/>
        </w:rPr>
        <w:t xml:space="preserve"> </w:t>
      </w:r>
      <w:r w:rsidR="00026F5A">
        <w:rPr>
          <w:bCs/>
        </w:rPr>
        <w:t>catchup</w:t>
      </w:r>
      <w:bookmarkEnd w:id="0"/>
      <w:r w:rsidR="00026F5A">
        <w:rPr>
          <w:bCs/>
        </w:rPr>
        <w:t xml:space="preserve"> contribution is </w:t>
      </w:r>
      <w:r w:rsidR="00650501">
        <w:rPr>
          <w:bCs/>
        </w:rPr>
        <w:t>$5,250.</w:t>
      </w:r>
    </w:p>
    <w:p w14:paraId="56F8E931" w14:textId="704C23D3" w:rsidR="00E41729" w:rsidRDefault="00620E86" w:rsidP="00E41729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401K/403(b) and 457(b) Salary deferrals $23,000 catchup contribution for age 50+ $7,500</w:t>
      </w:r>
      <w:r w:rsidR="00E41729">
        <w:rPr>
          <w:bCs/>
        </w:rPr>
        <w:t xml:space="preserve"> Employees ages 60-63  catchup contribution is $</w:t>
      </w:r>
      <w:r w:rsidR="00E043E9">
        <w:rPr>
          <w:bCs/>
        </w:rPr>
        <w:t>11,250.</w:t>
      </w:r>
    </w:p>
    <w:p w14:paraId="7949F758" w14:textId="77777777" w:rsidR="00620E86" w:rsidRDefault="00620E86" w:rsidP="007A79C6">
      <w:pPr>
        <w:spacing w:after="0"/>
        <w:ind w:left="-630" w:right="-270"/>
        <w:rPr>
          <w:bCs/>
        </w:rPr>
      </w:pPr>
    </w:p>
    <w:p w14:paraId="5C48A06F" w14:textId="56DD0D09" w:rsidR="007A79C6" w:rsidRPr="00EC43D9" w:rsidRDefault="007A79C6" w:rsidP="007A79C6">
      <w:pPr>
        <w:spacing w:after="0"/>
        <w:ind w:left="-630" w:right="-270"/>
        <w:rPr>
          <w:b/>
        </w:rPr>
      </w:pPr>
      <w:r w:rsidRPr="00EC43D9">
        <w:rPr>
          <w:b/>
        </w:rPr>
        <w:t>Retirement Accounts</w:t>
      </w:r>
      <w:r w:rsidR="00706EF2">
        <w:rPr>
          <w:b/>
        </w:rPr>
        <w:t xml:space="preserve"> – Required minimum distributions:</w:t>
      </w:r>
    </w:p>
    <w:p w14:paraId="693FB291" w14:textId="25EED060" w:rsidR="007A79C6" w:rsidRDefault="007A79C6" w:rsidP="007A79C6">
      <w:pPr>
        <w:spacing w:after="0"/>
        <w:ind w:left="-630" w:right="-270"/>
      </w:pPr>
      <w:r>
        <w:t>Generally</w:t>
      </w:r>
      <w:r w:rsidR="749E88BC">
        <w:t>,</w:t>
      </w:r>
      <w:r>
        <w:t xml:space="preserve"> all individuals that are </w:t>
      </w:r>
      <w:proofErr w:type="gramStart"/>
      <w:r>
        <w:t>age</w:t>
      </w:r>
      <w:proofErr w:type="gramEnd"/>
      <w:r>
        <w:t xml:space="preserve"> 73 as of December 31, </w:t>
      </w:r>
      <w:r w:rsidR="00650501">
        <w:t>2024,</w:t>
      </w:r>
      <w:r>
        <w:t xml:space="preserve"> must begin receiving distributions from their retirement accounts. </w:t>
      </w:r>
    </w:p>
    <w:p w14:paraId="5DCAA419" w14:textId="31E83FBA" w:rsidR="00EB61A5" w:rsidRPr="00166955" w:rsidRDefault="00C35C50" w:rsidP="00C35C50">
      <w:pPr>
        <w:spacing w:after="0"/>
        <w:ind w:left="-630" w:right="-270"/>
        <w:jc w:val="center"/>
        <w:rPr>
          <w:b/>
          <w:bCs/>
          <w:u w:val="single"/>
        </w:rPr>
      </w:pPr>
      <w:r w:rsidRPr="00166955">
        <w:rPr>
          <w:b/>
          <w:bCs/>
          <w:u w:val="single"/>
        </w:rPr>
        <w:t xml:space="preserve">Health Savings </w:t>
      </w:r>
      <w:r w:rsidR="00980F0A">
        <w:rPr>
          <w:b/>
          <w:bCs/>
          <w:u w:val="single"/>
        </w:rPr>
        <w:t xml:space="preserve">Account </w:t>
      </w:r>
      <w:r w:rsidRPr="00166955">
        <w:rPr>
          <w:b/>
          <w:bCs/>
          <w:u w:val="single"/>
        </w:rPr>
        <w:t xml:space="preserve">Contributions </w:t>
      </w:r>
    </w:p>
    <w:p w14:paraId="35DBF0BB" w14:textId="4C1A0ED9" w:rsidR="00042FA8" w:rsidRDefault="00042FA8" w:rsidP="00042FA8">
      <w:pPr>
        <w:spacing w:after="0"/>
        <w:ind w:left="-630" w:right="-270"/>
        <w:rPr>
          <w:b/>
        </w:rPr>
      </w:pPr>
      <w:r>
        <w:rPr>
          <w:b/>
        </w:rPr>
        <w:t>2024 Contribution Limits</w:t>
      </w:r>
      <w:r w:rsidR="00980F0A">
        <w:rPr>
          <w:b/>
        </w:rPr>
        <w:t xml:space="preserve"> </w:t>
      </w:r>
      <w:r w:rsidR="00460248">
        <w:rPr>
          <w:b/>
        </w:rPr>
        <w:t>based</w:t>
      </w:r>
      <w:r w:rsidR="00980F0A">
        <w:rPr>
          <w:b/>
        </w:rPr>
        <w:t xml:space="preserve"> on type of health insurance coverage</w:t>
      </w:r>
      <w:r>
        <w:rPr>
          <w:b/>
        </w:rPr>
        <w:t>:</w:t>
      </w:r>
    </w:p>
    <w:p w14:paraId="51AF01E9" w14:textId="71EDBD75" w:rsidR="00042FA8" w:rsidRDefault="00DD089F" w:rsidP="00042FA8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 xml:space="preserve">Individual </w:t>
      </w:r>
      <w:r w:rsidR="003F0485">
        <w:rPr>
          <w:bCs/>
        </w:rPr>
        <w:t xml:space="preserve">plans </w:t>
      </w:r>
      <w:r w:rsidR="00042FA8">
        <w:rPr>
          <w:bCs/>
        </w:rPr>
        <w:t xml:space="preserve">contribution </w:t>
      </w:r>
      <w:r w:rsidR="003F0485">
        <w:rPr>
          <w:bCs/>
        </w:rPr>
        <w:t xml:space="preserve">limit is </w:t>
      </w:r>
      <w:r w:rsidR="00650501">
        <w:rPr>
          <w:bCs/>
        </w:rPr>
        <w:t>$4,150.</w:t>
      </w:r>
    </w:p>
    <w:p w14:paraId="4C534F93" w14:textId="5D915D6E" w:rsidR="005C747C" w:rsidRDefault="005C747C" w:rsidP="005C747C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 xml:space="preserve">Family plan contribution limit is </w:t>
      </w:r>
      <w:r w:rsidR="00650501">
        <w:rPr>
          <w:bCs/>
        </w:rPr>
        <w:t>$8,300.</w:t>
      </w:r>
    </w:p>
    <w:p w14:paraId="28C49790" w14:textId="2ED67A3F" w:rsidR="00042FA8" w:rsidRDefault="005C747C" w:rsidP="00042FA8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Over 55</w:t>
      </w:r>
      <w:r w:rsidR="00D77520">
        <w:rPr>
          <w:bCs/>
        </w:rPr>
        <w:t xml:space="preserve"> </w:t>
      </w:r>
      <w:r w:rsidR="00042FA8">
        <w:rPr>
          <w:bCs/>
        </w:rPr>
        <w:t xml:space="preserve">catchup contribution </w:t>
      </w:r>
      <w:r w:rsidR="00D77520">
        <w:rPr>
          <w:bCs/>
        </w:rPr>
        <w:t xml:space="preserve">is $1,000 (regardless of </w:t>
      </w:r>
      <w:r w:rsidR="00980F0A">
        <w:rPr>
          <w:bCs/>
        </w:rPr>
        <w:t>individual</w:t>
      </w:r>
      <w:r w:rsidR="00D77520">
        <w:rPr>
          <w:bCs/>
        </w:rPr>
        <w:t xml:space="preserve"> or family coverage</w:t>
      </w:r>
      <w:r w:rsidR="00980F0A">
        <w:rPr>
          <w:bCs/>
        </w:rPr>
        <w:t>)</w:t>
      </w:r>
    </w:p>
    <w:p w14:paraId="58EC6C77" w14:textId="7D19FCC8" w:rsidR="00D931EC" w:rsidRDefault="00D931EC" w:rsidP="00D931EC">
      <w:pPr>
        <w:spacing w:after="0"/>
        <w:ind w:left="-630" w:right="-270"/>
        <w:rPr>
          <w:b/>
        </w:rPr>
      </w:pPr>
      <w:r>
        <w:rPr>
          <w:b/>
        </w:rPr>
        <w:t>2025 Contribution Limits based on type of health insurance coverage:</w:t>
      </w:r>
    </w:p>
    <w:p w14:paraId="0109FB09" w14:textId="7C3E9492" w:rsidR="00D931EC" w:rsidRDefault="00D931EC" w:rsidP="00D931EC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 xml:space="preserve">Individual plans contribution limit is </w:t>
      </w:r>
      <w:r w:rsidR="00C83E33">
        <w:rPr>
          <w:bCs/>
        </w:rPr>
        <w:t>$4,300.</w:t>
      </w:r>
    </w:p>
    <w:p w14:paraId="76F027A9" w14:textId="335FDBBA" w:rsidR="00D931EC" w:rsidRDefault="00D931EC" w:rsidP="00D931EC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 xml:space="preserve">Family plan contribution limit is </w:t>
      </w:r>
      <w:r w:rsidR="00650501">
        <w:rPr>
          <w:bCs/>
        </w:rPr>
        <w:t>$8,550.</w:t>
      </w:r>
    </w:p>
    <w:p w14:paraId="77465D36" w14:textId="7C3BB7DE" w:rsidR="0053176F" w:rsidRDefault="00D931EC" w:rsidP="00F14146">
      <w:pPr>
        <w:pStyle w:val="ListParagraph"/>
        <w:numPr>
          <w:ilvl w:val="0"/>
          <w:numId w:val="7"/>
        </w:numPr>
        <w:spacing w:after="0"/>
        <w:ind w:right="-270"/>
        <w:rPr>
          <w:bCs/>
        </w:rPr>
      </w:pPr>
      <w:r>
        <w:rPr>
          <w:bCs/>
        </w:rPr>
        <w:t>Over 55 catchup contribution is $1,000 (regardless of individual or family coverag</w:t>
      </w:r>
      <w:r w:rsidR="000A11F6">
        <w:rPr>
          <w:bCs/>
        </w:rPr>
        <w:t xml:space="preserve">e </w:t>
      </w:r>
    </w:p>
    <w:sectPr w:rsidR="0053176F" w:rsidSect="00721746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EB01D" w14:textId="77777777" w:rsidR="00DB2D49" w:rsidRDefault="00DB2D49" w:rsidP="008D74AB">
      <w:pPr>
        <w:spacing w:after="0" w:line="240" w:lineRule="auto"/>
      </w:pPr>
      <w:r>
        <w:separator/>
      </w:r>
    </w:p>
  </w:endnote>
  <w:endnote w:type="continuationSeparator" w:id="0">
    <w:p w14:paraId="6E4FFF6E" w14:textId="77777777" w:rsidR="00DB2D49" w:rsidRDefault="00DB2D49" w:rsidP="008D74AB">
      <w:pPr>
        <w:spacing w:after="0" w:line="240" w:lineRule="auto"/>
      </w:pPr>
      <w:r>
        <w:continuationSeparator/>
      </w:r>
    </w:p>
  </w:endnote>
  <w:endnote w:type="continuationNotice" w:id="1">
    <w:p w14:paraId="3FED7AE8" w14:textId="77777777" w:rsidR="00DB2D49" w:rsidRDefault="00DB2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8A3A1E9" w14:paraId="2A896A04" w14:textId="77777777" w:rsidTr="68A3A1E9">
      <w:trPr>
        <w:trHeight w:val="300"/>
      </w:trPr>
      <w:tc>
        <w:tcPr>
          <w:tcW w:w="3120" w:type="dxa"/>
        </w:tcPr>
        <w:p w14:paraId="34ABF8DD" w14:textId="4025ABBC" w:rsidR="68A3A1E9" w:rsidRDefault="68A3A1E9" w:rsidP="68A3A1E9">
          <w:pPr>
            <w:pStyle w:val="Header"/>
            <w:ind w:left="-115"/>
          </w:pPr>
        </w:p>
      </w:tc>
      <w:tc>
        <w:tcPr>
          <w:tcW w:w="3120" w:type="dxa"/>
        </w:tcPr>
        <w:p w14:paraId="70A2D3AB" w14:textId="06AFE7B1" w:rsidR="68A3A1E9" w:rsidRDefault="68A3A1E9" w:rsidP="68A3A1E9">
          <w:pPr>
            <w:pStyle w:val="Header"/>
            <w:jc w:val="center"/>
          </w:pPr>
        </w:p>
      </w:tc>
      <w:tc>
        <w:tcPr>
          <w:tcW w:w="3120" w:type="dxa"/>
        </w:tcPr>
        <w:p w14:paraId="0B2CDAA7" w14:textId="2B8609FC" w:rsidR="68A3A1E9" w:rsidRDefault="68A3A1E9" w:rsidP="68A3A1E9">
          <w:pPr>
            <w:pStyle w:val="Header"/>
            <w:ind w:right="-115"/>
            <w:jc w:val="right"/>
          </w:pPr>
        </w:p>
      </w:tc>
    </w:tr>
  </w:tbl>
  <w:p w14:paraId="1C6CDEF8" w14:textId="056418A6" w:rsidR="00EA4696" w:rsidRDefault="00EA4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B1264" w14:textId="77777777" w:rsidR="00DB2D49" w:rsidRDefault="00DB2D49" w:rsidP="008D74AB">
      <w:pPr>
        <w:spacing w:after="0" w:line="240" w:lineRule="auto"/>
      </w:pPr>
      <w:r>
        <w:separator/>
      </w:r>
    </w:p>
  </w:footnote>
  <w:footnote w:type="continuationSeparator" w:id="0">
    <w:p w14:paraId="0348CA65" w14:textId="77777777" w:rsidR="00DB2D49" w:rsidRDefault="00DB2D49" w:rsidP="008D74AB">
      <w:pPr>
        <w:spacing w:after="0" w:line="240" w:lineRule="auto"/>
      </w:pPr>
      <w:r>
        <w:continuationSeparator/>
      </w:r>
    </w:p>
  </w:footnote>
  <w:footnote w:type="continuationNotice" w:id="1">
    <w:p w14:paraId="1EC0A9D7" w14:textId="77777777" w:rsidR="00DB2D49" w:rsidRDefault="00DB2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62BFA" w14:textId="77777777" w:rsidR="00FF730E" w:rsidRDefault="00FF730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7EB558D" wp14:editId="6A3DAA88">
          <wp:simplePos x="0" y="0"/>
          <wp:positionH relativeFrom="column">
            <wp:posOffset>-733425</wp:posOffset>
          </wp:positionH>
          <wp:positionV relativeFrom="paragraph">
            <wp:posOffset>-304800</wp:posOffset>
          </wp:positionV>
          <wp:extent cx="902208" cy="120091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Onl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208" cy="12009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wWtK9msme1+hh" int2:id="okbxRcVe">
      <int2:state int2:value="Rejected" int2:type="AugLoop_Text_Critique"/>
    </int2:textHash>
    <int2:bookmark int2:bookmarkName="_Int_rcI2HhNF" int2:invalidationBookmarkName="" int2:hashCode="6swvOAg3wceHtN" int2:id="enOoWUeE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B4600"/>
    <w:multiLevelType w:val="hybridMultilevel"/>
    <w:tmpl w:val="0478D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F420C"/>
    <w:multiLevelType w:val="hybridMultilevel"/>
    <w:tmpl w:val="0B56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7551F"/>
    <w:multiLevelType w:val="hybridMultilevel"/>
    <w:tmpl w:val="A6AED9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D6B1E"/>
    <w:multiLevelType w:val="hybridMultilevel"/>
    <w:tmpl w:val="558C4EC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4" w15:restartNumberingAfterBreak="0">
    <w:nsid w:val="39897FD8"/>
    <w:multiLevelType w:val="hybridMultilevel"/>
    <w:tmpl w:val="C646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128C6"/>
    <w:multiLevelType w:val="hybridMultilevel"/>
    <w:tmpl w:val="E450731E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6" w15:restartNumberingAfterBreak="0">
    <w:nsid w:val="590A0D29"/>
    <w:multiLevelType w:val="hybridMultilevel"/>
    <w:tmpl w:val="1F2C2300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7" w15:restartNumberingAfterBreak="0">
    <w:nsid w:val="6ABC7060"/>
    <w:multiLevelType w:val="hybridMultilevel"/>
    <w:tmpl w:val="C3621236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num w:numId="1" w16cid:durableId="84762761">
    <w:abstractNumId w:val="4"/>
  </w:num>
  <w:num w:numId="2" w16cid:durableId="1396123839">
    <w:abstractNumId w:val="0"/>
  </w:num>
  <w:num w:numId="3" w16cid:durableId="1368529813">
    <w:abstractNumId w:val="1"/>
  </w:num>
  <w:num w:numId="4" w16cid:durableId="2048018983">
    <w:abstractNumId w:val="2"/>
  </w:num>
  <w:num w:numId="5" w16cid:durableId="1347559177">
    <w:abstractNumId w:val="5"/>
  </w:num>
  <w:num w:numId="6" w16cid:durableId="621764817">
    <w:abstractNumId w:val="7"/>
  </w:num>
  <w:num w:numId="7" w16cid:durableId="1613433700">
    <w:abstractNumId w:val="3"/>
  </w:num>
  <w:num w:numId="8" w16cid:durableId="6466637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527"/>
    <w:rsid w:val="0000200B"/>
    <w:rsid w:val="000024AA"/>
    <w:rsid w:val="000044AC"/>
    <w:rsid w:val="00004835"/>
    <w:rsid w:val="00005D95"/>
    <w:rsid w:val="000115D6"/>
    <w:rsid w:val="0001259F"/>
    <w:rsid w:val="00023CCC"/>
    <w:rsid w:val="00024A9E"/>
    <w:rsid w:val="00025B57"/>
    <w:rsid w:val="00026F5A"/>
    <w:rsid w:val="000408D0"/>
    <w:rsid w:val="00040BD2"/>
    <w:rsid w:val="00041189"/>
    <w:rsid w:val="00041A9F"/>
    <w:rsid w:val="00042FA8"/>
    <w:rsid w:val="0004591D"/>
    <w:rsid w:val="00054B11"/>
    <w:rsid w:val="00056494"/>
    <w:rsid w:val="00057C10"/>
    <w:rsid w:val="00064CDB"/>
    <w:rsid w:val="00066299"/>
    <w:rsid w:val="00066727"/>
    <w:rsid w:val="00070907"/>
    <w:rsid w:val="00070E64"/>
    <w:rsid w:val="00073B78"/>
    <w:rsid w:val="0007475F"/>
    <w:rsid w:val="00074A42"/>
    <w:rsid w:val="00086F37"/>
    <w:rsid w:val="000906E1"/>
    <w:rsid w:val="00096670"/>
    <w:rsid w:val="000A11F6"/>
    <w:rsid w:val="000A449A"/>
    <w:rsid w:val="000B71A1"/>
    <w:rsid w:val="000C5F99"/>
    <w:rsid w:val="000D460D"/>
    <w:rsid w:val="000D52E0"/>
    <w:rsid w:val="000E0B06"/>
    <w:rsid w:val="000E1432"/>
    <w:rsid w:val="000E4A1C"/>
    <w:rsid w:val="000F45EB"/>
    <w:rsid w:val="001042AD"/>
    <w:rsid w:val="00112DE1"/>
    <w:rsid w:val="00113144"/>
    <w:rsid w:val="001143E5"/>
    <w:rsid w:val="001145F0"/>
    <w:rsid w:val="00117427"/>
    <w:rsid w:val="00124D90"/>
    <w:rsid w:val="001261F0"/>
    <w:rsid w:val="00126E01"/>
    <w:rsid w:val="0013016D"/>
    <w:rsid w:val="00133229"/>
    <w:rsid w:val="001572B7"/>
    <w:rsid w:val="00160512"/>
    <w:rsid w:val="001614F8"/>
    <w:rsid w:val="00165A02"/>
    <w:rsid w:val="00166955"/>
    <w:rsid w:val="00171A27"/>
    <w:rsid w:val="00173602"/>
    <w:rsid w:val="00173BE1"/>
    <w:rsid w:val="00182EAC"/>
    <w:rsid w:val="00182EDE"/>
    <w:rsid w:val="001846F7"/>
    <w:rsid w:val="00190437"/>
    <w:rsid w:val="001A5446"/>
    <w:rsid w:val="001A5B12"/>
    <w:rsid w:val="001B00DD"/>
    <w:rsid w:val="001B0F71"/>
    <w:rsid w:val="001C407D"/>
    <w:rsid w:val="001C7F4F"/>
    <w:rsid w:val="001D1FCB"/>
    <w:rsid w:val="001D4B09"/>
    <w:rsid w:val="001D5A3C"/>
    <w:rsid w:val="001D6A54"/>
    <w:rsid w:val="001E1A36"/>
    <w:rsid w:val="001E29E4"/>
    <w:rsid w:val="001E2A9B"/>
    <w:rsid w:val="001E2F72"/>
    <w:rsid w:val="001E6C43"/>
    <w:rsid w:val="001E7899"/>
    <w:rsid w:val="001E7BDF"/>
    <w:rsid w:val="001F5DB3"/>
    <w:rsid w:val="001F7DD2"/>
    <w:rsid w:val="002067A0"/>
    <w:rsid w:val="002067F9"/>
    <w:rsid w:val="00215927"/>
    <w:rsid w:val="002213DD"/>
    <w:rsid w:val="00221BF3"/>
    <w:rsid w:val="00232FDC"/>
    <w:rsid w:val="00235C3A"/>
    <w:rsid w:val="0024153E"/>
    <w:rsid w:val="0024717B"/>
    <w:rsid w:val="00252121"/>
    <w:rsid w:val="00252330"/>
    <w:rsid w:val="00254E9E"/>
    <w:rsid w:val="00256B25"/>
    <w:rsid w:val="0026017C"/>
    <w:rsid w:val="002629AD"/>
    <w:rsid w:val="00267FF3"/>
    <w:rsid w:val="002911C7"/>
    <w:rsid w:val="00295B70"/>
    <w:rsid w:val="00295C44"/>
    <w:rsid w:val="00295FB6"/>
    <w:rsid w:val="0029754E"/>
    <w:rsid w:val="002A1F2A"/>
    <w:rsid w:val="002A4C59"/>
    <w:rsid w:val="002B2779"/>
    <w:rsid w:val="002B5FB5"/>
    <w:rsid w:val="002D0313"/>
    <w:rsid w:val="002D14A3"/>
    <w:rsid w:val="002D392D"/>
    <w:rsid w:val="002F0D97"/>
    <w:rsid w:val="002F5238"/>
    <w:rsid w:val="003024A7"/>
    <w:rsid w:val="00316273"/>
    <w:rsid w:val="003203B2"/>
    <w:rsid w:val="00320A85"/>
    <w:rsid w:val="00322B66"/>
    <w:rsid w:val="00323527"/>
    <w:rsid w:val="003254CC"/>
    <w:rsid w:val="003275B2"/>
    <w:rsid w:val="003352E2"/>
    <w:rsid w:val="00340E2C"/>
    <w:rsid w:val="00344619"/>
    <w:rsid w:val="003539F3"/>
    <w:rsid w:val="00356881"/>
    <w:rsid w:val="00360911"/>
    <w:rsid w:val="00366E34"/>
    <w:rsid w:val="003737CB"/>
    <w:rsid w:val="00373D19"/>
    <w:rsid w:val="00380D5D"/>
    <w:rsid w:val="00386AAD"/>
    <w:rsid w:val="00387E86"/>
    <w:rsid w:val="00394514"/>
    <w:rsid w:val="00396D76"/>
    <w:rsid w:val="003C7E1A"/>
    <w:rsid w:val="003D52B7"/>
    <w:rsid w:val="003F0485"/>
    <w:rsid w:val="0040093D"/>
    <w:rsid w:val="00402674"/>
    <w:rsid w:val="00411782"/>
    <w:rsid w:val="00417AF6"/>
    <w:rsid w:val="00417E71"/>
    <w:rsid w:val="00423C8C"/>
    <w:rsid w:val="00424D73"/>
    <w:rsid w:val="00426CB5"/>
    <w:rsid w:val="00426D27"/>
    <w:rsid w:val="00431C5C"/>
    <w:rsid w:val="00437AA6"/>
    <w:rsid w:val="004407DD"/>
    <w:rsid w:val="00442982"/>
    <w:rsid w:val="00442D9B"/>
    <w:rsid w:val="0044441E"/>
    <w:rsid w:val="004524E9"/>
    <w:rsid w:val="00455155"/>
    <w:rsid w:val="00456C8D"/>
    <w:rsid w:val="00460248"/>
    <w:rsid w:val="00471F3A"/>
    <w:rsid w:val="00484CC1"/>
    <w:rsid w:val="00485AD1"/>
    <w:rsid w:val="00486332"/>
    <w:rsid w:val="00492211"/>
    <w:rsid w:val="00495E32"/>
    <w:rsid w:val="00495FE2"/>
    <w:rsid w:val="004A7CE1"/>
    <w:rsid w:val="004B2917"/>
    <w:rsid w:val="004B47A3"/>
    <w:rsid w:val="004C3CC8"/>
    <w:rsid w:val="004D11DE"/>
    <w:rsid w:val="004D1738"/>
    <w:rsid w:val="004D2D21"/>
    <w:rsid w:val="004D5AEA"/>
    <w:rsid w:val="004D6D33"/>
    <w:rsid w:val="004E17C2"/>
    <w:rsid w:val="004E2298"/>
    <w:rsid w:val="004E3EB4"/>
    <w:rsid w:val="004F290B"/>
    <w:rsid w:val="004F44EE"/>
    <w:rsid w:val="004F5D6F"/>
    <w:rsid w:val="004F78D5"/>
    <w:rsid w:val="00503B6A"/>
    <w:rsid w:val="00503DBC"/>
    <w:rsid w:val="00504297"/>
    <w:rsid w:val="00505948"/>
    <w:rsid w:val="00507C36"/>
    <w:rsid w:val="0052136E"/>
    <w:rsid w:val="005226EC"/>
    <w:rsid w:val="00522782"/>
    <w:rsid w:val="0053176F"/>
    <w:rsid w:val="005420AD"/>
    <w:rsid w:val="00543BB6"/>
    <w:rsid w:val="00545A0D"/>
    <w:rsid w:val="00551E01"/>
    <w:rsid w:val="00560F4F"/>
    <w:rsid w:val="00562015"/>
    <w:rsid w:val="00563541"/>
    <w:rsid w:val="005665DB"/>
    <w:rsid w:val="0057328E"/>
    <w:rsid w:val="00576A10"/>
    <w:rsid w:val="00580614"/>
    <w:rsid w:val="00587C5F"/>
    <w:rsid w:val="00593A5D"/>
    <w:rsid w:val="00596783"/>
    <w:rsid w:val="00597A0D"/>
    <w:rsid w:val="005A0FE1"/>
    <w:rsid w:val="005A1F15"/>
    <w:rsid w:val="005B035C"/>
    <w:rsid w:val="005B26CF"/>
    <w:rsid w:val="005B60C6"/>
    <w:rsid w:val="005B7FBC"/>
    <w:rsid w:val="005C42A2"/>
    <w:rsid w:val="005C747C"/>
    <w:rsid w:val="005D161A"/>
    <w:rsid w:val="005D7323"/>
    <w:rsid w:val="005E5F26"/>
    <w:rsid w:val="005F6DEE"/>
    <w:rsid w:val="00600558"/>
    <w:rsid w:val="006078AC"/>
    <w:rsid w:val="00620E86"/>
    <w:rsid w:val="006240EF"/>
    <w:rsid w:val="006242EB"/>
    <w:rsid w:val="006329DE"/>
    <w:rsid w:val="00641547"/>
    <w:rsid w:val="006417AD"/>
    <w:rsid w:val="006440CC"/>
    <w:rsid w:val="006455E5"/>
    <w:rsid w:val="00646F64"/>
    <w:rsid w:val="00650501"/>
    <w:rsid w:val="00650E12"/>
    <w:rsid w:val="0065211F"/>
    <w:rsid w:val="006563BB"/>
    <w:rsid w:val="0066614E"/>
    <w:rsid w:val="00670A62"/>
    <w:rsid w:val="00674063"/>
    <w:rsid w:val="00674C43"/>
    <w:rsid w:val="00681207"/>
    <w:rsid w:val="00682223"/>
    <w:rsid w:val="006871BC"/>
    <w:rsid w:val="00690EF5"/>
    <w:rsid w:val="00693DD6"/>
    <w:rsid w:val="006A5C3E"/>
    <w:rsid w:val="006A6BE7"/>
    <w:rsid w:val="006B3416"/>
    <w:rsid w:val="006B50F7"/>
    <w:rsid w:val="006D0BD7"/>
    <w:rsid w:val="006D3B90"/>
    <w:rsid w:val="006E0DE0"/>
    <w:rsid w:val="006E25CE"/>
    <w:rsid w:val="006E2BCA"/>
    <w:rsid w:val="006E3972"/>
    <w:rsid w:val="006F35ED"/>
    <w:rsid w:val="006F5E81"/>
    <w:rsid w:val="00703142"/>
    <w:rsid w:val="00706EF2"/>
    <w:rsid w:val="007121B8"/>
    <w:rsid w:val="0071460C"/>
    <w:rsid w:val="00721746"/>
    <w:rsid w:val="007258E1"/>
    <w:rsid w:val="0072619E"/>
    <w:rsid w:val="007279B6"/>
    <w:rsid w:val="00730F5F"/>
    <w:rsid w:val="00733067"/>
    <w:rsid w:val="00735B08"/>
    <w:rsid w:val="00735C3B"/>
    <w:rsid w:val="007438F2"/>
    <w:rsid w:val="00747795"/>
    <w:rsid w:val="00754D88"/>
    <w:rsid w:val="007657D9"/>
    <w:rsid w:val="00770CB2"/>
    <w:rsid w:val="007752EE"/>
    <w:rsid w:val="00776437"/>
    <w:rsid w:val="007948C6"/>
    <w:rsid w:val="007A7384"/>
    <w:rsid w:val="007A79C6"/>
    <w:rsid w:val="007B01FE"/>
    <w:rsid w:val="007B1205"/>
    <w:rsid w:val="007B225E"/>
    <w:rsid w:val="007B6278"/>
    <w:rsid w:val="007B7203"/>
    <w:rsid w:val="007C0BF6"/>
    <w:rsid w:val="007C3C7A"/>
    <w:rsid w:val="007C4F9A"/>
    <w:rsid w:val="007C555B"/>
    <w:rsid w:val="007D38B2"/>
    <w:rsid w:val="007D3D1A"/>
    <w:rsid w:val="007E3D1E"/>
    <w:rsid w:val="007E64ED"/>
    <w:rsid w:val="007E7BDF"/>
    <w:rsid w:val="007F4B6B"/>
    <w:rsid w:val="008072F6"/>
    <w:rsid w:val="00810B22"/>
    <w:rsid w:val="008118CA"/>
    <w:rsid w:val="00814593"/>
    <w:rsid w:val="0081673A"/>
    <w:rsid w:val="0081739A"/>
    <w:rsid w:val="00824456"/>
    <w:rsid w:val="0082772C"/>
    <w:rsid w:val="00831203"/>
    <w:rsid w:val="008455E0"/>
    <w:rsid w:val="00845D0A"/>
    <w:rsid w:val="00846EDD"/>
    <w:rsid w:val="0085794A"/>
    <w:rsid w:val="00862236"/>
    <w:rsid w:val="0086541A"/>
    <w:rsid w:val="00867222"/>
    <w:rsid w:val="00872773"/>
    <w:rsid w:val="00873547"/>
    <w:rsid w:val="008755CF"/>
    <w:rsid w:val="0088030C"/>
    <w:rsid w:val="00882D71"/>
    <w:rsid w:val="00895F79"/>
    <w:rsid w:val="00896A0E"/>
    <w:rsid w:val="00897038"/>
    <w:rsid w:val="008A0FF0"/>
    <w:rsid w:val="008A6903"/>
    <w:rsid w:val="008A7D61"/>
    <w:rsid w:val="008C2006"/>
    <w:rsid w:val="008C6C28"/>
    <w:rsid w:val="008D1547"/>
    <w:rsid w:val="008D3034"/>
    <w:rsid w:val="008D74AB"/>
    <w:rsid w:val="008E3368"/>
    <w:rsid w:val="008E39D4"/>
    <w:rsid w:val="008F27A6"/>
    <w:rsid w:val="008F3AE2"/>
    <w:rsid w:val="008F5276"/>
    <w:rsid w:val="00912799"/>
    <w:rsid w:val="00916798"/>
    <w:rsid w:val="00920BB9"/>
    <w:rsid w:val="00922321"/>
    <w:rsid w:val="009343F2"/>
    <w:rsid w:val="00943F01"/>
    <w:rsid w:val="0094519A"/>
    <w:rsid w:val="00946865"/>
    <w:rsid w:val="0094795E"/>
    <w:rsid w:val="00963088"/>
    <w:rsid w:val="00963E59"/>
    <w:rsid w:val="00964B2E"/>
    <w:rsid w:val="0097654E"/>
    <w:rsid w:val="0097717E"/>
    <w:rsid w:val="00977738"/>
    <w:rsid w:val="00980F0A"/>
    <w:rsid w:val="00984ED0"/>
    <w:rsid w:val="009A2240"/>
    <w:rsid w:val="009A7D3A"/>
    <w:rsid w:val="009B12E5"/>
    <w:rsid w:val="009B39D8"/>
    <w:rsid w:val="009B4A8C"/>
    <w:rsid w:val="009B78DB"/>
    <w:rsid w:val="009C1B89"/>
    <w:rsid w:val="009C2423"/>
    <w:rsid w:val="009C260C"/>
    <w:rsid w:val="009C3360"/>
    <w:rsid w:val="009C3649"/>
    <w:rsid w:val="009C4331"/>
    <w:rsid w:val="009C7B2B"/>
    <w:rsid w:val="009D162E"/>
    <w:rsid w:val="009F00B7"/>
    <w:rsid w:val="009F0A51"/>
    <w:rsid w:val="009F21B4"/>
    <w:rsid w:val="009F57AA"/>
    <w:rsid w:val="00A00304"/>
    <w:rsid w:val="00A03879"/>
    <w:rsid w:val="00A07CB6"/>
    <w:rsid w:val="00A116EE"/>
    <w:rsid w:val="00A20090"/>
    <w:rsid w:val="00A230E8"/>
    <w:rsid w:val="00A23388"/>
    <w:rsid w:val="00A243FC"/>
    <w:rsid w:val="00A31054"/>
    <w:rsid w:val="00A312E4"/>
    <w:rsid w:val="00A3141A"/>
    <w:rsid w:val="00A42729"/>
    <w:rsid w:val="00A45EAC"/>
    <w:rsid w:val="00A5378C"/>
    <w:rsid w:val="00A76EC2"/>
    <w:rsid w:val="00A82553"/>
    <w:rsid w:val="00A84DDD"/>
    <w:rsid w:val="00A86DF7"/>
    <w:rsid w:val="00A945B5"/>
    <w:rsid w:val="00AA5C20"/>
    <w:rsid w:val="00AB0288"/>
    <w:rsid w:val="00AB32B5"/>
    <w:rsid w:val="00AB3709"/>
    <w:rsid w:val="00AC78DA"/>
    <w:rsid w:val="00AD24E6"/>
    <w:rsid w:val="00AD3632"/>
    <w:rsid w:val="00AD4F35"/>
    <w:rsid w:val="00AD6CE5"/>
    <w:rsid w:val="00AE783C"/>
    <w:rsid w:val="00AE7DD2"/>
    <w:rsid w:val="00AF2F47"/>
    <w:rsid w:val="00B100A9"/>
    <w:rsid w:val="00B10B9B"/>
    <w:rsid w:val="00B1781C"/>
    <w:rsid w:val="00B26F1D"/>
    <w:rsid w:val="00B34335"/>
    <w:rsid w:val="00B34671"/>
    <w:rsid w:val="00B374CC"/>
    <w:rsid w:val="00B55CBD"/>
    <w:rsid w:val="00B70569"/>
    <w:rsid w:val="00B76B5D"/>
    <w:rsid w:val="00B76F46"/>
    <w:rsid w:val="00B81A14"/>
    <w:rsid w:val="00B9757E"/>
    <w:rsid w:val="00BA02C8"/>
    <w:rsid w:val="00BA0601"/>
    <w:rsid w:val="00BA17CE"/>
    <w:rsid w:val="00BA3BBA"/>
    <w:rsid w:val="00BB50F4"/>
    <w:rsid w:val="00BB5CDA"/>
    <w:rsid w:val="00BC0FBB"/>
    <w:rsid w:val="00BD2DA8"/>
    <w:rsid w:val="00BD7928"/>
    <w:rsid w:val="00BE6ADE"/>
    <w:rsid w:val="00BF3DA0"/>
    <w:rsid w:val="00BF7235"/>
    <w:rsid w:val="00C005AF"/>
    <w:rsid w:val="00C008DE"/>
    <w:rsid w:val="00C1789E"/>
    <w:rsid w:val="00C25AC5"/>
    <w:rsid w:val="00C35C50"/>
    <w:rsid w:val="00C3661D"/>
    <w:rsid w:val="00C41DC5"/>
    <w:rsid w:val="00C42A25"/>
    <w:rsid w:val="00C50AA0"/>
    <w:rsid w:val="00C618A3"/>
    <w:rsid w:val="00C64884"/>
    <w:rsid w:val="00C72D5C"/>
    <w:rsid w:val="00C77F69"/>
    <w:rsid w:val="00C83E33"/>
    <w:rsid w:val="00C87B5F"/>
    <w:rsid w:val="00C87BB5"/>
    <w:rsid w:val="00C92C03"/>
    <w:rsid w:val="00C952BB"/>
    <w:rsid w:val="00CA38B2"/>
    <w:rsid w:val="00CB0AEA"/>
    <w:rsid w:val="00CB58B7"/>
    <w:rsid w:val="00CB722D"/>
    <w:rsid w:val="00CB7CE3"/>
    <w:rsid w:val="00CC45B0"/>
    <w:rsid w:val="00CC79EF"/>
    <w:rsid w:val="00CD010B"/>
    <w:rsid w:val="00CD0F5A"/>
    <w:rsid w:val="00CD64ED"/>
    <w:rsid w:val="00CE0797"/>
    <w:rsid w:val="00CE0FD3"/>
    <w:rsid w:val="00CF1199"/>
    <w:rsid w:val="00CF2EF0"/>
    <w:rsid w:val="00CF3C7C"/>
    <w:rsid w:val="00CF4261"/>
    <w:rsid w:val="00CF4EFF"/>
    <w:rsid w:val="00CF7239"/>
    <w:rsid w:val="00D116B9"/>
    <w:rsid w:val="00D305F0"/>
    <w:rsid w:val="00D31DAF"/>
    <w:rsid w:val="00D3316B"/>
    <w:rsid w:val="00D41E64"/>
    <w:rsid w:val="00D43376"/>
    <w:rsid w:val="00D57D7A"/>
    <w:rsid w:val="00D65792"/>
    <w:rsid w:val="00D71526"/>
    <w:rsid w:val="00D74BBE"/>
    <w:rsid w:val="00D77520"/>
    <w:rsid w:val="00D77961"/>
    <w:rsid w:val="00D84E42"/>
    <w:rsid w:val="00D931EC"/>
    <w:rsid w:val="00D945CF"/>
    <w:rsid w:val="00D96B78"/>
    <w:rsid w:val="00DA435F"/>
    <w:rsid w:val="00DA7010"/>
    <w:rsid w:val="00DB2D49"/>
    <w:rsid w:val="00DB2FD2"/>
    <w:rsid w:val="00DB3A9E"/>
    <w:rsid w:val="00DB4C46"/>
    <w:rsid w:val="00DC28E2"/>
    <w:rsid w:val="00DC381D"/>
    <w:rsid w:val="00DC3970"/>
    <w:rsid w:val="00DC4FDC"/>
    <w:rsid w:val="00DC66EB"/>
    <w:rsid w:val="00DD089F"/>
    <w:rsid w:val="00DD0EAF"/>
    <w:rsid w:val="00DD6E60"/>
    <w:rsid w:val="00DE2B18"/>
    <w:rsid w:val="00DF6D61"/>
    <w:rsid w:val="00DF7ABA"/>
    <w:rsid w:val="00E04207"/>
    <w:rsid w:val="00E043E9"/>
    <w:rsid w:val="00E05BD9"/>
    <w:rsid w:val="00E07862"/>
    <w:rsid w:val="00E11F9A"/>
    <w:rsid w:val="00E15673"/>
    <w:rsid w:val="00E21BBA"/>
    <w:rsid w:val="00E21C9B"/>
    <w:rsid w:val="00E26E12"/>
    <w:rsid w:val="00E3323F"/>
    <w:rsid w:val="00E3667A"/>
    <w:rsid w:val="00E37DE9"/>
    <w:rsid w:val="00E41729"/>
    <w:rsid w:val="00E44908"/>
    <w:rsid w:val="00E50405"/>
    <w:rsid w:val="00E52DB5"/>
    <w:rsid w:val="00E565B5"/>
    <w:rsid w:val="00E6164A"/>
    <w:rsid w:val="00E63D97"/>
    <w:rsid w:val="00E67093"/>
    <w:rsid w:val="00E67171"/>
    <w:rsid w:val="00E72F28"/>
    <w:rsid w:val="00E81970"/>
    <w:rsid w:val="00E82D78"/>
    <w:rsid w:val="00E912F0"/>
    <w:rsid w:val="00EA0C69"/>
    <w:rsid w:val="00EA1B63"/>
    <w:rsid w:val="00EA4696"/>
    <w:rsid w:val="00EA5116"/>
    <w:rsid w:val="00EA7E40"/>
    <w:rsid w:val="00EB1BDA"/>
    <w:rsid w:val="00EB61A5"/>
    <w:rsid w:val="00EC04F7"/>
    <w:rsid w:val="00EC1546"/>
    <w:rsid w:val="00EC1E6F"/>
    <w:rsid w:val="00EC2B37"/>
    <w:rsid w:val="00EC4B07"/>
    <w:rsid w:val="00ED245A"/>
    <w:rsid w:val="00ED6C94"/>
    <w:rsid w:val="00EE458B"/>
    <w:rsid w:val="00EE4E43"/>
    <w:rsid w:val="00EF47D0"/>
    <w:rsid w:val="00EF7459"/>
    <w:rsid w:val="00EF755B"/>
    <w:rsid w:val="00F0237C"/>
    <w:rsid w:val="00F05D03"/>
    <w:rsid w:val="00F0713A"/>
    <w:rsid w:val="00F138A7"/>
    <w:rsid w:val="00F14146"/>
    <w:rsid w:val="00F209B2"/>
    <w:rsid w:val="00F23A88"/>
    <w:rsid w:val="00F256F1"/>
    <w:rsid w:val="00F27349"/>
    <w:rsid w:val="00F3439D"/>
    <w:rsid w:val="00F354F3"/>
    <w:rsid w:val="00F35BEC"/>
    <w:rsid w:val="00F375A1"/>
    <w:rsid w:val="00F37DA8"/>
    <w:rsid w:val="00F44764"/>
    <w:rsid w:val="00F44B4F"/>
    <w:rsid w:val="00F44C31"/>
    <w:rsid w:val="00F46E28"/>
    <w:rsid w:val="00F53FE7"/>
    <w:rsid w:val="00F541DB"/>
    <w:rsid w:val="00F555C3"/>
    <w:rsid w:val="00F57A91"/>
    <w:rsid w:val="00F71799"/>
    <w:rsid w:val="00F86401"/>
    <w:rsid w:val="00F9561B"/>
    <w:rsid w:val="00FA0D70"/>
    <w:rsid w:val="00FA2985"/>
    <w:rsid w:val="00FA4165"/>
    <w:rsid w:val="00FB1AD7"/>
    <w:rsid w:val="00FB51EC"/>
    <w:rsid w:val="00FB5D2F"/>
    <w:rsid w:val="00FC1821"/>
    <w:rsid w:val="00FC3118"/>
    <w:rsid w:val="00FC4D22"/>
    <w:rsid w:val="00FC7877"/>
    <w:rsid w:val="00FD0412"/>
    <w:rsid w:val="00FD2A8D"/>
    <w:rsid w:val="00FD6CB2"/>
    <w:rsid w:val="00FE2FE5"/>
    <w:rsid w:val="00FE5017"/>
    <w:rsid w:val="00FE5CE4"/>
    <w:rsid w:val="00FF01FE"/>
    <w:rsid w:val="00FF730E"/>
    <w:rsid w:val="11A9B4A4"/>
    <w:rsid w:val="2F77CC77"/>
    <w:rsid w:val="47DD3EBC"/>
    <w:rsid w:val="68A3A1E9"/>
    <w:rsid w:val="749E8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FEBBB6"/>
  <w15:chartTrackingRefBased/>
  <w15:docId w15:val="{33FBD5F1-032F-4A56-B3D6-2835334A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27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3527"/>
    <w:pPr>
      <w:ind w:left="720"/>
      <w:contextualSpacing/>
    </w:pPr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323527"/>
    <w:rPr>
      <w:rFonts w:cs="Times New Roman"/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23527"/>
    <w:pPr>
      <w:tabs>
        <w:tab w:val="center" w:pos="4680"/>
        <w:tab w:val="right" w:pos="9360"/>
      </w:tabs>
      <w:spacing w:after="0" w:line="240" w:lineRule="auto"/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323527"/>
    <w:rPr>
      <w:rFonts w:eastAsiaTheme="minorEastAsia" w:cs="Times New Roman"/>
    </w:rPr>
  </w:style>
  <w:style w:type="paragraph" w:styleId="Header">
    <w:name w:val="header"/>
    <w:basedOn w:val="Normal"/>
    <w:link w:val="HeaderChar"/>
    <w:uiPriority w:val="99"/>
    <w:unhideWhenUsed/>
    <w:rsid w:val="008D7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4AB"/>
  </w:style>
  <w:style w:type="character" w:customStyle="1" w:styleId="Heading2Char">
    <w:name w:val="Heading 2 Char"/>
    <w:basedOn w:val="DefaultParagraphFont"/>
    <w:link w:val="Heading2"/>
    <w:uiPriority w:val="9"/>
    <w:rsid w:val="003275B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6F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F6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E25C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EA46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30a2ae3-568b-4c25-995e-729410db64d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A8B0BA6E707644A4957228E6F69AF5" ma:contentTypeVersion="14" ma:contentTypeDescription="Create a new document." ma:contentTypeScope="" ma:versionID="5292d7d42a51d89df0229bcf3fc013ea">
  <xsd:schema xmlns:xsd="http://www.w3.org/2001/XMLSchema" xmlns:xs="http://www.w3.org/2001/XMLSchema" xmlns:p="http://schemas.microsoft.com/office/2006/metadata/properties" xmlns:ns3="830a2ae3-568b-4c25-995e-729410db64d7" xmlns:ns4="94027b08-ef52-4090-83d0-e4300834254a" targetNamespace="http://schemas.microsoft.com/office/2006/metadata/properties" ma:root="true" ma:fieldsID="a4cefe5b58498c486499b051036c7880" ns3:_="" ns4:_="">
    <xsd:import namespace="830a2ae3-568b-4c25-995e-729410db64d7"/>
    <xsd:import namespace="94027b08-ef52-4090-83d0-e430083425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a2ae3-568b-4c25-995e-729410db6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27b08-ef52-4090-83d0-e430083425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92644-8714-44E1-A1F1-A85057A4C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90D37-EF9F-47FB-937D-BABD88E95440}">
  <ds:schemaRefs>
    <ds:schemaRef ds:uri="http://purl.org/dc/dcmitype/"/>
    <ds:schemaRef ds:uri="http://purl.org/dc/terms/"/>
    <ds:schemaRef ds:uri="http://purl.org/dc/elements/1.1/"/>
    <ds:schemaRef ds:uri="830a2ae3-568b-4c25-995e-729410db64d7"/>
    <ds:schemaRef ds:uri="http://schemas.microsoft.com/office/2006/documentManagement/types"/>
    <ds:schemaRef ds:uri="http://www.w3.org/XML/1998/namespace"/>
    <ds:schemaRef ds:uri="94027b08-ef52-4090-83d0-e4300834254a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366012E-71B5-4181-8ED5-0EEA02ECF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a2ae3-568b-4c25-995e-729410db64d7"/>
    <ds:schemaRef ds:uri="94027b08-ef52-4090-83d0-e430083425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Company>Thomson Reuters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 Rivers</dc:creator>
  <cp:keywords/>
  <dc:description/>
  <cp:lastModifiedBy>Rich Rivers</cp:lastModifiedBy>
  <cp:revision>2</cp:revision>
  <cp:lastPrinted>2025-02-05T16:58:00Z</cp:lastPrinted>
  <dcterms:created xsi:type="dcterms:W3CDTF">2025-02-10T19:56:00Z</dcterms:created>
  <dcterms:modified xsi:type="dcterms:W3CDTF">2025-02-10T19:56:00Z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0x010100CBA8B0BA6E707644A4957228E6F69AF5</vt:lpwstr>
  </property>
</Properties>
</file>