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  <w:t xml:space="preserve">This message is best listened to near moving water. This could be a river, the seaside, or as simple as a running tap (be mindful, though, and don’t let it go to waste).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Common misconception: the first you hear of the dragon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Is the beating of its wings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And the crackle of fire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Burning woodland, panicked deer,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He flies in on massive wings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And burns down your home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You’re lucky if you escape,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Luckier yet if you don’t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It starts with the low roar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A rumble, like far-off thunder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Building, building, building up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Higher, look up, look, up there, 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But the dragon comes from below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From ahead, from the side, from around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He rushes downriver, down, down,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Enormous maw wide open, tail swinging,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Left and right, up and down, 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Making waves, making waves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The dragon rides in on waves like the surf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He is the wave, he is the tide,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Commanded by the moon and gravity,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He comes from the sea, country of water,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And seeks your land for his own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He seeks your treasure for his love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He retreats laden with trinkets and shells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He brings them into her waiting arms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And she buries them deep underwater,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Deep in the sea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Common misconception: Dragons are beings of fire.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Severn Dragon has no need for heat,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He dives deep below in the river,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Nose to the mud, nose in the seaweed,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He loves the moon more than the sun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She makes his eyes shine ice-blue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And the crown of his head white like snow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His scales shimmer blue-and-brown-and-green,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Sea-treasures adorn his wings.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To survive the dragon: 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One, build strong walls,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Two, avoid the shore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Three, stand your ground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He’ll pass by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And you’ll pick up the pieces.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