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Hlk171596798" w:displacedByCustomXml="next"/>
    <w:bookmarkEnd w:id="0" w:displacedByCustomXml="next"/>
    <w:sdt>
      <w:sdtPr>
        <w:rPr>
          <w:rFonts w:cstheme="minorBidi"/>
          <w:b w:val="0"/>
          <w:bCs w:val="0"/>
          <w:caps w:val="0"/>
          <w:sz w:val="22"/>
          <w:szCs w:val="22"/>
          <w:lang w:val="en-US"/>
        </w:rPr>
        <w:id w:val="-85617271"/>
        <w:docPartObj>
          <w:docPartGallery w:val="Table of Contents"/>
          <w:docPartUnique/>
        </w:docPartObj>
      </w:sdtPr>
      <w:sdtContent>
        <w:p w14:paraId="07081194" w14:textId="2FBBE630" w:rsidR="00397EE8" w:rsidRDefault="00397EE8" w:rsidP="002C6C89">
          <w:pPr>
            <w:pStyle w:val="TM1"/>
            <w:rPr>
              <w:lang w:val="en-US"/>
            </w:rPr>
          </w:pPr>
        </w:p>
        <w:p w14:paraId="5B97223F" w14:textId="77777777" w:rsidR="00397EE8" w:rsidRDefault="00397EE8" w:rsidP="00397EE8">
          <w:pPr>
            <w:pStyle w:val="Titre"/>
            <w:jc w:val="left"/>
            <w:rPr>
              <w:lang w:val="en-US"/>
            </w:rPr>
          </w:pPr>
        </w:p>
        <w:p w14:paraId="5009AFAA" w14:textId="77777777" w:rsidR="00397EE8" w:rsidRDefault="00397EE8" w:rsidP="00397EE8">
          <w:pPr>
            <w:pStyle w:val="Titre"/>
            <w:jc w:val="left"/>
            <w:rPr>
              <w:lang w:val="en-US"/>
            </w:rPr>
          </w:pPr>
        </w:p>
        <w:p w14:paraId="394FA9D7" w14:textId="3B880D99" w:rsidR="00107D57" w:rsidRDefault="004A50D7" w:rsidP="00397EE8">
          <w:pPr>
            <w:pStyle w:val="Titre"/>
            <w:jc w:val="left"/>
            <w:rPr>
              <w:rFonts w:eastAsiaTheme="minorHAnsi" w:cstheme="minorBidi"/>
              <w:color w:val="auto"/>
              <w:spacing w:val="0"/>
              <w:kern w:val="0"/>
              <w:sz w:val="32"/>
              <w:szCs w:val="36"/>
              <w:lang w:val="en-US"/>
            </w:rPr>
          </w:pPr>
          <w:bookmarkStart w:id="1" w:name="_Toc169706779"/>
          <w:r w:rsidRPr="004A50D7">
            <w:rPr>
              <w:rFonts w:eastAsiaTheme="minorHAnsi" w:cstheme="minorBidi"/>
              <w:color w:val="auto"/>
              <w:spacing w:val="0"/>
              <w:kern w:val="0"/>
              <w:sz w:val="32"/>
              <w:szCs w:val="36"/>
              <w:lang w:val="en-US"/>
            </w:rPr>
            <w:t>Corporate Climate Governance: Climate Risk Scenario Analysis, Action Plan (Transition Plan) and Initial Climate Risk Disclosure for CJSC Azerbaijan Caspian Shipping Company</w:t>
          </w:r>
        </w:p>
        <w:p w14:paraId="3C7FCAEA" w14:textId="77777777" w:rsidR="00093EE9" w:rsidRDefault="00093EE9" w:rsidP="00093EE9">
          <w:pPr>
            <w:rPr>
              <w:lang w:val="en-US"/>
            </w:rPr>
          </w:pPr>
        </w:p>
        <w:p w14:paraId="54AA8C78" w14:textId="77777777" w:rsidR="00093EE9" w:rsidRPr="00093EE9" w:rsidRDefault="00093EE9" w:rsidP="00690D20">
          <w:pPr>
            <w:rPr>
              <w:lang w:val="en-US"/>
            </w:rPr>
          </w:pPr>
        </w:p>
        <w:p w14:paraId="1EA4F25D" w14:textId="2BCC900B" w:rsidR="00397EE8" w:rsidRPr="00690D20" w:rsidRDefault="00397EE8" w:rsidP="00397EE8">
          <w:pPr>
            <w:pStyle w:val="Titre"/>
            <w:jc w:val="left"/>
            <w:rPr>
              <w:sz w:val="32"/>
              <w:szCs w:val="48"/>
              <w:lang w:val="en-US"/>
            </w:rPr>
          </w:pPr>
          <w:r w:rsidRPr="00690D20">
            <w:rPr>
              <w:noProof/>
              <w:sz w:val="32"/>
              <w:szCs w:val="48"/>
              <w:lang w:val="en-US" w:eastAsia="fr-FR"/>
            </w:rPr>
            <w:drawing>
              <wp:anchor distT="0" distB="0" distL="114300" distR="114300" simplePos="0" relativeHeight="251658240" behindDoc="0" locked="1" layoutInCell="1" allowOverlap="1" wp14:anchorId="5112D4F6" wp14:editId="6C2953FE">
                <wp:simplePos x="0" y="0"/>
                <wp:positionH relativeFrom="page">
                  <wp:posOffset>-68580</wp:posOffset>
                </wp:positionH>
                <wp:positionV relativeFrom="page">
                  <wp:posOffset>5662295</wp:posOffset>
                </wp:positionV>
                <wp:extent cx="7644130" cy="278447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emf"/>
                        <pic:cNvPicPr/>
                      </pic:nvPicPr>
                      <pic:blipFill>
                        <a:blip r:embed="rId11">
                          <a:extLst>
                            <a:ext uri="{28A0092B-C50C-407E-A947-70E740481C1C}">
                              <a14:useLocalDpi xmlns:a14="http://schemas.microsoft.com/office/drawing/2010/main" val="0"/>
                            </a:ext>
                          </a:extLst>
                        </a:blip>
                        <a:stretch>
                          <a:fillRect/>
                        </a:stretch>
                      </pic:blipFill>
                      <pic:spPr>
                        <a:xfrm>
                          <a:off x="0" y="0"/>
                          <a:ext cx="7644130" cy="2784475"/>
                        </a:xfrm>
                        <a:prstGeom prst="rect">
                          <a:avLst/>
                        </a:prstGeom>
                      </pic:spPr>
                    </pic:pic>
                  </a:graphicData>
                </a:graphic>
              </wp:anchor>
            </w:drawing>
          </w:r>
          <w:bookmarkStart w:id="2" w:name="_Toc169706780"/>
          <w:bookmarkEnd w:id="1"/>
          <w:r w:rsidR="00E03E71" w:rsidRPr="00690D20">
            <w:rPr>
              <w:sz w:val="32"/>
              <w:szCs w:val="48"/>
              <w:lang w:val="en-US"/>
            </w:rPr>
            <w:t xml:space="preserve">Task </w:t>
          </w:r>
          <w:r w:rsidR="003C0837" w:rsidRPr="00690D20">
            <w:rPr>
              <w:sz w:val="32"/>
              <w:szCs w:val="48"/>
              <w:lang w:val="en-US"/>
            </w:rPr>
            <w:t>2</w:t>
          </w:r>
          <w:r w:rsidR="00E03E71" w:rsidRPr="00690D20">
            <w:rPr>
              <w:sz w:val="32"/>
              <w:szCs w:val="48"/>
              <w:lang w:val="en-US"/>
            </w:rPr>
            <w:t xml:space="preserve">. </w:t>
          </w:r>
          <w:bookmarkEnd w:id="2"/>
          <w:r w:rsidR="003C0837" w:rsidRPr="00690D20">
            <w:rPr>
              <w:sz w:val="32"/>
              <w:szCs w:val="48"/>
              <w:lang w:val="en-US"/>
            </w:rPr>
            <w:t>Assessment of climate related risks and opportunities</w:t>
          </w:r>
        </w:p>
        <w:p w14:paraId="313F6AB9" w14:textId="77777777" w:rsidR="00747CB6" w:rsidRPr="00367C0B" w:rsidRDefault="00747CB6" w:rsidP="00747CB6">
          <w:pPr>
            <w:rPr>
              <w:lang w:val="en-US"/>
            </w:rPr>
          </w:pPr>
        </w:p>
        <w:p w14:paraId="68EE01A3" w14:textId="44AB6360" w:rsidR="00747CB6" w:rsidRPr="00FC6538" w:rsidRDefault="00093EE9" w:rsidP="00747CB6">
          <w:pPr>
            <w:rPr>
              <w:sz w:val="18"/>
              <w:szCs w:val="18"/>
              <w:lang w:val="en-US"/>
            </w:rPr>
          </w:pPr>
          <w:r>
            <w:rPr>
              <w:b/>
              <w:bCs/>
              <w:sz w:val="24"/>
              <w:szCs w:val="24"/>
              <w:lang w:val="en-US"/>
            </w:rPr>
            <w:t xml:space="preserve">Draft Report - </w:t>
          </w:r>
          <w:r w:rsidR="004B7EE6" w:rsidRPr="00FC6538">
            <w:rPr>
              <w:b/>
              <w:bCs/>
              <w:sz w:val="24"/>
              <w:szCs w:val="24"/>
              <w:lang w:val="en-US"/>
            </w:rPr>
            <w:t xml:space="preserve">December </w:t>
          </w:r>
          <w:r w:rsidR="00747CB6" w:rsidRPr="00FC6538">
            <w:rPr>
              <w:b/>
              <w:bCs/>
              <w:sz w:val="24"/>
              <w:szCs w:val="24"/>
              <w:lang w:val="en-US"/>
            </w:rPr>
            <w:t xml:space="preserve">2024 </w:t>
          </w:r>
          <w:r w:rsidRPr="00FC6538">
            <w:rPr>
              <w:b/>
              <w:bCs/>
              <w:sz w:val="24"/>
              <w:szCs w:val="24"/>
              <w:lang w:val="en-US"/>
            </w:rPr>
            <w:t>- Confidential</w:t>
          </w:r>
        </w:p>
        <w:p w14:paraId="4DE280D6" w14:textId="77777777" w:rsidR="00397EE8" w:rsidRPr="00A5530E" w:rsidRDefault="00397EE8" w:rsidP="00397EE8">
          <w:pPr>
            <w:rPr>
              <w:lang w:val="en-US"/>
            </w:rPr>
          </w:pPr>
        </w:p>
        <w:p w14:paraId="6618F922" w14:textId="19EEC76E" w:rsidR="004814E6" w:rsidRPr="00A5530E" w:rsidRDefault="00397EE8">
          <w:pPr>
            <w:rPr>
              <w:vertAlign w:val="superscript"/>
              <w:lang w:val="en-US"/>
            </w:rPr>
          </w:pPr>
          <w:r w:rsidRPr="00A5530E">
            <w:rPr>
              <w:vertAlign w:val="superscript"/>
              <w:lang w:val="en-US"/>
            </w:rPr>
            <w:br w:type="page"/>
          </w:r>
        </w:p>
      </w:sdtContent>
    </w:sdt>
    <w:p w14:paraId="29753D61" w14:textId="163019F9" w:rsidR="00EF267F" w:rsidRPr="00A5530E" w:rsidRDefault="00E1150B" w:rsidP="00EE419A">
      <w:pPr>
        <w:pStyle w:val="Titre1"/>
        <w:rPr>
          <w:lang w:val="en-US"/>
        </w:rPr>
      </w:pPr>
      <w:bookmarkStart w:id="3" w:name="_Hlk170140018"/>
      <w:bookmarkStart w:id="4" w:name="_Toc183015084"/>
      <w:r w:rsidRPr="00A5530E">
        <w:rPr>
          <w:lang w:val="en-US"/>
        </w:rPr>
        <w:lastRenderedPageBreak/>
        <w:t>Content of this report</w:t>
      </w:r>
      <w:bookmarkEnd w:id="3"/>
      <w:bookmarkEnd w:id="4"/>
      <w:r w:rsidR="00D91782" w:rsidRPr="00A5530E">
        <w:rPr>
          <w:lang w:val="en-US"/>
        </w:rPr>
        <w:tab/>
      </w:r>
    </w:p>
    <w:sdt>
      <w:sdtPr>
        <w:rPr>
          <w:rFonts w:ascii="EYInterstate Light" w:eastAsiaTheme="minorEastAsia" w:hAnsi="EYInterstate Light" w:cstheme="minorBidi"/>
          <w:color w:val="auto"/>
          <w:spacing w:val="0"/>
          <w:kern w:val="0"/>
          <w:sz w:val="22"/>
          <w:szCs w:val="22"/>
          <w:lang w:val="en-US"/>
        </w:rPr>
        <w:id w:val="-1458404570"/>
        <w:docPartObj>
          <w:docPartGallery w:val="Table of Contents"/>
          <w:docPartUnique/>
        </w:docPartObj>
      </w:sdtPr>
      <w:sdtEndPr>
        <w:rPr>
          <w:b/>
        </w:rPr>
      </w:sdtEndPr>
      <w:sdtContent>
        <w:p w14:paraId="3F0442E7" w14:textId="5A19F006" w:rsidR="00477160" w:rsidRPr="00EE419A" w:rsidRDefault="00B96C3D">
          <w:pPr>
            <w:pStyle w:val="En-ttedetabledesmatires"/>
            <w:rPr>
              <w:sz w:val="2"/>
              <w:szCs w:val="2"/>
              <w:lang w:val="en-US"/>
            </w:rPr>
          </w:pPr>
          <w:r w:rsidRPr="00367C0B">
            <w:rPr>
              <w:sz w:val="2"/>
              <w:szCs w:val="2"/>
              <w:lang w:val="en-US"/>
            </w:rPr>
            <w:t xml:space="preserve"> </w:t>
          </w:r>
        </w:p>
        <w:p w14:paraId="054CDC6D" w14:textId="39604411" w:rsidR="008858C8" w:rsidRDefault="00477160">
          <w:pPr>
            <w:pStyle w:val="TM1"/>
            <w:rPr>
              <w:rFonts w:asciiTheme="minorHAnsi" w:eastAsiaTheme="minorEastAsia" w:hAnsiTheme="minorHAnsi" w:cstheme="minorBidi"/>
              <w:b w:val="0"/>
              <w:bCs w:val="0"/>
              <w:caps w:val="0"/>
              <w:noProof/>
              <w:kern w:val="2"/>
              <w:sz w:val="24"/>
              <w:szCs w:val="24"/>
              <w:lang w:eastAsia="fr-FR"/>
              <w14:ligatures w14:val="standardContextual"/>
            </w:rPr>
          </w:pPr>
          <w:r w:rsidRPr="00367C0B">
            <w:rPr>
              <w:lang w:val="en-US"/>
            </w:rPr>
            <w:fldChar w:fldCharType="begin"/>
          </w:r>
          <w:r w:rsidRPr="00367C0B">
            <w:rPr>
              <w:lang w:val="en-US"/>
            </w:rPr>
            <w:instrText xml:space="preserve"> TOC \o "1-3" \h \z \u </w:instrText>
          </w:r>
          <w:r w:rsidRPr="00367C0B">
            <w:rPr>
              <w:lang w:val="en-US"/>
            </w:rPr>
            <w:fldChar w:fldCharType="separate"/>
          </w:r>
          <w:hyperlink w:anchor="_Toc183015084" w:history="1">
            <w:r w:rsidR="008858C8" w:rsidRPr="00302D6B">
              <w:rPr>
                <w:rStyle w:val="Lienhypertexte"/>
                <w:noProof/>
                <w:lang w:val="en-US"/>
              </w:rPr>
              <w:t>Content of this report</w:t>
            </w:r>
            <w:r w:rsidR="008858C8">
              <w:rPr>
                <w:noProof/>
                <w:webHidden/>
              </w:rPr>
              <w:tab/>
            </w:r>
            <w:r w:rsidR="008858C8">
              <w:rPr>
                <w:noProof/>
                <w:webHidden/>
              </w:rPr>
              <w:fldChar w:fldCharType="begin"/>
            </w:r>
            <w:r w:rsidR="008858C8">
              <w:rPr>
                <w:noProof/>
                <w:webHidden/>
              </w:rPr>
              <w:instrText xml:space="preserve"> PAGEREF _Toc183015084 \h </w:instrText>
            </w:r>
            <w:r w:rsidR="008858C8">
              <w:rPr>
                <w:noProof/>
                <w:webHidden/>
              </w:rPr>
            </w:r>
            <w:r w:rsidR="008858C8">
              <w:rPr>
                <w:noProof/>
                <w:webHidden/>
              </w:rPr>
              <w:fldChar w:fldCharType="separate"/>
            </w:r>
            <w:r w:rsidR="008858C8">
              <w:rPr>
                <w:noProof/>
                <w:webHidden/>
              </w:rPr>
              <w:t>2</w:t>
            </w:r>
            <w:r w:rsidR="008858C8">
              <w:rPr>
                <w:noProof/>
                <w:webHidden/>
              </w:rPr>
              <w:fldChar w:fldCharType="end"/>
            </w:r>
          </w:hyperlink>
        </w:p>
        <w:p w14:paraId="70B0F85E" w14:textId="57061343" w:rsidR="008858C8" w:rsidRDefault="00000000">
          <w:pPr>
            <w:pStyle w:val="TM1"/>
            <w:rPr>
              <w:rFonts w:asciiTheme="minorHAnsi" w:eastAsiaTheme="minorEastAsia" w:hAnsiTheme="minorHAnsi" w:cstheme="minorBidi"/>
              <w:b w:val="0"/>
              <w:bCs w:val="0"/>
              <w:caps w:val="0"/>
              <w:noProof/>
              <w:kern w:val="2"/>
              <w:sz w:val="24"/>
              <w:szCs w:val="24"/>
              <w:lang w:eastAsia="fr-FR"/>
              <w14:ligatures w14:val="standardContextual"/>
            </w:rPr>
          </w:pPr>
          <w:hyperlink w:anchor="_Toc183015085" w:history="1">
            <w:r w:rsidR="008858C8" w:rsidRPr="00302D6B">
              <w:rPr>
                <w:rStyle w:val="Lienhypertexte"/>
                <w:noProof/>
                <w:lang w:val="en-US"/>
              </w:rPr>
              <w:t>List of figures</w:t>
            </w:r>
            <w:r w:rsidR="008858C8">
              <w:rPr>
                <w:noProof/>
                <w:webHidden/>
              </w:rPr>
              <w:tab/>
            </w:r>
            <w:r w:rsidR="008858C8">
              <w:rPr>
                <w:noProof/>
                <w:webHidden/>
              </w:rPr>
              <w:fldChar w:fldCharType="begin"/>
            </w:r>
            <w:r w:rsidR="008858C8">
              <w:rPr>
                <w:noProof/>
                <w:webHidden/>
              </w:rPr>
              <w:instrText xml:space="preserve"> PAGEREF _Toc183015085 \h </w:instrText>
            </w:r>
            <w:r w:rsidR="008858C8">
              <w:rPr>
                <w:noProof/>
                <w:webHidden/>
              </w:rPr>
            </w:r>
            <w:r w:rsidR="008858C8">
              <w:rPr>
                <w:noProof/>
                <w:webHidden/>
              </w:rPr>
              <w:fldChar w:fldCharType="separate"/>
            </w:r>
            <w:r w:rsidR="008858C8">
              <w:rPr>
                <w:noProof/>
                <w:webHidden/>
              </w:rPr>
              <w:t>4</w:t>
            </w:r>
            <w:r w:rsidR="008858C8">
              <w:rPr>
                <w:noProof/>
                <w:webHidden/>
              </w:rPr>
              <w:fldChar w:fldCharType="end"/>
            </w:r>
          </w:hyperlink>
        </w:p>
        <w:p w14:paraId="503525E2" w14:textId="26BA6F33" w:rsidR="008858C8" w:rsidRDefault="00000000">
          <w:pPr>
            <w:pStyle w:val="TM1"/>
            <w:rPr>
              <w:rFonts w:asciiTheme="minorHAnsi" w:eastAsiaTheme="minorEastAsia" w:hAnsiTheme="minorHAnsi" w:cstheme="minorBidi"/>
              <w:b w:val="0"/>
              <w:bCs w:val="0"/>
              <w:caps w:val="0"/>
              <w:noProof/>
              <w:kern w:val="2"/>
              <w:sz w:val="24"/>
              <w:szCs w:val="24"/>
              <w:lang w:eastAsia="fr-FR"/>
              <w14:ligatures w14:val="standardContextual"/>
            </w:rPr>
          </w:pPr>
          <w:hyperlink w:anchor="_Toc183015086" w:history="1">
            <w:r w:rsidR="008858C8" w:rsidRPr="00302D6B">
              <w:rPr>
                <w:rStyle w:val="Lienhypertexte"/>
                <w:noProof/>
                <w:lang w:val="en-US"/>
              </w:rPr>
              <w:t>List of acronyms</w:t>
            </w:r>
            <w:r w:rsidR="008858C8">
              <w:rPr>
                <w:noProof/>
                <w:webHidden/>
              </w:rPr>
              <w:tab/>
            </w:r>
            <w:r w:rsidR="008858C8">
              <w:rPr>
                <w:noProof/>
                <w:webHidden/>
              </w:rPr>
              <w:fldChar w:fldCharType="begin"/>
            </w:r>
            <w:r w:rsidR="008858C8">
              <w:rPr>
                <w:noProof/>
                <w:webHidden/>
              </w:rPr>
              <w:instrText xml:space="preserve"> PAGEREF _Toc183015086 \h </w:instrText>
            </w:r>
            <w:r w:rsidR="008858C8">
              <w:rPr>
                <w:noProof/>
                <w:webHidden/>
              </w:rPr>
            </w:r>
            <w:r w:rsidR="008858C8">
              <w:rPr>
                <w:noProof/>
                <w:webHidden/>
              </w:rPr>
              <w:fldChar w:fldCharType="separate"/>
            </w:r>
            <w:r w:rsidR="008858C8">
              <w:rPr>
                <w:noProof/>
                <w:webHidden/>
              </w:rPr>
              <w:t>5</w:t>
            </w:r>
            <w:r w:rsidR="008858C8">
              <w:rPr>
                <w:noProof/>
                <w:webHidden/>
              </w:rPr>
              <w:fldChar w:fldCharType="end"/>
            </w:r>
          </w:hyperlink>
        </w:p>
        <w:p w14:paraId="21FB3322" w14:textId="6B276AA4" w:rsidR="008858C8" w:rsidRDefault="00000000">
          <w:pPr>
            <w:pStyle w:val="TM1"/>
            <w:rPr>
              <w:rFonts w:asciiTheme="minorHAnsi" w:eastAsiaTheme="minorEastAsia" w:hAnsiTheme="minorHAnsi" w:cstheme="minorBidi"/>
              <w:b w:val="0"/>
              <w:bCs w:val="0"/>
              <w:caps w:val="0"/>
              <w:noProof/>
              <w:kern w:val="2"/>
              <w:sz w:val="24"/>
              <w:szCs w:val="24"/>
              <w:lang w:eastAsia="fr-FR"/>
              <w14:ligatures w14:val="standardContextual"/>
            </w:rPr>
          </w:pPr>
          <w:hyperlink w:anchor="_Toc183015087" w:history="1">
            <w:r w:rsidR="008858C8" w:rsidRPr="00302D6B">
              <w:rPr>
                <w:rStyle w:val="Lienhypertexte"/>
                <w:noProof/>
                <w:lang w:val="en-US"/>
              </w:rPr>
              <w:t>Executive summary</w:t>
            </w:r>
            <w:r w:rsidR="008858C8">
              <w:rPr>
                <w:noProof/>
                <w:webHidden/>
              </w:rPr>
              <w:tab/>
            </w:r>
            <w:r w:rsidR="008858C8">
              <w:rPr>
                <w:noProof/>
                <w:webHidden/>
              </w:rPr>
              <w:fldChar w:fldCharType="begin"/>
            </w:r>
            <w:r w:rsidR="008858C8">
              <w:rPr>
                <w:noProof/>
                <w:webHidden/>
              </w:rPr>
              <w:instrText xml:space="preserve"> PAGEREF _Toc183015087 \h </w:instrText>
            </w:r>
            <w:r w:rsidR="008858C8">
              <w:rPr>
                <w:noProof/>
                <w:webHidden/>
              </w:rPr>
            </w:r>
            <w:r w:rsidR="008858C8">
              <w:rPr>
                <w:noProof/>
                <w:webHidden/>
              </w:rPr>
              <w:fldChar w:fldCharType="separate"/>
            </w:r>
            <w:r w:rsidR="008858C8">
              <w:rPr>
                <w:noProof/>
                <w:webHidden/>
              </w:rPr>
              <w:t>6</w:t>
            </w:r>
            <w:r w:rsidR="008858C8">
              <w:rPr>
                <w:noProof/>
                <w:webHidden/>
              </w:rPr>
              <w:fldChar w:fldCharType="end"/>
            </w:r>
          </w:hyperlink>
        </w:p>
        <w:p w14:paraId="3CE565A3" w14:textId="7AAF2270" w:rsidR="008858C8" w:rsidRDefault="00000000">
          <w:pPr>
            <w:pStyle w:val="TM1"/>
            <w:rPr>
              <w:rFonts w:asciiTheme="minorHAnsi" w:eastAsiaTheme="minorEastAsia" w:hAnsiTheme="minorHAnsi" w:cstheme="minorBidi"/>
              <w:b w:val="0"/>
              <w:bCs w:val="0"/>
              <w:caps w:val="0"/>
              <w:noProof/>
              <w:kern w:val="2"/>
              <w:sz w:val="24"/>
              <w:szCs w:val="24"/>
              <w:lang w:eastAsia="fr-FR"/>
              <w14:ligatures w14:val="standardContextual"/>
            </w:rPr>
          </w:pPr>
          <w:hyperlink w:anchor="_Toc183015088" w:history="1">
            <w:r w:rsidR="008858C8" w:rsidRPr="00302D6B">
              <w:rPr>
                <w:rStyle w:val="Lienhypertexte"/>
                <w:noProof/>
                <w:lang w:val="en-US"/>
              </w:rPr>
              <w:t>I. Background information</w:t>
            </w:r>
            <w:r w:rsidR="008858C8">
              <w:rPr>
                <w:noProof/>
                <w:webHidden/>
              </w:rPr>
              <w:tab/>
            </w:r>
            <w:r w:rsidR="008858C8">
              <w:rPr>
                <w:noProof/>
                <w:webHidden/>
              </w:rPr>
              <w:fldChar w:fldCharType="begin"/>
            </w:r>
            <w:r w:rsidR="008858C8">
              <w:rPr>
                <w:noProof/>
                <w:webHidden/>
              </w:rPr>
              <w:instrText xml:space="preserve"> PAGEREF _Toc183015088 \h </w:instrText>
            </w:r>
            <w:r w:rsidR="008858C8">
              <w:rPr>
                <w:noProof/>
                <w:webHidden/>
              </w:rPr>
            </w:r>
            <w:r w:rsidR="008858C8">
              <w:rPr>
                <w:noProof/>
                <w:webHidden/>
              </w:rPr>
              <w:fldChar w:fldCharType="separate"/>
            </w:r>
            <w:r w:rsidR="008858C8">
              <w:rPr>
                <w:noProof/>
                <w:webHidden/>
              </w:rPr>
              <w:t>7</w:t>
            </w:r>
            <w:r w:rsidR="008858C8">
              <w:rPr>
                <w:noProof/>
                <w:webHidden/>
              </w:rPr>
              <w:fldChar w:fldCharType="end"/>
            </w:r>
          </w:hyperlink>
        </w:p>
        <w:p w14:paraId="4778E03A" w14:textId="70AEB3BA" w:rsidR="008858C8" w:rsidRDefault="00000000">
          <w:pPr>
            <w:pStyle w:val="TM1"/>
            <w:rPr>
              <w:rFonts w:asciiTheme="minorHAnsi" w:eastAsiaTheme="minorEastAsia" w:hAnsiTheme="minorHAnsi" w:cstheme="minorBidi"/>
              <w:b w:val="0"/>
              <w:bCs w:val="0"/>
              <w:caps w:val="0"/>
              <w:noProof/>
              <w:kern w:val="2"/>
              <w:sz w:val="24"/>
              <w:szCs w:val="24"/>
              <w:lang w:eastAsia="fr-FR"/>
              <w14:ligatures w14:val="standardContextual"/>
            </w:rPr>
          </w:pPr>
          <w:hyperlink w:anchor="_Toc183015089" w:history="1">
            <w:r w:rsidR="008858C8" w:rsidRPr="00302D6B">
              <w:rPr>
                <w:rStyle w:val="Lienhypertexte"/>
                <w:noProof/>
                <w:lang w:val="en-US"/>
              </w:rPr>
              <w:t>II. Analysis of physical risks for a selection of ASCO’s assets</w:t>
            </w:r>
            <w:r w:rsidR="008858C8">
              <w:rPr>
                <w:noProof/>
                <w:webHidden/>
              </w:rPr>
              <w:tab/>
            </w:r>
            <w:r w:rsidR="008858C8">
              <w:rPr>
                <w:noProof/>
                <w:webHidden/>
              </w:rPr>
              <w:fldChar w:fldCharType="begin"/>
            </w:r>
            <w:r w:rsidR="008858C8">
              <w:rPr>
                <w:noProof/>
                <w:webHidden/>
              </w:rPr>
              <w:instrText xml:space="preserve"> PAGEREF _Toc183015089 \h </w:instrText>
            </w:r>
            <w:r w:rsidR="008858C8">
              <w:rPr>
                <w:noProof/>
                <w:webHidden/>
              </w:rPr>
            </w:r>
            <w:r w:rsidR="008858C8">
              <w:rPr>
                <w:noProof/>
                <w:webHidden/>
              </w:rPr>
              <w:fldChar w:fldCharType="separate"/>
            </w:r>
            <w:r w:rsidR="008858C8">
              <w:rPr>
                <w:noProof/>
                <w:webHidden/>
              </w:rPr>
              <w:t>9</w:t>
            </w:r>
            <w:r w:rsidR="008858C8">
              <w:rPr>
                <w:noProof/>
                <w:webHidden/>
              </w:rPr>
              <w:fldChar w:fldCharType="end"/>
            </w:r>
          </w:hyperlink>
        </w:p>
        <w:p w14:paraId="033EEBE3" w14:textId="269BB515" w:rsidR="008858C8" w:rsidRDefault="00000000">
          <w:pPr>
            <w:pStyle w:val="TM2"/>
            <w:rPr>
              <w:rFonts w:asciiTheme="minorHAnsi" w:eastAsiaTheme="minorEastAsia" w:hAnsiTheme="minorHAnsi" w:cstheme="minorBidi"/>
              <w:smallCaps w:val="0"/>
              <w:noProof/>
              <w:kern w:val="2"/>
              <w:sz w:val="24"/>
              <w:szCs w:val="24"/>
              <w:lang w:eastAsia="fr-FR"/>
              <w14:ligatures w14:val="standardContextual"/>
            </w:rPr>
          </w:pPr>
          <w:hyperlink w:anchor="_Toc183015090" w:history="1">
            <w:r w:rsidR="008858C8" w:rsidRPr="00302D6B">
              <w:rPr>
                <w:rStyle w:val="Lienhypertexte"/>
                <w:noProof/>
                <w:lang w:val="en-US"/>
              </w:rPr>
              <w:t>1.</w:t>
            </w:r>
            <w:r w:rsidR="008858C8">
              <w:rPr>
                <w:rFonts w:asciiTheme="minorHAnsi" w:eastAsiaTheme="minorEastAsia" w:hAnsiTheme="minorHAnsi" w:cstheme="minorBidi"/>
                <w:smallCaps w:val="0"/>
                <w:noProof/>
                <w:kern w:val="2"/>
                <w:sz w:val="24"/>
                <w:szCs w:val="24"/>
                <w:lang w:eastAsia="fr-FR"/>
                <w14:ligatures w14:val="standardContextual"/>
              </w:rPr>
              <w:tab/>
            </w:r>
            <w:r w:rsidR="008858C8" w:rsidRPr="00302D6B">
              <w:rPr>
                <w:rStyle w:val="Lienhypertexte"/>
                <w:noProof/>
                <w:lang w:val="en-US"/>
              </w:rPr>
              <w:t>Methodological introduction, comments on climate scenarios used</w:t>
            </w:r>
            <w:r w:rsidR="008858C8">
              <w:rPr>
                <w:noProof/>
                <w:webHidden/>
              </w:rPr>
              <w:tab/>
            </w:r>
            <w:r w:rsidR="008858C8">
              <w:rPr>
                <w:noProof/>
                <w:webHidden/>
              </w:rPr>
              <w:fldChar w:fldCharType="begin"/>
            </w:r>
            <w:r w:rsidR="008858C8">
              <w:rPr>
                <w:noProof/>
                <w:webHidden/>
              </w:rPr>
              <w:instrText xml:space="preserve"> PAGEREF _Toc183015090 \h </w:instrText>
            </w:r>
            <w:r w:rsidR="008858C8">
              <w:rPr>
                <w:noProof/>
                <w:webHidden/>
              </w:rPr>
            </w:r>
            <w:r w:rsidR="008858C8">
              <w:rPr>
                <w:noProof/>
                <w:webHidden/>
              </w:rPr>
              <w:fldChar w:fldCharType="separate"/>
            </w:r>
            <w:r w:rsidR="008858C8">
              <w:rPr>
                <w:noProof/>
                <w:webHidden/>
              </w:rPr>
              <w:t>9</w:t>
            </w:r>
            <w:r w:rsidR="008858C8">
              <w:rPr>
                <w:noProof/>
                <w:webHidden/>
              </w:rPr>
              <w:fldChar w:fldCharType="end"/>
            </w:r>
          </w:hyperlink>
        </w:p>
        <w:p w14:paraId="1FEC1CA3" w14:textId="08B2C1F4" w:rsidR="008858C8" w:rsidRDefault="00000000">
          <w:pPr>
            <w:pStyle w:val="TM3"/>
            <w:tabs>
              <w:tab w:val="left" w:pos="880"/>
              <w:tab w:val="right" w:leader="dot" w:pos="9062"/>
            </w:tabs>
            <w:rPr>
              <w:rFonts w:asciiTheme="minorHAnsi" w:eastAsiaTheme="minorEastAsia" w:hAnsiTheme="minorHAnsi" w:cstheme="minorBidi"/>
              <w:i w:val="0"/>
              <w:iCs w:val="0"/>
              <w:noProof/>
              <w:kern w:val="2"/>
              <w:sz w:val="24"/>
              <w:szCs w:val="24"/>
              <w:lang w:eastAsia="fr-FR"/>
              <w14:ligatures w14:val="standardContextual"/>
            </w:rPr>
          </w:pPr>
          <w:hyperlink w:anchor="_Toc183015091" w:history="1">
            <w:r w:rsidR="008858C8" w:rsidRPr="00302D6B">
              <w:rPr>
                <w:rStyle w:val="Lienhypertexte"/>
                <w:noProof/>
                <w:lang w:val="en-US"/>
              </w:rPr>
              <w:t>A.</w:t>
            </w:r>
            <w:r w:rsidR="008858C8">
              <w:rPr>
                <w:rFonts w:asciiTheme="minorHAnsi" w:eastAsiaTheme="minorEastAsia" w:hAnsiTheme="minorHAnsi" w:cstheme="minorBidi"/>
                <w:i w:val="0"/>
                <w:iCs w:val="0"/>
                <w:noProof/>
                <w:kern w:val="2"/>
                <w:sz w:val="24"/>
                <w:szCs w:val="24"/>
                <w:lang w:eastAsia="fr-FR"/>
                <w14:ligatures w14:val="standardContextual"/>
              </w:rPr>
              <w:tab/>
            </w:r>
            <w:r w:rsidR="008858C8" w:rsidRPr="00302D6B">
              <w:rPr>
                <w:rStyle w:val="Lienhypertexte"/>
                <w:noProof/>
                <w:lang w:val="en-US"/>
              </w:rPr>
              <w:t>Key steps and definition</w:t>
            </w:r>
            <w:r w:rsidR="008858C8">
              <w:rPr>
                <w:noProof/>
                <w:webHidden/>
              </w:rPr>
              <w:tab/>
            </w:r>
            <w:r w:rsidR="008858C8">
              <w:rPr>
                <w:noProof/>
                <w:webHidden/>
              </w:rPr>
              <w:fldChar w:fldCharType="begin"/>
            </w:r>
            <w:r w:rsidR="008858C8">
              <w:rPr>
                <w:noProof/>
                <w:webHidden/>
              </w:rPr>
              <w:instrText xml:space="preserve"> PAGEREF _Toc183015091 \h </w:instrText>
            </w:r>
            <w:r w:rsidR="008858C8">
              <w:rPr>
                <w:noProof/>
                <w:webHidden/>
              </w:rPr>
            </w:r>
            <w:r w:rsidR="008858C8">
              <w:rPr>
                <w:noProof/>
                <w:webHidden/>
              </w:rPr>
              <w:fldChar w:fldCharType="separate"/>
            </w:r>
            <w:r w:rsidR="008858C8">
              <w:rPr>
                <w:noProof/>
                <w:webHidden/>
              </w:rPr>
              <w:t>9</w:t>
            </w:r>
            <w:r w:rsidR="008858C8">
              <w:rPr>
                <w:noProof/>
                <w:webHidden/>
              </w:rPr>
              <w:fldChar w:fldCharType="end"/>
            </w:r>
          </w:hyperlink>
        </w:p>
        <w:p w14:paraId="40136366" w14:textId="2F4118AE" w:rsidR="008858C8" w:rsidRDefault="00000000">
          <w:pPr>
            <w:pStyle w:val="TM3"/>
            <w:tabs>
              <w:tab w:val="left" w:pos="880"/>
              <w:tab w:val="right" w:leader="dot" w:pos="9062"/>
            </w:tabs>
            <w:rPr>
              <w:rFonts w:asciiTheme="minorHAnsi" w:eastAsiaTheme="minorEastAsia" w:hAnsiTheme="minorHAnsi" w:cstheme="minorBidi"/>
              <w:i w:val="0"/>
              <w:iCs w:val="0"/>
              <w:noProof/>
              <w:kern w:val="2"/>
              <w:sz w:val="24"/>
              <w:szCs w:val="24"/>
              <w:lang w:eastAsia="fr-FR"/>
              <w14:ligatures w14:val="standardContextual"/>
            </w:rPr>
          </w:pPr>
          <w:hyperlink w:anchor="_Toc183015092" w:history="1">
            <w:r w:rsidR="008858C8" w:rsidRPr="00302D6B">
              <w:rPr>
                <w:rStyle w:val="Lienhypertexte"/>
                <w:noProof/>
                <w:lang w:val="en-US"/>
              </w:rPr>
              <w:t>B.</w:t>
            </w:r>
            <w:r w:rsidR="008858C8">
              <w:rPr>
                <w:rFonts w:asciiTheme="minorHAnsi" w:eastAsiaTheme="minorEastAsia" w:hAnsiTheme="minorHAnsi" w:cstheme="minorBidi"/>
                <w:i w:val="0"/>
                <w:iCs w:val="0"/>
                <w:noProof/>
                <w:kern w:val="2"/>
                <w:sz w:val="24"/>
                <w:szCs w:val="24"/>
                <w:lang w:eastAsia="fr-FR"/>
                <w14:ligatures w14:val="standardContextual"/>
              </w:rPr>
              <w:tab/>
            </w:r>
            <w:r w:rsidR="008858C8" w:rsidRPr="00302D6B">
              <w:rPr>
                <w:rStyle w:val="Lienhypertexte"/>
                <w:noProof/>
                <w:lang w:val="en-US"/>
              </w:rPr>
              <w:t>Climate scenarios and time horizons</w:t>
            </w:r>
            <w:r w:rsidR="008858C8">
              <w:rPr>
                <w:noProof/>
                <w:webHidden/>
              </w:rPr>
              <w:tab/>
            </w:r>
            <w:r w:rsidR="008858C8">
              <w:rPr>
                <w:noProof/>
                <w:webHidden/>
              </w:rPr>
              <w:fldChar w:fldCharType="begin"/>
            </w:r>
            <w:r w:rsidR="008858C8">
              <w:rPr>
                <w:noProof/>
                <w:webHidden/>
              </w:rPr>
              <w:instrText xml:space="preserve"> PAGEREF _Toc183015092 \h </w:instrText>
            </w:r>
            <w:r w:rsidR="008858C8">
              <w:rPr>
                <w:noProof/>
                <w:webHidden/>
              </w:rPr>
            </w:r>
            <w:r w:rsidR="008858C8">
              <w:rPr>
                <w:noProof/>
                <w:webHidden/>
              </w:rPr>
              <w:fldChar w:fldCharType="separate"/>
            </w:r>
            <w:r w:rsidR="008858C8">
              <w:rPr>
                <w:noProof/>
                <w:webHidden/>
              </w:rPr>
              <w:t>10</w:t>
            </w:r>
            <w:r w:rsidR="008858C8">
              <w:rPr>
                <w:noProof/>
                <w:webHidden/>
              </w:rPr>
              <w:fldChar w:fldCharType="end"/>
            </w:r>
          </w:hyperlink>
        </w:p>
        <w:p w14:paraId="42D903CA" w14:textId="6A7A5A57" w:rsidR="008858C8" w:rsidRDefault="00000000">
          <w:pPr>
            <w:pStyle w:val="TM3"/>
            <w:tabs>
              <w:tab w:val="left" w:pos="880"/>
              <w:tab w:val="right" w:leader="dot" w:pos="9062"/>
            </w:tabs>
            <w:rPr>
              <w:rFonts w:asciiTheme="minorHAnsi" w:eastAsiaTheme="minorEastAsia" w:hAnsiTheme="minorHAnsi" w:cstheme="minorBidi"/>
              <w:i w:val="0"/>
              <w:iCs w:val="0"/>
              <w:noProof/>
              <w:kern w:val="2"/>
              <w:sz w:val="24"/>
              <w:szCs w:val="24"/>
              <w:lang w:eastAsia="fr-FR"/>
              <w14:ligatures w14:val="standardContextual"/>
            </w:rPr>
          </w:pPr>
          <w:hyperlink w:anchor="_Toc183015093" w:history="1">
            <w:r w:rsidR="008858C8" w:rsidRPr="00302D6B">
              <w:rPr>
                <w:rStyle w:val="Lienhypertexte"/>
                <w:noProof/>
                <w:lang w:val="en-US"/>
              </w:rPr>
              <w:t>C.</w:t>
            </w:r>
            <w:r w:rsidR="008858C8">
              <w:rPr>
                <w:rFonts w:asciiTheme="minorHAnsi" w:eastAsiaTheme="minorEastAsia" w:hAnsiTheme="minorHAnsi" w:cstheme="minorBidi"/>
                <w:i w:val="0"/>
                <w:iCs w:val="0"/>
                <w:noProof/>
                <w:kern w:val="2"/>
                <w:sz w:val="24"/>
                <w:szCs w:val="24"/>
                <w:lang w:eastAsia="fr-FR"/>
                <w14:ligatures w14:val="standardContextual"/>
              </w:rPr>
              <w:tab/>
            </w:r>
            <w:r w:rsidR="008858C8" w:rsidRPr="00302D6B">
              <w:rPr>
                <w:rStyle w:val="Lienhypertexte"/>
                <w:noProof/>
                <w:lang w:val="en-US"/>
              </w:rPr>
              <w:t>Sea Level Change methodology</w:t>
            </w:r>
            <w:r w:rsidR="008858C8">
              <w:rPr>
                <w:noProof/>
                <w:webHidden/>
              </w:rPr>
              <w:tab/>
            </w:r>
            <w:r w:rsidR="008858C8">
              <w:rPr>
                <w:noProof/>
                <w:webHidden/>
              </w:rPr>
              <w:fldChar w:fldCharType="begin"/>
            </w:r>
            <w:r w:rsidR="008858C8">
              <w:rPr>
                <w:noProof/>
                <w:webHidden/>
              </w:rPr>
              <w:instrText xml:space="preserve"> PAGEREF _Toc183015093 \h </w:instrText>
            </w:r>
            <w:r w:rsidR="008858C8">
              <w:rPr>
                <w:noProof/>
                <w:webHidden/>
              </w:rPr>
            </w:r>
            <w:r w:rsidR="008858C8">
              <w:rPr>
                <w:noProof/>
                <w:webHidden/>
              </w:rPr>
              <w:fldChar w:fldCharType="separate"/>
            </w:r>
            <w:r w:rsidR="008858C8">
              <w:rPr>
                <w:noProof/>
                <w:webHidden/>
              </w:rPr>
              <w:t>12</w:t>
            </w:r>
            <w:r w:rsidR="008858C8">
              <w:rPr>
                <w:noProof/>
                <w:webHidden/>
              </w:rPr>
              <w:fldChar w:fldCharType="end"/>
            </w:r>
          </w:hyperlink>
        </w:p>
        <w:p w14:paraId="1A733E04" w14:textId="48AF6246" w:rsidR="008858C8" w:rsidRDefault="00000000">
          <w:pPr>
            <w:pStyle w:val="TM3"/>
            <w:tabs>
              <w:tab w:val="left" w:pos="880"/>
              <w:tab w:val="right" w:leader="dot" w:pos="9062"/>
            </w:tabs>
            <w:rPr>
              <w:rFonts w:asciiTheme="minorHAnsi" w:eastAsiaTheme="minorEastAsia" w:hAnsiTheme="minorHAnsi" w:cstheme="minorBidi"/>
              <w:i w:val="0"/>
              <w:iCs w:val="0"/>
              <w:noProof/>
              <w:kern w:val="2"/>
              <w:sz w:val="24"/>
              <w:szCs w:val="24"/>
              <w:lang w:eastAsia="fr-FR"/>
              <w14:ligatures w14:val="standardContextual"/>
            </w:rPr>
          </w:pPr>
          <w:hyperlink w:anchor="_Toc183015094" w:history="1">
            <w:r w:rsidR="008858C8" w:rsidRPr="00302D6B">
              <w:rPr>
                <w:rStyle w:val="Lienhypertexte"/>
                <w:noProof/>
                <w:lang w:val="en-US"/>
              </w:rPr>
              <w:t>D.</w:t>
            </w:r>
            <w:r w:rsidR="008858C8">
              <w:rPr>
                <w:rFonts w:asciiTheme="minorHAnsi" w:eastAsiaTheme="minorEastAsia" w:hAnsiTheme="minorHAnsi" w:cstheme="minorBidi"/>
                <w:i w:val="0"/>
                <w:iCs w:val="0"/>
                <w:noProof/>
                <w:kern w:val="2"/>
                <w:sz w:val="24"/>
                <w:szCs w:val="24"/>
                <w:lang w:eastAsia="fr-FR"/>
                <w14:ligatures w14:val="standardContextual"/>
              </w:rPr>
              <w:tab/>
            </w:r>
            <w:r w:rsidR="008858C8" w:rsidRPr="00302D6B">
              <w:rPr>
                <w:rStyle w:val="Lienhypertexte"/>
                <w:noProof/>
                <w:lang w:val="en-US"/>
              </w:rPr>
              <w:t>Location and physical hazards</w:t>
            </w:r>
            <w:r w:rsidR="008858C8">
              <w:rPr>
                <w:noProof/>
                <w:webHidden/>
              </w:rPr>
              <w:tab/>
            </w:r>
            <w:r w:rsidR="008858C8">
              <w:rPr>
                <w:noProof/>
                <w:webHidden/>
              </w:rPr>
              <w:fldChar w:fldCharType="begin"/>
            </w:r>
            <w:r w:rsidR="008858C8">
              <w:rPr>
                <w:noProof/>
                <w:webHidden/>
              </w:rPr>
              <w:instrText xml:space="preserve"> PAGEREF _Toc183015094 \h </w:instrText>
            </w:r>
            <w:r w:rsidR="008858C8">
              <w:rPr>
                <w:noProof/>
                <w:webHidden/>
              </w:rPr>
            </w:r>
            <w:r w:rsidR="008858C8">
              <w:rPr>
                <w:noProof/>
                <w:webHidden/>
              </w:rPr>
              <w:fldChar w:fldCharType="separate"/>
            </w:r>
            <w:r w:rsidR="008858C8">
              <w:rPr>
                <w:noProof/>
                <w:webHidden/>
              </w:rPr>
              <w:t>12</w:t>
            </w:r>
            <w:r w:rsidR="008858C8">
              <w:rPr>
                <w:noProof/>
                <w:webHidden/>
              </w:rPr>
              <w:fldChar w:fldCharType="end"/>
            </w:r>
          </w:hyperlink>
        </w:p>
        <w:p w14:paraId="521EECEE" w14:textId="7E2107D0" w:rsidR="008858C8" w:rsidRDefault="00000000">
          <w:pPr>
            <w:pStyle w:val="TM2"/>
            <w:rPr>
              <w:rFonts w:asciiTheme="minorHAnsi" w:eastAsiaTheme="minorEastAsia" w:hAnsiTheme="minorHAnsi" w:cstheme="minorBidi"/>
              <w:smallCaps w:val="0"/>
              <w:noProof/>
              <w:kern w:val="2"/>
              <w:sz w:val="24"/>
              <w:szCs w:val="24"/>
              <w:lang w:eastAsia="fr-FR"/>
              <w14:ligatures w14:val="standardContextual"/>
            </w:rPr>
          </w:pPr>
          <w:hyperlink w:anchor="_Toc183015095" w:history="1">
            <w:r w:rsidR="008858C8" w:rsidRPr="00302D6B">
              <w:rPr>
                <w:rStyle w:val="Lienhypertexte"/>
                <w:noProof/>
                <w:lang w:val="en-US"/>
              </w:rPr>
              <w:t>2.</w:t>
            </w:r>
            <w:r w:rsidR="008858C8">
              <w:rPr>
                <w:rFonts w:asciiTheme="minorHAnsi" w:eastAsiaTheme="minorEastAsia" w:hAnsiTheme="minorHAnsi" w:cstheme="minorBidi"/>
                <w:smallCaps w:val="0"/>
                <w:noProof/>
                <w:kern w:val="2"/>
                <w:sz w:val="24"/>
                <w:szCs w:val="24"/>
                <w:lang w:eastAsia="fr-FR"/>
                <w14:ligatures w14:val="standardContextual"/>
              </w:rPr>
              <w:tab/>
            </w:r>
            <w:r w:rsidR="008858C8" w:rsidRPr="00302D6B">
              <w:rPr>
                <w:rStyle w:val="Lienhypertexte"/>
                <w:noProof/>
                <w:lang w:val="en-US"/>
              </w:rPr>
              <w:t>Physical climate-related risks universe for ASCO</w:t>
            </w:r>
            <w:r w:rsidR="008858C8">
              <w:rPr>
                <w:noProof/>
                <w:webHidden/>
              </w:rPr>
              <w:tab/>
            </w:r>
            <w:r w:rsidR="008858C8">
              <w:rPr>
                <w:noProof/>
                <w:webHidden/>
              </w:rPr>
              <w:fldChar w:fldCharType="begin"/>
            </w:r>
            <w:r w:rsidR="008858C8">
              <w:rPr>
                <w:noProof/>
                <w:webHidden/>
              </w:rPr>
              <w:instrText xml:space="preserve"> PAGEREF _Toc183015095 \h </w:instrText>
            </w:r>
            <w:r w:rsidR="008858C8">
              <w:rPr>
                <w:noProof/>
                <w:webHidden/>
              </w:rPr>
            </w:r>
            <w:r w:rsidR="008858C8">
              <w:rPr>
                <w:noProof/>
                <w:webHidden/>
              </w:rPr>
              <w:fldChar w:fldCharType="separate"/>
            </w:r>
            <w:r w:rsidR="008858C8">
              <w:rPr>
                <w:noProof/>
                <w:webHidden/>
              </w:rPr>
              <w:t>15</w:t>
            </w:r>
            <w:r w:rsidR="008858C8">
              <w:rPr>
                <w:noProof/>
                <w:webHidden/>
              </w:rPr>
              <w:fldChar w:fldCharType="end"/>
            </w:r>
          </w:hyperlink>
        </w:p>
        <w:p w14:paraId="07743943" w14:textId="73EC0968" w:rsidR="008858C8" w:rsidRDefault="00000000">
          <w:pPr>
            <w:pStyle w:val="TM2"/>
            <w:rPr>
              <w:rFonts w:asciiTheme="minorHAnsi" w:eastAsiaTheme="minorEastAsia" w:hAnsiTheme="minorHAnsi" w:cstheme="minorBidi"/>
              <w:smallCaps w:val="0"/>
              <w:noProof/>
              <w:kern w:val="2"/>
              <w:sz w:val="24"/>
              <w:szCs w:val="24"/>
              <w:lang w:eastAsia="fr-FR"/>
              <w14:ligatures w14:val="standardContextual"/>
            </w:rPr>
          </w:pPr>
          <w:hyperlink w:anchor="_Toc183015096" w:history="1">
            <w:r w:rsidR="008858C8" w:rsidRPr="00302D6B">
              <w:rPr>
                <w:rStyle w:val="Lienhypertexte"/>
                <w:noProof/>
                <w:lang w:val="en-US"/>
              </w:rPr>
              <w:t>3.</w:t>
            </w:r>
            <w:r w:rsidR="008858C8">
              <w:rPr>
                <w:rFonts w:asciiTheme="minorHAnsi" w:eastAsiaTheme="minorEastAsia" w:hAnsiTheme="minorHAnsi" w:cstheme="minorBidi"/>
                <w:smallCaps w:val="0"/>
                <w:noProof/>
                <w:kern w:val="2"/>
                <w:sz w:val="24"/>
                <w:szCs w:val="24"/>
                <w:lang w:eastAsia="fr-FR"/>
                <w14:ligatures w14:val="standardContextual"/>
              </w:rPr>
              <w:tab/>
            </w:r>
            <w:r w:rsidR="008858C8" w:rsidRPr="00302D6B">
              <w:rPr>
                <w:rStyle w:val="Lienhypertexte"/>
                <w:noProof/>
                <w:lang w:val="en-US"/>
              </w:rPr>
              <w:t>Results of exposure analysis for physical risks</w:t>
            </w:r>
            <w:r w:rsidR="008858C8">
              <w:rPr>
                <w:noProof/>
                <w:webHidden/>
              </w:rPr>
              <w:tab/>
            </w:r>
            <w:r w:rsidR="008858C8">
              <w:rPr>
                <w:noProof/>
                <w:webHidden/>
              </w:rPr>
              <w:fldChar w:fldCharType="begin"/>
            </w:r>
            <w:r w:rsidR="008858C8">
              <w:rPr>
                <w:noProof/>
                <w:webHidden/>
              </w:rPr>
              <w:instrText xml:space="preserve"> PAGEREF _Toc183015096 \h </w:instrText>
            </w:r>
            <w:r w:rsidR="008858C8">
              <w:rPr>
                <w:noProof/>
                <w:webHidden/>
              </w:rPr>
            </w:r>
            <w:r w:rsidR="008858C8">
              <w:rPr>
                <w:noProof/>
                <w:webHidden/>
              </w:rPr>
              <w:fldChar w:fldCharType="separate"/>
            </w:r>
            <w:r w:rsidR="008858C8">
              <w:rPr>
                <w:noProof/>
                <w:webHidden/>
              </w:rPr>
              <w:t>17</w:t>
            </w:r>
            <w:r w:rsidR="008858C8">
              <w:rPr>
                <w:noProof/>
                <w:webHidden/>
              </w:rPr>
              <w:fldChar w:fldCharType="end"/>
            </w:r>
          </w:hyperlink>
        </w:p>
        <w:p w14:paraId="10C567CE" w14:textId="0D44277A" w:rsidR="008858C8" w:rsidRDefault="00000000">
          <w:pPr>
            <w:pStyle w:val="TM3"/>
            <w:tabs>
              <w:tab w:val="left" w:pos="880"/>
              <w:tab w:val="right" w:leader="dot" w:pos="9062"/>
            </w:tabs>
            <w:rPr>
              <w:rFonts w:asciiTheme="minorHAnsi" w:eastAsiaTheme="minorEastAsia" w:hAnsiTheme="minorHAnsi" w:cstheme="minorBidi"/>
              <w:i w:val="0"/>
              <w:iCs w:val="0"/>
              <w:noProof/>
              <w:kern w:val="2"/>
              <w:sz w:val="24"/>
              <w:szCs w:val="24"/>
              <w:lang w:eastAsia="fr-FR"/>
              <w14:ligatures w14:val="standardContextual"/>
            </w:rPr>
          </w:pPr>
          <w:hyperlink w:anchor="_Toc183015097" w:history="1">
            <w:r w:rsidR="008858C8" w:rsidRPr="00302D6B">
              <w:rPr>
                <w:rStyle w:val="Lienhypertexte"/>
                <w:noProof/>
                <w:lang w:val="en-US"/>
              </w:rPr>
              <w:t>A.</w:t>
            </w:r>
            <w:r w:rsidR="008858C8">
              <w:rPr>
                <w:rFonts w:asciiTheme="minorHAnsi" w:eastAsiaTheme="minorEastAsia" w:hAnsiTheme="minorHAnsi" w:cstheme="minorBidi"/>
                <w:i w:val="0"/>
                <w:iCs w:val="0"/>
                <w:noProof/>
                <w:kern w:val="2"/>
                <w:sz w:val="24"/>
                <w:szCs w:val="24"/>
                <w:lang w:eastAsia="fr-FR"/>
                <w14:ligatures w14:val="standardContextual"/>
              </w:rPr>
              <w:tab/>
            </w:r>
            <w:r w:rsidR="008858C8" w:rsidRPr="00302D6B">
              <w:rPr>
                <w:rStyle w:val="Lienhypertexte"/>
                <w:noProof/>
                <w:lang w:val="en-US"/>
              </w:rPr>
              <w:t>Sea Level Change</w:t>
            </w:r>
            <w:r w:rsidR="008858C8">
              <w:rPr>
                <w:noProof/>
                <w:webHidden/>
              </w:rPr>
              <w:tab/>
            </w:r>
            <w:r w:rsidR="008858C8">
              <w:rPr>
                <w:noProof/>
                <w:webHidden/>
              </w:rPr>
              <w:fldChar w:fldCharType="begin"/>
            </w:r>
            <w:r w:rsidR="008858C8">
              <w:rPr>
                <w:noProof/>
                <w:webHidden/>
              </w:rPr>
              <w:instrText xml:space="preserve"> PAGEREF _Toc183015097 \h </w:instrText>
            </w:r>
            <w:r w:rsidR="008858C8">
              <w:rPr>
                <w:noProof/>
                <w:webHidden/>
              </w:rPr>
            </w:r>
            <w:r w:rsidR="008858C8">
              <w:rPr>
                <w:noProof/>
                <w:webHidden/>
              </w:rPr>
              <w:fldChar w:fldCharType="separate"/>
            </w:r>
            <w:r w:rsidR="008858C8">
              <w:rPr>
                <w:noProof/>
                <w:webHidden/>
              </w:rPr>
              <w:t>17</w:t>
            </w:r>
            <w:r w:rsidR="008858C8">
              <w:rPr>
                <w:noProof/>
                <w:webHidden/>
              </w:rPr>
              <w:fldChar w:fldCharType="end"/>
            </w:r>
          </w:hyperlink>
        </w:p>
        <w:p w14:paraId="002C009D" w14:textId="38EA0C65" w:rsidR="008858C8" w:rsidRDefault="00000000">
          <w:pPr>
            <w:pStyle w:val="TM3"/>
            <w:tabs>
              <w:tab w:val="left" w:pos="880"/>
              <w:tab w:val="right" w:leader="dot" w:pos="9062"/>
            </w:tabs>
            <w:rPr>
              <w:rFonts w:asciiTheme="minorHAnsi" w:eastAsiaTheme="minorEastAsia" w:hAnsiTheme="minorHAnsi" w:cstheme="minorBidi"/>
              <w:i w:val="0"/>
              <w:iCs w:val="0"/>
              <w:noProof/>
              <w:kern w:val="2"/>
              <w:sz w:val="24"/>
              <w:szCs w:val="24"/>
              <w:lang w:eastAsia="fr-FR"/>
              <w14:ligatures w14:val="standardContextual"/>
            </w:rPr>
          </w:pPr>
          <w:hyperlink w:anchor="_Toc183015098" w:history="1">
            <w:r w:rsidR="008858C8" w:rsidRPr="00302D6B">
              <w:rPr>
                <w:rStyle w:val="Lienhypertexte"/>
                <w:noProof/>
                <w:lang w:val="en-US"/>
              </w:rPr>
              <w:t>B.</w:t>
            </w:r>
            <w:r w:rsidR="008858C8">
              <w:rPr>
                <w:rFonts w:asciiTheme="minorHAnsi" w:eastAsiaTheme="minorEastAsia" w:hAnsiTheme="minorHAnsi" w:cstheme="minorBidi"/>
                <w:i w:val="0"/>
                <w:iCs w:val="0"/>
                <w:noProof/>
                <w:kern w:val="2"/>
                <w:sz w:val="24"/>
                <w:szCs w:val="24"/>
                <w:lang w:eastAsia="fr-FR"/>
                <w14:ligatures w14:val="standardContextual"/>
              </w:rPr>
              <w:tab/>
            </w:r>
            <w:r w:rsidR="008858C8" w:rsidRPr="00302D6B">
              <w:rPr>
                <w:rStyle w:val="Lienhypertexte"/>
                <w:noProof/>
                <w:lang w:val="en-US"/>
              </w:rPr>
              <w:t>General exposure results for other climate risks</w:t>
            </w:r>
            <w:r w:rsidR="008858C8">
              <w:rPr>
                <w:noProof/>
                <w:webHidden/>
              </w:rPr>
              <w:tab/>
            </w:r>
            <w:r w:rsidR="008858C8">
              <w:rPr>
                <w:noProof/>
                <w:webHidden/>
              </w:rPr>
              <w:fldChar w:fldCharType="begin"/>
            </w:r>
            <w:r w:rsidR="008858C8">
              <w:rPr>
                <w:noProof/>
                <w:webHidden/>
              </w:rPr>
              <w:instrText xml:space="preserve"> PAGEREF _Toc183015098 \h </w:instrText>
            </w:r>
            <w:r w:rsidR="008858C8">
              <w:rPr>
                <w:noProof/>
                <w:webHidden/>
              </w:rPr>
            </w:r>
            <w:r w:rsidR="008858C8">
              <w:rPr>
                <w:noProof/>
                <w:webHidden/>
              </w:rPr>
              <w:fldChar w:fldCharType="separate"/>
            </w:r>
            <w:r w:rsidR="008858C8">
              <w:rPr>
                <w:noProof/>
                <w:webHidden/>
              </w:rPr>
              <w:t>18</w:t>
            </w:r>
            <w:r w:rsidR="008858C8">
              <w:rPr>
                <w:noProof/>
                <w:webHidden/>
              </w:rPr>
              <w:fldChar w:fldCharType="end"/>
            </w:r>
          </w:hyperlink>
        </w:p>
        <w:p w14:paraId="3320320C" w14:textId="7E7BB553" w:rsidR="008858C8" w:rsidRDefault="00000000">
          <w:pPr>
            <w:pStyle w:val="TM3"/>
            <w:tabs>
              <w:tab w:val="left" w:pos="880"/>
              <w:tab w:val="right" w:leader="dot" w:pos="9062"/>
            </w:tabs>
            <w:rPr>
              <w:rFonts w:asciiTheme="minorHAnsi" w:eastAsiaTheme="minorEastAsia" w:hAnsiTheme="minorHAnsi" w:cstheme="minorBidi"/>
              <w:i w:val="0"/>
              <w:iCs w:val="0"/>
              <w:noProof/>
              <w:kern w:val="2"/>
              <w:sz w:val="24"/>
              <w:szCs w:val="24"/>
              <w:lang w:eastAsia="fr-FR"/>
              <w14:ligatures w14:val="standardContextual"/>
            </w:rPr>
          </w:pPr>
          <w:hyperlink w:anchor="_Toc183015099" w:history="1">
            <w:r w:rsidR="008858C8" w:rsidRPr="00302D6B">
              <w:rPr>
                <w:rStyle w:val="Lienhypertexte"/>
                <w:noProof/>
                <w:lang w:val="en-US"/>
              </w:rPr>
              <w:t>C.</w:t>
            </w:r>
            <w:r w:rsidR="008858C8">
              <w:rPr>
                <w:rFonts w:asciiTheme="minorHAnsi" w:eastAsiaTheme="minorEastAsia" w:hAnsiTheme="minorHAnsi" w:cstheme="minorBidi"/>
                <w:i w:val="0"/>
                <w:iCs w:val="0"/>
                <w:noProof/>
                <w:kern w:val="2"/>
                <w:sz w:val="24"/>
                <w:szCs w:val="24"/>
                <w:lang w:eastAsia="fr-FR"/>
                <w14:ligatures w14:val="standardContextual"/>
              </w:rPr>
              <w:tab/>
            </w:r>
            <w:r w:rsidR="008858C8" w:rsidRPr="00302D6B">
              <w:rPr>
                <w:rStyle w:val="Lienhypertexte"/>
                <w:noProof/>
                <w:lang w:val="en-US"/>
              </w:rPr>
              <w:t>Focus results on high temperature and heat for ASCO’s assets</w:t>
            </w:r>
            <w:r w:rsidR="008858C8">
              <w:rPr>
                <w:noProof/>
                <w:webHidden/>
              </w:rPr>
              <w:tab/>
            </w:r>
            <w:r w:rsidR="008858C8">
              <w:rPr>
                <w:noProof/>
                <w:webHidden/>
              </w:rPr>
              <w:fldChar w:fldCharType="begin"/>
            </w:r>
            <w:r w:rsidR="008858C8">
              <w:rPr>
                <w:noProof/>
                <w:webHidden/>
              </w:rPr>
              <w:instrText xml:space="preserve"> PAGEREF _Toc183015099 \h </w:instrText>
            </w:r>
            <w:r w:rsidR="008858C8">
              <w:rPr>
                <w:noProof/>
                <w:webHidden/>
              </w:rPr>
            </w:r>
            <w:r w:rsidR="008858C8">
              <w:rPr>
                <w:noProof/>
                <w:webHidden/>
              </w:rPr>
              <w:fldChar w:fldCharType="separate"/>
            </w:r>
            <w:r w:rsidR="008858C8">
              <w:rPr>
                <w:noProof/>
                <w:webHidden/>
              </w:rPr>
              <w:t>19</w:t>
            </w:r>
            <w:r w:rsidR="008858C8">
              <w:rPr>
                <w:noProof/>
                <w:webHidden/>
              </w:rPr>
              <w:fldChar w:fldCharType="end"/>
            </w:r>
          </w:hyperlink>
        </w:p>
        <w:p w14:paraId="752CB3E0" w14:textId="7DF97393" w:rsidR="008858C8" w:rsidRDefault="00000000">
          <w:pPr>
            <w:pStyle w:val="TM2"/>
            <w:rPr>
              <w:rFonts w:asciiTheme="minorHAnsi" w:eastAsiaTheme="minorEastAsia" w:hAnsiTheme="minorHAnsi" w:cstheme="minorBidi"/>
              <w:smallCaps w:val="0"/>
              <w:noProof/>
              <w:kern w:val="2"/>
              <w:sz w:val="24"/>
              <w:szCs w:val="24"/>
              <w:lang w:eastAsia="fr-FR"/>
              <w14:ligatures w14:val="standardContextual"/>
            </w:rPr>
          </w:pPr>
          <w:hyperlink w:anchor="_Toc183015100" w:history="1">
            <w:r w:rsidR="008858C8" w:rsidRPr="00302D6B">
              <w:rPr>
                <w:rStyle w:val="Lienhypertexte"/>
                <w:noProof/>
                <w:lang w:val="en-US"/>
              </w:rPr>
              <w:t>4. Analysis of the potential impact of perils</w:t>
            </w:r>
            <w:r w:rsidR="008858C8">
              <w:rPr>
                <w:noProof/>
                <w:webHidden/>
              </w:rPr>
              <w:tab/>
            </w:r>
            <w:r w:rsidR="008858C8">
              <w:rPr>
                <w:noProof/>
                <w:webHidden/>
              </w:rPr>
              <w:fldChar w:fldCharType="begin"/>
            </w:r>
            <w:r w:rsidR="008858C8">
              <w:rPr>
                <w:noProof/>
                <w:webHidden/>
              </w:rPr>
              <w:instrText xml:space="preserve"> PAGEREF _Toc183015100 \h </w:instrText>
            </w:r>
            <w:r w:rsidR="008858C8">
              <w:rPr>
                <w:noProof/>
                <w:webHidden/>
              </w:rPr>
            </w:r>
            <w:r w:rsidR="008858C8">
              <w:rPr>
                <w:noProof/>
                <w:webHidden/>
              </w:rPr>
              <w:fldChar w:fldCharType="separate"/>
            </w:r>
            <w:r w:rsidR="008858C8">
              <w:rPr>
                <w:noProof/>
                <w:webHidden/>
              </w:rPr>
              <w:t>21</w:t>
            </w:r>
            <w:r w:rsidR="008858C8">
              <w:rPr>
                <w:noProof/>
                <w:webHidden/>
              </w:rPr>
              <w:fldChar w:fldCharType="end"/>
            </w:r>
          </w:hyperlink>
        </w:p>
        <w:p w14:paraId="4EFD8578" w14:textId="7370CAA9" w:rsidR="008858C8" w:rsidRDefault="00000000">
          <w:pPr>
            <w:pStyle w:val="TM1"/>
            <w:tabs>
              <w:tab w:val="left" w:pos="660"/>
            </w:tabs>
            <w:rPr>
              <w:rFonts w:asciiTheme="minorHAnsi" w:eastAsiaTheme="minorEastAsia" w:hAnsiTheme="minorHAnsi" w:cstheme="minorBidi"/>
              <w:b w:val="0"/>
              <w:bCs w:val="0"/>
              <w:caps w:val="0"/>
              <w:noProof/>
              <w:kern w:val="2"/>
              <w:sz w:val="24"/>
              <w:szCs w:val="24"/>
              <w:lang w:eastAsia="fr-FR"/>
              <w14:ligatures w14:val="standardContextual"/>
            </w:rPr>
          </w:pPr>
          <w:hyperlink w:anchor="_Toc183015101" w:history="1">
            <w:r w:rsidR="008858C8" w:rsidRPr="00302D6B">
              <w:rPr>
                <w:rStyle w:val="Lienhypertexte"/>
                <w:noProof/>
                <w:lang w:val="en-US"/>
              </w:rPr>
              <w:t>III.</w:t>
            </w:r>
            <w:r w:rsidR="008858C8">
              <w:rPr>
                <w:rFonts w:asciiTheme="minorHAnsi" w:eastAsiaTheme="minorEastAsia" w:hAnsiTheme="minorHAnsi" w:cstheme="minorBidi"/>
                <w:b w:val="0"/>
                <w:bCs w:val="0"/>
                <w:caps w:val="0"/>
                <w:noProof/>
                <w:kern w:val="2"/>
                <w:sz w:val="24"/>
                <w:szCs w:val="24"/>
                <w:lang w:eastAsia="fr-FR"/>
                <w14:ligatures w14:val="standardContextual"/>
              </w:rPr>
              <w:tab/>
            </w:r>
            <w:r w:rsidR="008858C8" w:rsidRPr="00302D6B">
              <w:rPr>
                <w:rStyle w:val="Lienhypertexte"/>
                <w:noProof/>
                <w:lang w:val="en-US"/>
              </w:rPr>
              <w:t>Analysis of transition risks</w:t>
            </w:r>
            <w:r w:rsidR="008858C8">
              <w:rPr>
                <w:noProof/>
                <w:webHidden/>
              </w:rPr>
              <w:tab/>
            </w:r>
            <w:r w:rsidR="008858C8">
              <w:rPr>
                <w:noProof/>
                <w:webHidden/>
              </w:rPr>
              <w:fldChar w:fldCharType="begin"/>
            </w:r>
            <w:r w:rsidR="008858C8">
              <w:rPr>
                <w:noProof/>
                <w:webHidden/>
              </w:rPr>
              <w:instrText xml:space="preserve"> PAGEREF _Toc183015101 \h </w:instrText>
            </w:r>
            <w:r w:rsidR="008858C8">
              <w:rPr>
                <w:noProof/>
                <w:webHidden/>
              </w:rPr>
            </w:r>
            <w:r w:rsidR="008858C8">
              <w:rPr>
                <w:noProof/>
                <w:webHidden/>
              </w:rPr>
              <w:fldChar w:fldCharType="separate"/>
            </w:r>
            <w:r w:rsidR="008858C8">
              <w:rPr>
                <w:noProof/>
                <w:webHidden/>
              </w:rPr>
              <w:t>26</w:t>
            </w:r>
            <w:r w:rsidR="008858C8">
              <w:rPr>
                <w:noProof/>
                <w:webHidden/>
              </w:rPr>
              <w:fldChar w:fldCharType="end"/>
            </w:r>
          </w:hyperlink>
        </w:p>
        <w:p w14:paraId="6EF6386A" w14:textId="41F4E6A5" w:rsidR="008858C8" w:rsidRDefault="00000000">
          <w:pPr>
            <w:pStyle w:val="TM2"/>
            <w:rPr>
              <w:rFonts w:asciiTheme="minorHAnsi" w:eastAsiaTheme="minorEastAsia" w:hAnsiTheme="minorHAnsi" w:cstheme="minorBidi"/>
              <w:smallCaps w:val="0"/>
              <w:noProof/>
              <w:kern w:val="2"/>
              <w:sz w:val="24"/>
              <w:szCs w:val="24"/>
              <w:lang w:eastAsia="fr-FR"/>
              <w14:ligatures w14:val="standardContextual"/>
            </w:rPr>
          </w:pPr>
          <w:hyperlink w:anchor="_Toc183015102" w:history="1">
            <w:r w:rsidR="008858C8" w:rsidRPr="00302D6B">
              <w:rPr>
                <w:rStyle w:val="Lienhypertexte"/>
                <w:noProof/>
                <w:lang w:val="en-US"/>
              </w:rPr>
              <w:t>1.</w:t>
            </w:r>
            <w:r w:rsidR="008858C8">
              <w:rPr>
                <w:rFonts w:asciiTheme="minorHAnsi" w:eastAsiaTheme="minorEastAsia" w:hAnsiTheme="minorHAnsi" w:cstheme="minorBidi"/>
                <w:smallCaps w:val="0"/>
                <w:noProof/>
                <w:kern w:val="2"/>
                <w:sz w:val="24"/>
                <w:szCs w:val="24"/>
                <w:lang w:eastAsia="fr-FR"/>
                <w14:ligatures w14:val="standardContextual"/>
              </w:rPr>
              <w:tab/>
            </w:r>
            <w:r w:rsidR="008858C8" w:rsidRPr="00302D6B">
              <w:rPr>
                <w:rStyle w:val="Lienhypertexte"/>
                <w:noProof/>
                <w:lang w:val="en-US"/>
              </w:rPr>
              <w:t>Methodological approach</w:t>
            </w:r>
            <w:r w:rsidR="008858C8">
              <w:rPr>
                <w:noProof/>
                <w:webHidden/>
              </w:rPr>
              <w:tab/>
            </w:r>
            <w:r w:rsidR="008858C8">
              <w:rPr>
                <w:noProof/>
                <w:webHidden/>
              </w:rPr>
              <w:fldChar w:fldCharType="begin"/>
            </w:r>
            <w:r w:rsidR="008858C8">
              <w:rPr>
                <w:noProof/>
                <w:webHidden/>
              </w:rPr>
              <w:instrText xml:space="preserve"> PAGEREF _Toc183015102 \h </w:instrText>
            </w:r>
            <w:r w:rsidR="008858C8">
              <w:rPr>
                <w:noProof/>
                <w:webHidden/>
              </w:rPr>
            </w:r>
            <w:r w:rsidR="008858C8">
              <w:rPr>
                <w:noProof/>
                <w:webHidden/>
              </w:rPr>
              <w:fldChar w:fldCharType="separate"/>
            </w:r>
            <w:r w:rsidR="008858C8">
              <w:rPr>
                <w:noProof/>
                <w:webHidden/>
              </w:rPr>
              <w:t>26</w:t>
            </w:r>
            <w:r w:rsidR="008858C8">
              <w:rPr>
                <w:noProof/>
                <w:webHidden/>
              </w:rPr>
              <w:fldChar w:fldCharType="end"/>
            </w:r>
          </w:hyperlink>
        </w:p>
        <w:p w14:paraId="76DF22F4" w14:textId="5D87E4EE" w:rsidR="008858C8" w:rsidRDefault="00000000">
          <w:pPr>
            <w:pStyle w:val="TM2"/>
            <w:rPr>
              <w:rFonts w:asciiTheme="minorHAnsi" w:eastAsiaTheme="minorEastAsia" w:hAnsiTheme="minorHAnsi" w:cstheme="minorBidi"/>
              <w:smallCaps w:val="0"/>
              <w:noProof/>
              <w:kern w:val="2"/>
              <w:sz w:val="24"/>
              <w:szCs w:val="24"/>
              <w:lang w:eastAsia="fr-FR"/>
              <w14:ligatures w14:val="standardContextual"/>
            </w:rPr>
          </w:pPr>
          <w:hyperlink w:anchor="_Toc183015103" w:history="1">
            <w:r w:rsidR="008858C8" w:rsidRPr="00302D6B">
              <w:rPr>
                <w:rStyle w:val="Lienhypertexte"/>
                <w:noProof/>
                <w:lang w:val="en-US"/>
              </w:rPr>
              <w:t>2. Analysis a sub-risk level</w:t>
            </w:r>
            <w:r w:rsidR="008858C8">
              <w:rPr>
                <w:noProof/>
                <w:webHidden/>
              </w:rPr>
              <w:tab/>
            </w:r>
            <w:r w:rsidR="008858C8">
              <w:rPr>
                <w:noProof/>
                <w:webHidden/>
              </w:rPr>
              <w:fldChar w:fldCharType="begin"/>
            </w:r>
            <w:r w:rsidR="008858C8">
              <w:rPr>
                <w:noProof/>
                <w:webHidden/>
              </w:rPr>
              <w:instrText xml:space="preserve"> PAGEREF _Toc183015103 \h </w:instrText>
            </w:r>
            <w:r w:rsidR="008858C8">
              <w:rPr>
                <w:noProof/>
                <w:webHidden/>
              </w:rPr>
            </w:r>
            <w:r w:rsidR="008858C8">
              <w:rPr>
                <w:noProof/>
                <w:webHidden/>
              </w:rPr>
              <w:fldChar w:fldCharType="separate"/>
            </w:r>
            <w:r w:rsidR="008858C8">
              <w:rPr>
                <w:noProof/>
                <w:webHidden/>
              </w:rPr>
              <w:t>27</w:t>
            </w:r>
            <w:r w:rsidR="008858C8">
              <w:rPr>
                <w:noProof/>
                <w:webHidden/>
              </w:rPr>
              <w:fldChar w:fldCharType="end"/>
            </w:r>
          </w:hyperlink>
        </w:p>
        <w:p w14:paraId="694CF2EF" w14:textId="185E5E54" w:rsidR="008858C8" w:rsidRDefault="00000000">
          <w:pPr>
            <w:pStyle w:val="TM3"/>
            <w:tabs>
              <w:tab w:val="left" w:pos="880"/>
              <w:tab w:val="right" w:leader="dot" w:pos="9062"/>
            </w:tabs>
            <w:rPr>
              <w:rFonts w:asciiTheme="minorHAnsi" w:eastAsiaTheme="minorEastAsia" w:hAnsiTheme="minorHAnsi" w:cstheme="minorBidi"/>
              <w:i w:val="0"/>
              <w:iCs w:val="0"/>
              <w:noProof/>
              <w:kern w:val="2"/>
              <w:sz w:val="24"/>
              <w:szCs w:val="24"/>
              <w:lang w:eastAsia="fr-FR"/>
              <w14:ligatures w14:val="standardContextual"/>
            </w:rPr>
          </w:pPr>
          <w:hyperlink w:anchor="_Toc183015104" w:history="1">
            <w:r w:rsidR="008858C8" w:rsidRPr="00302D6B">
              <w:rPr>
                <w:rStyle w:val="Lienhypertexte"/>
                <w:noProof/>
                <w:lang w:val="en-US"/>
              </w:rPr>
              <w:t>a.</w:t>
            </w:r>
            <w:r w:rsidR="008858C8">
              <w:rPr>
                <w:rFonts w:asciiTheme="minorHAnsi" w:eastAsiaTheme="minorEastAsia" w:hAnsiTheme="minorHAnsi" w:cstheme="minorBidi"/>
                <w:i w:val="0"/>
                <w:iCs w:val="0"/>
                <w:noProof/>
                <w:kern w:val="2"/>
                <w:sz w:val="24"/>
                <w:szCs w:val="24"/>
                <w:lang w:eastAsia="fr-FR"/>
                <w14:ligatures w14:val="standardContextual"/>
              </w:rPr>
              <w:tab/>
            </w:r>
            <w:r w:rsidR="008858C8" w:rsidRPr="00302D6B">
              <w:rPr>
                <w:rStyle w:val="Lienhypertexte"/>
                <w:noProof/>
                <w:lang w:val="en-US"/>
              </w:rPr>
              <w:t>Sustainability reporting mandates</w:t>
            </w:r>
            <w:r w:rsidR="008858C8">
              <w:rPr>
                <w:noProof/>
                <w:webHidden/>
              </w:rPr>
              <w:tab/>
            </w:r>
            <w:r w:rsidR="008858C8">
              <w:rPr>
                <w:noProof/>
                <w:webHidden/>
              </w:rPr>
              <w:fldChar w:fldCharType="begin"/>
            </w:r>
            <w:r w:rsidR="008858C8">
              <w:rPr>
                <w:noProof/>
                <w:webHidden/>
              </w:rPr>
              <w:instrText xml:space="preserve"> PAGEREF _Toc183015104 \h </w:instrText>
            </w:r>
            <w:r w:rsidR="008858C8">
              <w:rPr>
                <w:noProof/>
                <w:webHidden/>
              </w:rPr>
            </w:r>
            <w:r w:rsidR="008858C8">
              <w:rPr>
                <w:noProof/>
                <w:webHidden/>
              </w:rPr>
              <w:fldChar w:fldCharType="separate"/>
            </w:r>
            <w:r w:rsidR="008858C8">
              <w:rPr>
                <w:noProof/>
                <w:webHidden/>
              </w:rPr>
              <w:t>27</w:t>
            </w:r>
            <w:r w:rsidR="008858C8">
              <w:rPr>
                <w:noProof/>
                <w:webHidden/>
              </w:rPr>
              <w:fldChar w:fldCharType="end"/>
            </w:r>
          </w:hyperlink>
        </w:p>
        <w:p w14:paraId="4810A440" w14:textId="17858858" w:rsidR="008858C8" w:rsidRDefault="00000000">
          <w:pPr>
            <w:pStyle w:val="TM3"/>
            <w:tabs>
              <w:tab w:val="left" w:pos="880"/>
              <w:tab w:val="right" w:leader="dot" w:pos="9062"/>
            </w:tabs>
            <w:rPr>
              <w:rFonts w:asciiTheme="minorHAnsi" w:eastAsiaTheme="minorEastAsia" w:hAnsiTheme="minorHAnsi" w:cstheme="minorBidi"/>
              <w:i w:val="0"/>
              <w:iCs w:val="0"/>
              <w:noProof/>
              <w:kern w:val="2"/>
              <w:sz w:val="24"/>
              <w:szCs w:val="24"/>
              <w:lang w:eastAsia="fr-FR"/>
              <w14:ligatures w14:val="standardContextual"/>
            </w:rPr>
          </w:pPr>
          <w:hyperlink w:anchor="_Toc183015105" w:history="1">
            <w:r w:rsidR="008858C8" w:rsidRPr="00302D6B">
              <w:rPr>
                <w:rStyle w:val="Lienhypertexte"/>
                <w:noProof/>
                <w:lang w:val="en-US"/>
              </w:rPr>
              <w:t>b.</w:t>
            </w:r>
            <w:r w:rsidR="008858C8">
              <w:rPr>
                <w:rFonts w:asciiTheme="minorHAnsi" w:eastAsiaTheme="minorEastAsia" w:hAnsiTheme="minorHAnsi" w:cstheme="minorBidi"/>
                <w:i w:val="0"/>
                <w:iCs w:val="0"/>
                <w:noProof/>
                <w:kern w:val="2"/>
                <w:sz w:val="24"/>
                <w:szCs w:val="24"/>
                <w:lang w:eastAsia="fr-FR"/>
                <w14:ligatures w14:val="standardContextual"/>
              </w:rPr>
              <w:tab/>
            </w:r>
            <w:r w:rsidR="008858C8" w:rsidRPr="00302D6B">
              <w:rPr>
                <w:rStyle w:val="Lienhypertexte"/>
                <w:noProof/>
                <w:lang w:val="en-US"/>
              </w:rPr>
              <w:t>Increasing pricing of GHG emissions</w:t>
            </w:r>
            <w:r w:rsidR="008858C8">
              <w:rPr>
                <w:noProof/>
                <w:webHidden/>
              </w:rPr>
              <w:tab/>
            </w:r>
            <w:r w:rsidR="008858C8">
              <w:rPr>
                <w:noProof/>
                <w:webHidden/>
              </w:rPr>
              <w:fldChar w:fldCharType="begin"/>
            </w:r>
            <w:r w:rsidR="008858C8">
              <w:rPr>
                <w:noProof/>
                <w:webHidden/>
              </w:rPr>
              <w:instrText xml:space="preserve"> PAGEREF _Toc183015105 \h </w:instrText>
            </w:r>
            <w:r w:rsidR="008858C8">
              <w:rPr>
                <w:noProof/>
                <w:webHidden/>
              </w:rPr>
            </w:r>
            <w:r w:rsidR="008858C8">
              <w:rPr>
                <w:noProof/>
                <w:webHidden/>
              </w:rPr>
              <w:fldChar w:fldCharType="separate"/>
            </w:r>
            <w:r w:rsidR="008858C8">
              <w:rPr>
                <w:noProof/>
                <w:webHidden/>
              </w:rPr>
              <w:t>29</w:t>
            </w:r>
            <w:r w:rsidR="008858C8">
              <w:rPr>
                <w:noProof/>
                <w:webHidden/>
              </w:rPr>
              <w:fldChar w:fldCharType="end"/>
            </w:r>
          </w:hyperlink>
        </w:p>
        <w:p w14:paraId="4179F488" w14:textId="0F221075" w:rsidR="008858C8" w:rsidRDefault="00000000">
          <w:pPr>
            <w:pStyle w:val="TM3"/>
            <w:tabs>
              <w:tab w:val="left" w:pos="880"/>
              <w:tab w:val="right" w:leader="dot" w:pos="9062"/>
            </w:tabs>
            <w:rPr>
              <w:rFonts w:asciiTheme="minorHAnsi" w:eastAsiaTheme="minorEastAsia" w:hAnsiTheme="minorHAnsi" w:cstheme="minorBidi"/>
              <w:i w:val="0"/>
              <w:iCs w:val="0"/>
              <w:noProof/>
              <w:kern w:val="2"/>
              <w:sz w:val="24"/>
              <w:szCs w:val="24"/>
              <w:lang w:eastAsia="fr-FR"/>
              <w14:ligatures w14:val="standardContextual"/>
            </w:rPr>
          </w:pPr>
          <w:hyperlink w:anchor="_Toc183015106" w:history="1">
            <w:r w:rsidR="008858C8" w:rsidRPr="00302D6B">
              <w:rPr>
                <w:rStyle w:val="Lienhypertexte"/>
                <w:noProof/>
                <w:lang w:val="en-US"/>
              </w:rPr>
              <w:t>c.</w:t>
            </w:r>
            <w:r w:rsidR="008858C8">
              <w:rPr>
                <w:rFonts w:asciiTheme="minorHAnsi" w:eastAsiaTheme="minorEastAsia" w:hAnsiTheme="minorHAnsi" w:cstheme="minorBidi"/>
                <w:i w:val="0"/>
                <w:iCs w:val="0"/>
                <w:noProof/>
                <w:kern w:val="2"/>
                <w:sz w:val="24"/>
                <w:szCs w:val="24"/>
                <w:lang w:eastAsia="fr-FR"/>
                <w14:ligatures w14:val="standardContextual"/>
              </w:rPr>
              <w:tab/>
            </w:r>
            <w:r w:rsidR="008858C8" w:rsidRPr="00302D6B">
              <w:rPr>
                <w:rStyle w:val="Lienhypertexte"/>
                <w:noProof/>
                <w:lang w:val="en-US"/>
              </w:rPr>
              <w:t>Regulatory mandates on low-carbon fuel use and energy efficiency</w:t>
            </w:r>
            <w:r w:rsidR="008858C8">
              <w:rPr>
                <w:noProof/>
                <w:webHidden/>
              </w:rPr>
              <w:tab/>
            </w:r>
            <w:r w:rsidR="008858C8">
              <w:rPr>
                <w:noProof/>
                <w:webHidden/>
              </w:rPr>
              <w:fldChar w:fldCharType="begin"/>
            </w:r>
            <w:r w:rsidR="008858C8">
              <w:rPr>
                <w:noProof/>
                <w:webHidden/>
              </w:rPr>
              <w:instrText xml:space="preserve"> PAGEREF _Toc183015106 \h </w:instrText>
            </w:r>
            <w:r w:rsidR="008858C8">
              <w:rPr>
                <w:noProof/>
                <w:webHidden/>
              </w:rPr>
            </w:r>
            <w:r w:rsidR="008858C8">
              <w:rPr>
                <w:noProof/>
                <w:webHidden/>
              </w:rPr>
              <w:fldChar w:fldCharType="separate"/>
            </w:r>
            <w:r w:rsidR="008858C8">
              <w:rPr>
                <w:noProof/>
                <w:webHidden/>
              </w:rPr>
              <w:t>31</w:t>
            </w:r>
            <w:r w:rsidR="008858C8">
              <w:rPr>
                <w:noProof/>
                <w:webHidden/>
              </w:rPr>
              <w:fldChar w:fldCharType="end"/>
            </w:r>
          </w:hyperlink>
        </w:p>
        <w:p w14:paraId="7EA6D19B" w14:textId="0479D7AA" w:rsidR="008858C8" w:rsidRDefault="00000000">
          <w:pPr>
            <w:pStyle w:val="TM3"/>
            <w:tabs>
              <w:tab w:val="left" w:pos="880"/>
              <w:tab w:val="right" w:leader="dot" w:pos="9062"/>
            </w:tabs>
            <w:rPr>
              <w:rFonts w:asciiTheme="minorHAnsi" w:eastAsiaTheme="minorEastAsia" w:hAnsiTheme="minorHAnsi" w:cstheme="minorBidi"/>
              <w:i w:val="0"/>
              <w:iCs w:val="0"/>
              <w:noProof/>
              <w:kern w:val="2"/>
              <w:sz w:val="24"/>
              <w:szCs w:val="24"/>
              <w:lang w:eastAsia="fr-FR"/>
              <w14:ligatures w14:val="standardContextual"/>
            </w:rPr>
          </w:pPr>
          <w:hyperlink w:anchor="_Toc183015107" w:history="1">
            <w:r w:rsidR="008858C8" w:rsidRPr="00302D6B">
              <w:rPr>
                <w:rStyle w:val="Lienhypertexte"/>
                <w:noProof/>
                <w:lang w:val="en-US"/>
              </w:rPr>
              <w:t>d.</w:t>
            </w:r>
            <w:r w:rsidR="008858C8">
              <w:rPr>
                <w:rFonts w:asciiTheme="minorHAnsi" w:eastAsiaTheme="minorEastAsia" w:hAnsiTheme="minorHAnsi" w:cstheme="minorBidi"/>
                <w:i w:val="0"/>
                <w:iCs w:val="0"/>
                <w:noProof/>
                <w:kern w:val="2"/>
                <w:sz w:val="24"/>
                <w:szCs w:val="24"/>
                <w:lang w:eastAsia="fr-FR"/>
                <w14:ligatures w14:val="standardContextual"/>
              </w:rPr>
              <w:tab/>
            </w:r>
            <w:r w:rsidR="008858C8" w:rsidRPr="00302D6B">
              <w:rPr>
                <w:rStyle w:val="Lienhypertexte"/>
                <w:noProof/>
                <w:lang w:val="en-US"/>
              </w:rPr>
              <w:t>Limited biofuel of e-fuel availability</w:t>
            </w:r>
            <w:r w:rsidR="008858C8">
              <w:rPr>
                <w:noProof/>
                <w:webHidden/>
              </w:rPr>
              <w:tab/>
            </w:r>
            <w:r w:rsidR="008858C8">
              <w:rPr>
                <w:noProof/>
                <w:webHidden/>
              </w:rPr>
              <w:fldChar w:fldCharType="begin"/>
            </w:r>
            <w:r w:rsidR="008858C8">
              <w:rPr>
                <w:noProof/>
                <w:webHidden/>
              </w:rPr>
              <w:instrText xml:space="preserve"> PAGEREF _Toc183015107 \h </w:instrText>
            </w:r>
            <w:r w:rsidR="008858C8">
              <w:rPr>
                <w:noProof/>
                <w:webHidden/>
              </w:rPr>
            </w:r>
            <w:r w:rsidR="008858C8">
              <w:rPr>
                <w:noProof/>
                <w:webHidden/>
              </w:rPr>
              <w:fldChar w:fldCharType="separate"/>
            </w:r>
            <w:r w:rsidR="008858C8">
              <w:rPr>
                <w:noProof/>
                <w:webHidden/>
              </w:rPr>
              <w:t>34</w:t>
            </w:r>
            <w:r w:rsidR="008858C8">
              <w:rPr>
                <w:noProof/>
                <w:webHidden/>
              </w:rPr>
              <w:fldChar w:fldCharType="end"/>
            </w:r>
          </w:hyperlink>
        </w:p>
        <w:p w14:paraId="60C41D18" w14:textId="5686993D" w:rsidR="008858C8" w:rsidRDefault="00000000">
          <w:pPr>
            <w:pStyle w:val="TM3"/>
            <w:tabs>
              <w:tab w:val="left" w:pos="880"/>
              <w:tab w:val="right" w:leader="dot" w:pos="9062"/>
            </w:tabs>
            <w:rPr>
              <w:rFonts w:asciiTheme="minorHAnsi" w:eastAsiaTheme="minorEastAsia" w:hAnsiTheme="minorHAnsi" w:cstheme="minorBidi"/>
              <w:i w:val="0"/>
              <w:iCs w:val="0"/>
              <w:noProof/>
              <w:kern w:val="2"/>
              <w:sz w:val="24"/>
              <w:szCs w:val="24"/>
              <w:lang w:eastAsia="fr-FR"/>
              <w14:ligatures w14:val="standardContextual"/>
            </w:rPr>
          </w:pPr>
          <w:hyperlink w:anchor="_Toc183015108" w:history="1">
            <w:r w:rsidR="008858C8" w:rsidRPr="00302D6B">
              <w:rPr>
                <w:rStyle w:val="Lienhypertexte"/>
                <w:noProof/>
                <w:lang w:val="en-US"/>
              </w:rPr>
              <w:t>e.</w:t>
            </w:r>
            <w:r w:rsidR="008858C8">
              <w:rPr>
                <w:rFonts w:asciiTheme="minorHAnsi" w:eastAsiaTheme="minorEastAsia" w:hAnsiTheme="minorHAnsi" w:cstheme="minorBidi"/>
                <w:i w:val="0"/>
                <w:iCs w:val="0"/>
                <w:noProof/>
                <w:kern w:val="2"/>
                <w:sz w:val="24"/>
                <w:szCs w:val="24"/>
                <w:lang w:eastAsia="fr-FR"/>
                <w14:ligatures w14:val="standardContextual"/>
              </w:rPr>
              <w:tab/>
            </w:r>
            <w:r w:rsidR="008858C8" w:rsidRPr="00302D6B">
              <w:rPr>
                <w:rStyle w:val="Lienhypertexte"/>
                <w:noProof/>
                <w:lang w:val="en-US"/>
              </w:rPr>
              <w:t>Reduction of oil and gas demand</w:t>
            </w:r>
            <w:r w:rsidR="008858C8">
              <w:rPr>
                <w:noProof/>
                <w:webHidden/>
              </w:rPr>
              <w:tab/>
            </w:r>
            <w:r w:rsidR="008858C8">
              <w:rPr>
                <w:noProof/>
                <w:webHidden/>
              </w:rPr>
              <w:fldChar w:fldCharType="begin"/>
            </w:r>
            <w:r w:rsidR="008858C8">
              <w:rPr>
                <w:noProof/>
                <w:webHidden/>
              </w:rPr>
              <w:instrText xml:space="preserve"> PAGEREF _Toc183015108 \h </w:instrText>
            </w:r>
            <w:r w:rsidR="008858C8">
              <w:rPr>
                <w:noProof/>
                <w:webHidden/>
              </w:rPr>
            </w:r>
            <w:r w:rsidR="008858C8">
              <w:rPr>
                <w:noProof/>
                <w:webHidden/>
              </w:rPr>
              <w:fldChar w:fldCharType="separate"/>
            </w:r>
            <w:r w:rsidR="008858C8">
              <w:rPr>
                <w:noProof/>
                <w:webHidden/>
              </w:rPr>
              <w:t>36</w:t>
            </w:r>
            <w:r w:rsidR="008858C8">
              <w:rPr>
                <w:noProof/>
                <w:webHidden/>
              </w:rPr>
              <w:fldChar w:fldCharType="end"/>
            </w:r>
          </w:hyperlink>
        </w:p>
        <w:p w14:paraId="5E9D103D" w14:textId="78604117" w:rsidR="008858C8" w:rsidRDefault="00000000">
          <w:pPr>
            <w:pStyle w:val="TM2"/>
            <w:rPr>
              <w:rFonts w:asciiTheme="minorHAnsi" w:eastAsiaTheme="minorEastAsia" w:hAnsiTheme="minorHAnsi" w:cstheme="minorBidi"/>
              <w:smallCaps w:val="0"/>
              <w:noProof/>
              <w:kern w:val="2"/>
              <w:sz w:val="24"/>
              <w:szCs w:val="24"/>
              <w:lang w:eastAsia="fr-FR"/>
              <w14:ligatures w14:val="standardContextual"/>
            </w:rPr>
          </w:pPr>
          <w:hyperlink w:anchor="_Toc183015109" w:history="1">
            <w:r w:rsidR="008858C8" w:rsidRPr="00302D6B">
              <w:rPr>
                <w:rStyle w:val="Lienhypertexte"/>
                <w:noProof/>
                <w:lang w:val="en-US"/>
              </w:rPr>
              <w:t>3. Summary of transition risk impacts</w:t>
            </w:r>
            <w:r w:rsidR="008858C8">
              <w:rPr>
                <w:noProof/>
                <w:webHidden/>
              </w:rPr>
              <w:tab/>
            </w:r>
            <w:r w:rsidR="008858C8">
              <w:rPr>
                <w:noProof/>
                <w:webHidden/>
              </w:rPr>
              <w:fldChar w:fldCharType="begin"/>
            </w:r>
            <w:r w:rsidR="008858C8">
              <w:rPr>
                <w:noProof/>
                <w:webHidden/>
              </w:rPr>
              <w:instrText xml:space="preserve"> PAGEREF _Toc183015109 \h </w:instrText>
            </w:r>
            <w:r w:rsidR="008858C8">
              <w:rPr>
                <w:noProof/>
                <w:webHidden/>
              </w:rPr>
            </w:r>
            <w:r w:rsidR="008858C8">
              <w:rPr>
                <w:noProof/>
                <w:webHidden/>
              </w:rPr>
              <w:fldChar w:fldCharType="separate"/>
            </w:r>
            <w:r w:rsidR="008858C8">
              <w:rPr>
                <w:noProof/>
                <w:webHidden/>
              </w:rPr>
              <w:t>41</w:t>
            </w:r>
            <w:r w:rsidR="008858C8">
              <w:rPr>
                <w:noProof/>
                <w:webHidden/>
              </w:rPr>
              <w:fldChar w:fldCharType="end"/>
            </w:r>
          </w:hyperlink>
        </w:p>
        <w:p w14:paraId="4A84CAED" w14:textId="04B767FB" w:rsidR="008858C8" w:rsidRDefault="00000000">
          <w:pPr>
            <w:pStyle w:val="TM2"/>
            <w:rPr>
              <w:rFonts w:asciiTheme="minorHAnsi" w:eastAsiaTheme="minorEastAsia" w:hAnsiTheme="minorHAnsi" w:cstheme="minorBidi"/>
              <w:smallCaps w:val="0"/>
              <w:noProof/>
              <w:kern w:val="2"/>
              <w:sz w:val="24"/>
              <w:szCs w:val="24"/>
              <w:lang w:eastAsia="fr-FR"/>
              <w14:ligatures w14:val="standardContextual"/>
            </w:rPr>
          </w:pPr>
          <w:hyperlink w:anchor="_Toc183015110" w:history="1">
            <w:r w:rsidR="008858C8" w:rsidRPr="00302D6B">
              <w:rPr>
                <w:rStyle w:val="Lienhypertexte"/>
                <w:bCs/>
                <w:noProof/>
                <w:lang w:val="en-US"/>
              </w:rPr>
              <w:t>4.</w:t>
            </w:r>
            <w:r w:rsidR="008858C8">
              <w:rPr>
                <w:rFonts w:asciiTheme="minorHAnsi" w:eastAsiaTheme="minorEastAsia" w:hAnsiTheme="minorHAnsi" w:cstheme="minorBidi"/>
                <w:smallCaps w:val="0"/>
                <w:noProof/>
                <w:kern w:val="2"/>
                <w:sz w:val="24"/>
                <w:szCs w:val="24"/>
                <w:lang w:eastAsia="fr-FR"/>
                <w14:ligatures w14:val="standardContextual"/>
              </w:rPr>
              <w:tab/>
            </w:r>
            <w:r w:rsidR="008858C8" w:rsidRPr="00302D6B">
              <w:rPr>
                <w:rStyle w:val="Lienhypertexte"/>
                <w:bCs/>
                <w:noProof/>
                <w:lang w:val="en-US"/>
              </w:rPr>
              <w:t>Conclusion</w:t>
            </w:r>
            <w:r w:rsidR="008858C8">
              <w:rPr>
                <w:noProof/>
                <w:webHidden/>
              </w:rPr>
              <w:tab/>
            </w:r>
            <w:r w:rsidR="008858C8">
              <w:rPr>
                <w:noProof/>
                <w:webHidden/>
              </w:rPr>
              <w:fldChar w:fldCharType="begin"/>
            </w:r>
            <w:r w:rsidR="008858C8">
              <w:rPr>
                <w:noProof/>
                <w:webHidden/>
              </w:rPr>
              <w:instrText xml:space="preserve"> PAGEREF _Toc183015110 \h </w:instrText>
            </w:r>
            <w:r w:rsidR="008858C8">
              <w:rPr>
                <w:noProof/>
                <w:webHidden/>
              </w:rPr>
            </w:r>
            <w:r w:rsidR="008858C8">
              <w:rPr>
                <w:noProof/>
                <w:webHidden/>
              </w:rPr>
              <w:fldChar w:fldCharType="separate"/>
            </w:r>
            <w:r w:rsidR="008858C8">
              <w:rPr>
                <w:noProof/>
                <w:webHidden/>
              </w:rPr>
              <w:t>44</w:t>
            </w:r>
            <w:r w:rsidR="008858C8">
              <w:rPr>
                <w:noProof/>
                <w:webHidden/>
              </w:rPr>
              <w:fldChar w:fldCharType="end"/>
            </w:r>
          </w:hyperlink>
        </w:p>
        <w:p w14:paraId="6369CCF9" w14:textId="56BBE162" w:rsidR="008858C8" w:rsidRDefault="00000000">
          <w:pPr>
            <w:pStyle w:val="TM1"/>
            <w:rPr>
              <w:rFonts w:asciiTheme="minorHAnsi" w:eastAsiaTheme="minorEastAsia" w:hAnsiTheme="minorHAnsi" w:cstheme="minorBidi"/>
              <w:b w:val="0"/>
              <w:bCs w:val="0"/>
              <w:caps w:val="0"/>
              <w:noProof/>
              <w:kern w:val="2"/>
              <w:sz w:val="24"/>
              <w:szCs w:val="24"/>
              <w:lang w:eastAsia="fr-FR"/>
              <w14:ligatures w14:val="standardContextual"/>
            </w:rPr>
          </w:pPr>
          <w:hyperlink w:anchor="_Toc183015111" w:history="1">
            <w:r w:rsidR="008858C8" w:rsidRPr="00302D6B">
              <w:rPr>
                <w:rStyle w:val="Lienhypertexte"/>
                <w:rFonts w:eastAsiaTheme="majorEastAsia" w:cstheme="majorBidi"/>
                <w:noProof/>
                <w:lang w:val="en-US"/>
              </w:rPr>
              <w:t>Appendices</w:t>
            </w:r>
            <w:r w:rsidR="008858C8">
              <w:rPr>
                <w:noProof/>
                <w:webHidden/>
              </w:rPr>
              <w:tab/>
            </w:r>
            <w:r w:rsidR="008858C8">
              <w:rPr>
                <w:noProof/>
                <w:webHidden/>
              </w:rPr>
              <w:fldChar w:fldCharType="begin"/>
            </w:r>
            <w:r w:rsidR="008858C8">
              <w:rPr>
                <w:noProof/>
                <w:webHidden/>
              </w:rPr>
              <w:instrText xml:space="preserve"> PAGEREF _Toc183015111 \h </w:instrText>
            </w:r>
            <w:r w:rsidR="008858C8">
              <w:rPr>
                <w:noProof/>
                <w:webHidden/>
              </w:rPr>
            </w:r>
            <w:r w:rsidR="008858C8">
              <w:rPr>
                <w:noProof/>
                <w:webHidden/>
              </w:rPr>
              <w:fldChar w:fldCharType="separate"/>
            </w:r>
            <w:r w:rsidR="008858C8">
              <w:rPr>
                <w:noProof/>
                <w:webHidden/>
              </w:rPr>
              <w:t>45</w:t>
            </w:r>
            <w:r w:rsidR="008858C8">
              <w:rPr>
                <w:noProof/>
                <w:webHidden/>
              </w:rPr>
              <w:fldChar w:fldCharType="end"/>
            </w:r>
          </w:hyperlink>
        </w:p>
        <w:p w14:paraId="6CE9555B" w14:textId="11C27A9F" w:rsidR="008858C8" w:rsidRDefault="00000000">
          <w:pPr>
            <w:pStyle w:val="TM2"/>
            <w:rPr>
              <w:rFonts w:asciiTheme="minorHAnsi" w:eastAsiaTheme="minorEastAsia" w:hAnsiTheme="minorHAnsi" w:cstheme="minorBidi"/>
              <w:smallCaps w:val="0"/>
              <w:noProof/>
              <w:kern w:val="2"/>
              <w:sz w:val="24"/>
              <w:szCs w:val="24"/>
              <w:lang w:eastAsia="fr-FR"/>
              <w14:ligatures w14:val="standardContextual"/>
            </w:rPr>
          </w:pPr>
          <w:hyperlink w:anchor="_Toc183015112" w:history="1">
            <w:r w:rsidR="008858C8" w:rsidRPr="00302D6B">
              <w:rPr>
                <w:rStyle w:val="Lienhypertexte"/>
                <w:noProof/>
                <w:lang w:val="en-US"/>
              </w:rPr>
              <w:t>Appendix 1 - Definition of key concepts</w:t>
            </w:r>
            <w:r w:rsidR="008858C8">
              <w:rPr>
                <w:noProof/>
                <w:webHidden/>
              </w:rPr>
              <w:tab/>
            </w:r>
            <w:r w:rsidR="008858C8">
              <w:rPr>
                <w:noProof/>
                <w:webHidden/>
              </w:rPr>
              <w:fldChar w:fldCharType="begin"/>
            </w:r>
            <w:r w:rsidR="008858C8">
              <w:rPr>
                <w:noProof/>
                <w:webHidden/>
              </w:rPr>
              <w:instrText xml:space="preserve"> PAGEREF _Toc183015112 \h </w:instrText>
            </w:r>
            <w:r w:rsidR="008858C8">
              <w:rPr>
                <w:noProof/>
                <w:webHidden/>
              </w:rPr>
            </w:r>
            <w:r w:rsidR="008858C8">
              <w:rPr>
                <w:noProof/>
                <w:webHidden/>
              </w:rPr>
              <w:fldChar w:fldCharType="separate"/>
            </w:r>
            <w:r w:rsidR="008858C8">
              <w:rPr>
                <w:noProof/>
                <w:webHidden/>
              </w:rPr>
              <w:t>45</w:t>
            </w:r>
            <w:r w:rsidR="008858C8">
              <w:rPr>
                <w:noProof/>
                <w:webHidden/>
              </w:rPr>
              <w:fldChar w:fldCharType="end"/>
            </w:r>
          </w:hyperlink>
        </w:p>
        <w:p w14:paraId="4E7C6949" w14:textId="5BFE8522" w:rsidR="008858C8" w:rsidRDefault="00000000">
          <w:pPr>
            <w:pStyle w:val="TM2"/>
            <w:rPr>
              <w:rFonts w:asciiTheme="minorHAnsi" w:eastAsiaTheme="minorEastAsia" w:hAnsiTheme="minorHAnsi" w:cstheme="minorBidi"/>
              <w:smallCaps w:val="0"/>
              <w:noProof/>
              <w:kern w:val="2"/>
              <w:sz w:val="24"/>
              <w:szCs w:val="24"/>
              <w:lang w:eastAsia="fr-FR"/>
              <w14:ligatures w14:val="standardContextual"/>
            </w:rPr>
          </w:pPr>
          <w:hyperlink w:anchor="_Toc183015113" w:history="1">
            <w:r w:rsidR="008858C8" w:rsidRPr="00302D6B">
              <w:rPr>
                <w:rStyle w:val="Lienhypertexte"/>
                <w:noProof/>
                <w:lang w:val="en-US"/>
              </w:rPr>
              <w:t>Appendix 2 – Exposure analysis for the 5 selected assets</w:t>
            </w:r>
            <w:r w:rsidR="008858C8">
              <w:rPr>
                <w:noProof/>
                <w:webHidden/>
              </w:rPr>
              <w:tab/>
            </w:r>
            <w:r w:rsidR="008858C8">
              <w:rPr>
                <w:noProof/>
                <w:webHidden/>
              </w:rPr>
              <w:fldChar w:fldCharType="begin"/>
            </w:r>
            <w:r w:rsidR="008858C8">
              <w:rPr>
                <w:noProof/>
                <w:webHidden/>
              </w:rPr>
              <w:instrText xml:space="preserve"> PAGEREF _Toc183015113 \h </w:instrText>
            </w:r>
            <w:r w:rsidR="008858C8">
              <w:rPr>
                <w:noProof/>
                <w:webHidden/>
              </w:rPr>
            </w:r>
            <w:r w:rsidR="008858C8">
              <w:rPr>
                <w:noProof/>
                <w:webHidden/>
              </w:rPr>
              <w:fldChar w:fldCharType="separate"/>
            </w:r>
            <w:r w:rsidR="008858C8">
              <w:rPr>
                <w:noProof/>
                <w:webHidden/>
              </w:rPr>
              <w:t>47</w:t>
            </w:r>
            <w:r w:rsidR="008858C8">
              <w:rPr>
                <w:noProof/>
                <w:webHidden/>
              </w:rPr>
              <w:fldChar w:fldCharType="end"/>
            </w:r>
          </w:hyperlink>
        </w:p>
        <w:p w14:paraId="15DFFEA6" w14:textId="291FA783" w:rsidR="008858C8" w:rsidRDefault="00000000">
          <w:pPr>
            <w:pStyle w:val="TM2"/>
            <w:rPr>
              <w:rFonts w:asciiTheme="minorHAnsi" w:eastAsiaTheme="minorEastAsia" w:hAnsiTheme="minorHAnsi" w:cstheme="minorBidi"/>
              <w:smallCaps w:val="0"/>
              <w:noProof/>
              <w:kern w:val="2"/>
              <w:sz w:val="24"/>
              <w:szCs w:val="24"/>
              <w:lang w:eastAsia="fr-FR"/>
              <w14:ligatures w14:val="standardContextual"/>
            </w:rPr>
          </w:pPr>
          <w:hyperlink w:anchor="_Toc183015114" w:history="1">
            <w:r w:rsidR="008858C8" w:rsidRPr="00302D6B">
              <w:rPr>
                <w:rStyle w:val="Lienhypertexte"/>
                <w:rFonts w:eastAsiaTheme="majorEastAsia" w:cstheme="majorBidi"/>
                <w:b/>
                <w:noProof/>
                <w:lang w:val="en-US"/>
              </w:rPr>
              <w:t>About EY</w:t>
            </w:r>
            <w:r w:rsidR="008858C8">
              <w:rPr>
                <w:noProof/>
                <w:webHidden/>
              </w:rPr>
              <w:tab/>
            </w:r>
            <w:r w:rsidR="008858C8">
              <w:rPr>
                <w:noProof/>
                <w:webHidden/>
              </w:rPr>
              <w:fldChar w:fldCharType="begin"/>
            </w:r>
            <w:r w:rsidR="008858C8">
              <w:rPr>
                <w:noProof/>
                <w:webHidden/>
              </w:rPr>
              <w:instrText xml:space="preserve"> PAGEREF _Toc183015114 \h </w:instrText>
            </w:r>
            <w:r w:rsidR="008858C8">
              <w:rPr>
                <w:noProof/>
                <w:webHidden/>
              </w:rPr>
            </w:r>
            <w:r w:rsidR="008858C8">
              <w:rPr>
                <w:noProof/>
                <w:webHidden/>
              </w:rPr>
              <w:fldChar w:fldCharType="separate"/>
            </w:r>
            <w:r w:rsidR="008858C8">
              <w:rPr>
                <w:noProof/>
                <w:webHidden/>
              </w:rPr>
              <w:t>49</w:t>
            </w:r>
            <w:r w:rsidR="008858C8">
              <w:rPr>
                <w:noProof/>
                <w:webHidden/>
              </w:rPr>
              <w:fldChar w:fldCharType="end"/>
            </w:r>
          </w:hyperlink>
        </w:p>
        <w:p w14:paraId="21877116" w14:textId="6E756C20" w:rsidR="00477160" w:rsidRPr="00367C0B" w:rsidRDefault="00477160">
          <w:pPr>
            <w:rPr>
              <w:lang w:val="en-US"/>
            </w:rPr>
          </w:pPr>
          <w:r w:rsidRPr="00367C0B">
            <w:rPr>
              <w:b/>
              <w:bCs/>
              <w:noProof/>
              <w:lang w:val="en-US"/>
            </w:rPr>
            <w:fldChar w:fldCharType="end"/>
          </w:r>
        </w:p>
      </w:sdtContent>
    </w:sdt>
    <w:p w14:paraId="6E9B34D7" w14:textId="77777777" w:rsidR="00EF267F" w:rsidRDefault="00EF267F">
      <w:pPr>
        <w:rPr>
          <w:rFonts w:eastAsiaTheme="majorEastAsia" w:cstheme="majorBidi"/>
          <w:b/>
          <w:color w:val="7F7F7F" w:themeColor="text1" w:themeTint="80"/>
          <w:sz w:val="40"/>
          <w:szCs w:val="32"/>
          <w:lang w:val="en-US"/>
        </w:rPr>
      </w:pPr>
      <w:r>
        <w:rPr>
          <w:rFonts w:eastAsiaTheme="majorEastAsia" w:cstheme="majorBidi"/>
          <w:b/>
          <w:color w:val="7F7F7F" w:themeColor="text1" w:themeTint="80"/>
          <w:sz w:val="40"/>
          <w:szCs w:val="32"/>
          <w:lang w:val="en-US"/>
        </w:rPr>
        <w:br w:type="page"/>
      </w:r>
    </w:p>
    <w:p w14:paraId="1079E3CD" w14:textId="5A9ABD2A" w:rsidR="00A4603E" w:rsidRDefault="00A4603E" w:rsidP="00EE419A">
      <w:pPr>
        <w:pStyle w:val="Titre1"/>
        <w:rPr>
          <w:lang w:val="en-US"/>
        </w:rPr>
      </w:pPr>
      <w:bookmarkStart w:id="5" w:name="_Toc183015085"/>
      <w:r>
        <w:rPr>
          <w:lang w:val="en-US"/>
        </w:rPr>
        <w:lastRenderedPageBreak/>
        <w:t>List of figures</w:t>
      </w:r>
      <w:bookmarkEnd w:id="5"/>
    </w:p>
    <w:p w14:paraId="4B7EE0F4" w14:textId="0D1941E8" w:rsidR="00F2011E" w:rsidRPr="00367C0B" w:rsidRDefault="00A4603E">
      <w:pPr>
        <w:pStyle w:val="Tabledesillustrations"/>
        <w:tabs>
          <w:tab w:val="right" w:leader="dot" w:pos="9062"/>
        </w:tabs>
        <w:rPr>
          <w:rFonts w:asciiTheme="minorHAnsi" w:eastAsiaTheme="minorEastAsia" w:hAnsiTheme="minorHAnsi"/>
          <w:kern w:val="2"/>
          <w:lang w:val="en-US" w:eastAsia="fr-FR"/>
          <w14:ligatures w14:val="standardContextual"/>
        </w:rPr>
      </w:pPr>
      <w:r>
        <w:rPr>
          <w:lang w:val="en-US"/>
        </w:rPr>
        <w:fldChar w:fldCharType="begin"/>
      </w:r>
      <w:r>
        <w:rPr>
          <w:lang w:val="en-US"/>
        </w:rPr>
        <w:instrText xml:space="preserve"> TOC \h \z \c "Figure" </w:instrText>
      </w:r>
      <w:r>
        <w:rPr>
          <w:lang w:val="en-US"/>
        </w:rPr>
        <w:fldChar w:fldCharType="separate"/>
      </w:r>
      <w:hyperlink w:anchor="_Toc173914781" w:history="1">
        <w:r w:rsidR="00F2011E" w:rsidRPr="00367C0B">
          <w:rPr>
            <w:rStyle w:val="Lienhypertexte"/>
            <w:lang w:val="en-US"/>
          </w:rPr>
          <w:t>Figure 1: Climate-related risks, opportunities, and financial impacts in TCFD recommendations (source: TCFD)</w:t>
        </w:r>
        <w:r w:rsidR="00F2011E" w:rsidRPr="00367C0B">
          <w:rPr>
            <w:webHidden/>
            <w:lang w:val="en-US"/>
          </w:rPr>
          <w:tab/>
        </w:r>
        <w:r w:rsidR="00F2011E" w:rsidRPr="00367C0B">
          <w:rPr>
            <w:webHidden/>
            <w:lang w:val="en-US"/>
          </w:rPr>
          <w:fldChar w:fldCharType="begin"/>
        </w:r>
        <w:r w:rsidR="00F2011E" w:rsidRPr="00367C0B">
          <w:rPr>
            <w:webHidden/>
            <w:lang w:val="en-US"/>
          </w:rPr>
          <w:instrText xml:space="preserve"> PAGEREF _Toc173914781 \h </w:instrText>
        </w:r>
        <w:r w:rsidR="00F2011E" w:rsidRPr="00367C0B">
          <w:rPr>
            <w:webHidden/>
            <w:lang w:val="en-US"/>
          </w:rPr>
        </w:r>
        <w:r w:rsidR="00F2011E" w:rsidRPr="00367C0B">
          <w:rPr>
            <w:webHidden/>
            <w:lang w:val="en-US"/>
          </w:rPr>
          <w:fldChar w:fldCharType="separate"/>
        </w:r>
        <w:r w:rsidR="00F2011E" w:rsidRPr="00367C0B">
          <w:rPr>
            <w:webHidden/>
            <w:lang w:val="en-US"/>
          </w:rPr>
          <w:t>8</w:t>
        </w:r>
        <w:r w:rsidR="00F2011E" w:rsidRPr="00367C0B">
          <w:rPr>
            <w:webHidden/>
            <w:lang w:val="en-US"/>
          </w:rPr>
          <w:fldChar w:fldCharType="end"/>
        </w:r>
      </w:hyperlink>
    </w:p>
    <w:p w14:paraId="5D88DA4A" w14:textId="5906B620" w:rsidR="00F2011E" w:rsidRPr="00367C0B" w:rsidRDefault="00000000">
      <w:pPr>
        <w:pStyle w:val="Tabledesillustrations"/>
        <w:tabs>
          <w:tab w:val="right" w:leader="dot" w:pos="9062"/>
        </w:tabs>
        <w:rPr>
          <w:rFonts w:asciiTheme="minorHAnsi" w:eastAsiaTheme="minorEastAsia" w:hAnsiTheme="minorHAnsi"/>
          <w:kern w:val="2"/>
          <w:lang w:val="en-US" w:eastAsia="fr-FR"/>
          <w14:ligatures w14:val="standardContextual"/>
        </w:rPr>
      </w:pPr>
      <w:hyperlink w:anchor="_Toc173914782" w:history="1">
        <w:r w:rsidR="00F2011E" w:rsidRPr="00367C0B">
          <w:rPr>
            <w:rStyle w:val="Lienhypertexte"/>
            <w:lang w:val="en-US"/>
          </w:rPr>
          <w:t>Figure 2: List of climate-related risk and opportunity categories defined by the TCFD</w:t>
        </w:r>
        <w:r w:rsidR="00F2011E" w:rsidRPr="00367C0B">
          <w:rPr>
            <w:webHidden/>
            <w:lang w:val="en-US"/>
          </w:rPr>
          <w:tab/>
        </w:r>
        <w:r w:rsidR="00F2011E" w:rsidRPr="00367C0B">
          <w:rPr>
            <w:webHidden/>
            <w:lang w:val="en-US"/>
          </w:rPr>
          <w:fldChar w:fldCharType="begin"/>
        </w:r>
        <w:r w:rsidR="00F2011E" w:rsidRPr="00367C0B">
          <w:rPr>
            <w:webHidden/>
            <w:lang w:val="en-US"/>
          </w:rPr>
          <w:instrText xml:space="preserve"> PAGEREF _Toc173914782 \h </w:instrText>
        </w:r>
        <w:r w:rsidR="00F2011E" w:rsidRPr="00367C0B">
          <w:rPr>
            <w:webHidden/>
            <w:lang w:val="en-US"/>
          </w:rPr>
        </w:r>
        <w:r w:rsidR="00F2011E" w:rsidRPr="00367C0B">
          <w:rPr>
            <w:webHidden/>
            <w:lang w:val="en-US"/>
          </w:rPr>
          <w:fldChar w:fldCharType="separate"/>
        </w:r>
        <w:r w:rsidR="00F2011E" w:rsidRPr="00367C0B">
          <w:rPr>
            <w:webHidden/>
            <w:lang w:val="en-US"/>
          </w:rPr>
          <w:t>8</w:t>
        </w:r>
        <w:r w:rsidR="00F2011E" w:rsidRPr="00367C0B">
          <w:rPr>
            <w:webHidden/>
            <w:lang w:val="en-US"/>
          </w:rPr>
          <w:fldChar w:fldCharType="end"/>
        </w:r>
      </w:hyperlink>
    </w:p>
    <w:p w14:paraId="662B2711" w14:textId="43B7EBDA" w:rsidR="00F2011E" w:rsidRPr="00367C0B" w:rsidRDefault="00000000">
      <w:pPr>
        <w:pStyle w:val="Tabledesillustrations"/>
        <w:tabs>
          <w:tab w:val="right" w:leader="dot" w:pos="9062"/>
        </w:tabs>
        <w:rPr>
          <w:rFonts w:asciiTheme="minorHAnsi" w:eastAsiaTheme="minorEastAsia" w:hAnsiTheme="minorHAnsi"/>
          <w:kern w:val="2"/>
          <w:lang w:val="en-US" w:eastAsia="fr-FR"/>
          <w14:ligatures w14:val="standardContextual"/>
        </w:rPr>
      </w:pPr>
      <w:hyperlink w:anchor="_Toc173914783" w:history="1">
        <w:r w:rsidR="00F2011E" w:rsidRPr="00367C0B">
          <w:rPr>
            <w:rStyle w:val="Lienhypertexte"/>
            <w:lang w:val="en-US"/>
          </w:rPr>
          <w:t>Figure 3: Key steps of a climate change analysis</w:t>
        </w:r>
        <w:r w:rsidR="00F2011E" w:rsidRPr="00367C0B">
          <w:rPr>
            <w:webHidden/>
            <w:lang w:val="en-US"/>
          </w:rPr>
          <w:tab/>
        </w:r>
        <w:r w:rsidR="00F2011E" w:rsidRPr="00367C0B">
          <w:rPr>
            <w:webHidden/>
            <w:lang w:val="en-US"/>
          </w:rPr>
          <w:fldChar w:fldCharType="begin"/>
        </w:r>
        <w:r w:rsidR="00F2011E" w:rsidRPr="00367C0B">
          <w:rPr>
            <w:webHidden/>
            <w:lang w:val="en-US"/>
          </w:rPr>
          <w:instrText xml:space="preserve"> PAGEREF _Toc173914783 \h </w:instrText>
        </w:r>
        <w:r w:rsidR="00F2011E" w:rsidRPr="00367C0B">
          <w:rPr>
            <w:webHidden/>
            <w:lang w:val="en-US"/>
          </w:rPr>
        </w:r>
        <w:r w:rsidR="00F2011E" w:rsidRPr="00367C0B">
          <w:rPr>
            <w:webHidden/>
            <w:lang w:val="en-US"/>
          </w:rPr>
          <w:fldChar w:fldCharType="separate"/>
        </w:r>
        <w:r w:rsidR="00F2011E" w:rsidRPr="00367C0B">
          <w:rPr>
            <w:webHidden/>
            <w:lang w:val="en-US"/>
          </w:rPr>
          <w:t>10</w:t>
        </w:r>
        <w:r w:rsidR="00F2011E" w:rsidRPr="00367C0B">
          <w:rPr>
            <w:webHidden/>
            <w:lang w:val="en-US"/>
          </w:rPr>
          <w:fldChar w:fldCharType="end"/>
        </w:r>
      </w:hyperlink>
    </w:p>
    <w:p w14:paraId="20869D61" w14:textId="676C018E" w:rsidR="00F2011E" w:rsidRPr="00367C0B" w:rsidRDefault="00000000">
      <w:pPr>
        <w:pStyle w:val="Tabledesillustrations"/>
        <w:tabs>
          <w:tab w:val="right" w:leader="dot" w:pos="9062"/>
        </w:tabs>
        <w:rPr>
          <w:rFonts w:asciiTheme="minorHAnsi" w:eastAsiaTheme="minorEastAsia" w:hAnsiTheme="minorHAnsi"/>
          <w:kern w:val="2"/>
          <w:lang w:val="en-US" w:eastAsia="fr-FR"/>
          <w14:ligatures w14:val="standardContextual"/>
        </w:rPr>
      </w:pPr>
      <w:hyperlink w:anchor="_Toc173914784" w:history="1">
        <w:r w:rsidR="00F2011E" w:rsidRPr="00367C0B">
          <w:rPr>
            <w:rStyle w:val="Lienhypertexte"/>
            <w:lang w:val="en-US"/>
          </w:rPr>
          <w:t>Figure 4: SSP scenarios coupled with radiative forcing levels</w:t>
        </w:r>
        <w:r w:rsidR="00F2011E" w:rsidRPr="00367C0B">
          <w:rPr>
            <w:webHidden/>
            <w:lang w:val="en-US"/>
          </w:rPr>
          <w:tab/>
        </w:r>
        <w:r w:rsidR="00F2011E" w:rsidRPr="00367C0B">
          <w:rPr>
            <w:webHidden/>
            <w:lang w:val="en-US"/>
          </w:rPr>
          <w:fldChar w:fldCharType="begin"/>
        </w:r>
        <w:r w:rsidR="00F2011E" w:rsidRPr="00367C0B">
          <w:rPr>
            <w:webHidden/>
            <w:lang w:val="en-US"/>
          </w:rPr>
          <w:instrText xml:space="preserve"> PAGEREF _Toc173914784 \h </w:instrText>
        </w:r>
        <w:r w:rsidR="00F2011E" w:rsidRPr="00367C0B">
          <w:rPr>
            <w:webHidden/>
            <w:lang w:val="en-US"/>
          </w:rPr>
        </w:r>
        <w:r w:rsidR="00F2011E" w:rsidRPr="00367C0B">
          <w:rPr>
            <w:webHidden/>
            <w:lang w:val="en-US"/>
          </w:rPr>
          <w:fldChar w:fldCharType="separate"/>
        </w:r>
        <w:r w:rsidR="00F2011E" w:rsidRPr="00367C0B">
          <w:rPr>
            <w:webHidden/>
            <w:lang w:val="en-US"/>
          </w:rPr>
          <w:t>12</w:t>
        </w:r>
        <w:r w:rsidR="00F2011E" w:rsidRPr="00367C0B">
          <w:rPr>
            <w:webHidden/>
            <w:lang w:val="en-US"/>
          </w:rPr>
          <w:fldChar w:fldCharType="end"/>
        </w:r>
      </w:hyperlink>
    </w:p>
    <w:p w14:paraId="675062C9" w14:textId="746156B4" w:rsidR="00F2011E" w:rsidRPr="00367C0B" w:rsidRDefault="00000000">
      <w:pPr>
        <w:pStyle w:val="Tabledesillustrations"/>
        <w:tabs>
          <w:tab w:val="right" w:leader="dot" w:pos="9062"/>
        </w:tabs>
        <w:rPr>
          <w:rFonts w:asciiTheme="minorHAnsi" w:eastAsiaTheme="minorEastAsia" w:hAnsiTheme="minorHAnsi"/>
          <w:kern w:val="2"/>
          <w:lang w:val="en-US" w:eastAsia="fr-FR"/>
          <w14:ligatures w14:val="standardContextual"/>
        </w:rPr>
      </w:pPr>
      <w:hyperlink w:anchor="_Toc173914785" w:history="1">
        <w:r w:rsidR="00F2011E" w:rsidRPr="00367C0B">
          <w:rPr>
            <w:rStyle w:val="Lienhypertexte"/>
            <w:lang w:val="en-US"/>
          </w:rPr>
          <w:t>Figure 5: Location of assets included in the analysis</w:t>
        </w:r>
        <w:r w:rsidR="00F2011E" w:rsidRPr="00367C0B">
          <w:rPr>
            <w:webHidden/>
            <w:lang w:val="en-US"/>
          </w:rPr>
          <w:tab/>
        </w:r>
        <w:r w:rsidR="00F2011E" w:rsidRPr="00367C0B">
          <w:rPr>
            <w:webHidden/>
            <w:lang w:val="en-US"/>
          </w:rPr>
          <w:fldChar w:fldCharType="begin"/>
        </w:r>
        <w:r w:rsidR="00F2011E" w:rsidRPr="00367C0B">
          <w:rPr>
            <w:webHidden/>
            <w:lang w:val="en-US"/>
          </w:rPr>
          <w:instrText xml:space="preserve"> PAGEREF _Toc173914785 \h </w:instrText>
        </w:r>
        <w:r w:rsidR="00F2011E" w:rsidRPr="00367C0B">
          <w:rPr>
            <w:webHidden/>
            <w:lang w:val="en-US"/>
          </w:rPr>
        </w:r>
        <w:r w:rsidR="00F2011E" w:rsidRPr="00367C0B">
          <w:rPr>
            <w:webHidden/>
            <w:lang w:val="en-US"/>
          </w:rPr>
          <w:fldChar w:fldCharType="separate"/>
        </w:r>
        <w:r w:rsidR="00F2011E" w:rsidRPr="00367C0B">
          <w:rPr>
            <w:webHidden/>
            <w:lang w:val="en-US"/>
          </w:rPr>
          <w:t>14</w:t>
        </w:r>
        <w:r w:rsidR="00F2011E" w:rsidRPr="00367C0B">
          <w:rPr>
            <w:webHidden/>
            <w:lang w:val="en-US"/>
          </w:rPr>
          <w:fldChar w:fldCharType="end"/>
        </w:r>
      </w:hyperlink>
    </w:p>
    <w:p w14:paraId="34336B2B" w14:textId="11EA9CFA" w:rsidR="00EE36C0" w:rsidRDefault="00A4603E" w:rsidP="00A4603E">
      <w:pPr>
        <w:rPr>
          <w:lang w:val="en-US"/>
        </w:rPr>
      </w:pPr>
      <w:r>
        <w:rPr>
          <w:lang w:val="en-US"/>
        </w:rPr>
        <w:fldChar w:fldCharType="end"/>
      </w:r>
    </w:p>
    <w:p w14:paraId="0B44D59B" w14:textId="77777777" w:rsidR="00EE36C0" w:rsidRDefault="00EE36C0">
      <w:pPr>
        <w:rPr>
          <w:lang w:val="en-US"/>
        </w:rPr>
      </w:pPr>
      <w:r>
        <w:rPr>
          <w:lang w:val="en-US"/>
        </w:rPr>
        <w:br w:type="page"/>
      </w:r>
    </w:p>
    <w:p w14:paraId="6AC3610E" w14:textId="65828B8C" w:rsidR="00EE36C0" w:rsidRDefault="00EE36C0" w:rsidP="00EE419A">
      <w:pPr>
        <w:pStyle w:val="Titre1"/>
        <w:rPr>
          <w:lang w:val="en-US"/>
        </w:rPr>
      </w:pPr>
      <w:bookmarkStart w:id="6" w:name="_Toc183015086"/>
      <w:r>
        <w:rPr>
          <w:lang w:val="en-US"/>
        </w:rPr>
        <w:lastRenderedPageBreak/>
        <w:t>List of acronyms</w:t>
      </w:r>
      <w:bookmarkEnd w:id="6"/>
    </w:p>
    <w:p w14:paraId="5C305A4A" w14:textId="77777777" w:rsidR="00EE36C0" w:rsidRPr="00EE36C0" w:rsidRDefault="00EE36C0" w:rsidP="00EE36C0">
      <w:pPr>
        <w:rPr>
          <w:lang w:val="en-US"/>
        </w:rPr>
      </w:pPr>
    </w:p>
    <w:p w14:paraId="13B774A4" w14:textId="34E2DE27" w:rsidR="001156B7" w:rsidRDefault="001156B7" w:rsidP="00EE36C0">
      <w:pPr>
        <w:rPr>
          <w:lang w:val="en-US"/>
        </w:rPr>
      </w:pPr>
      <w:r>
        <w:rPr>
          <w:lang w:val="en-US"/>
        </w:rPr>
        <w:t>CAPEX: C</w:t>
      </w:r>
      <w:r w:rsidRPr="001156B7">
        <w:rPr>
          <w:lang w:val="en-US"/>
        </w:rPr>
        <w:t>apital expenditures</w:t>
      </w:r>
    </w:p>
    <w:p w14:paraId="6B6254B0" w14:textId="2CFED89A" w:rsidR="00EE36C0" w:rsidRPr="00EE36C0" w:rsidRDefault="00EE36C0" w:rsidP="00EE36C0">
      <w:pPr>
        <w:rPr>
          <w:lang w:val="en-US"/>
        </w:rPr>
      </w:pPr>
      <w:r w:rsidRPr="00EE36C0">
        <w:rPr>
          <w:lang w:val="en-US"/>
        </w:rPr>
        <w:t>CSRD: Corporate Sustainability Reporting Directive EBRD: European Bank for Reconstruction and Development</w:t>
      </w:r>
    </w:p>
    <w:p w14:paraId="6E5257A5" w14:textId="67F95943" w:rsidR="0098163A" w:rsidRDefault="0098163A" w:rsidP="00EE36C0">
      <w:pPr>
        <w:rPr>
          <w:lang w:val="en-US"/>
        </w:rPr>
      </w:pPr>
      <w:r>
        <w:rPr>
          <w:lang w:val="en-US"/>
        </w:rPr>
        <w:t xml:space="preserve">EY CAP: </w:t>
      </w:r>
      <w:r w:rsidRPr="00895493">
        <w:rPr>
          <w:lang w:val="en-US"/>
        </w:rPr>
        <w:t>EY Climate Analytics Platform</w:t>
      </w:r>
    </w:p>
    <w:p w14:paraId="111BA110" w14:textId="5BFCB6A3" w:rsidR="0098163A" w:rsidRDefault="0098163A" w:rsidP="00EE36C0">
      <w:pPr>
        <w:rPr>
          <w:lang w:val="en-US"/>
        </w:rPr>
      </w:pPr>
      <w:r>
        <w:rPr>
          <w:lang w:val="en-US"/>
        </w:rPr>
        <w:t>GHG: Green</w:t>
      </w:r>
      <w:r w:rsidR="002748A7">
        <w:rPr>
          <w:lang w:val="en-US"/>
        </w:rPr>
        <w:t>h</w:t>
      </w:r>
      <w:r>
        <w:rPr>
          <w:lang w:val="en-US"/>
        </w:rPr>
        <w:t>ouse Gas</w:t>
      </w:r>
    </w:p>
    <w:p w14:paraId="1D1E2942" w14:textId="762A1110" w:rsidR="002748A7" w:rsidRPr="00EE36C0" w:rsidRDefault="002748A7" w:rsidP="00EE36C0">
      <w:pPr>
        <w:rPr>
          <w:lang w:val="en-US"/>
        </w:rPr>
      </w:pPr>
      <w:r w:rsidRPr="00FE51E5">
        <w:rPr>
          <w:b/>
          <w:lang w:val="en-US"/>
        </w:rPr>
        <w:t>IMO</w:t>
      </w:r>
      <w:r w:rsidRPr="00FE51E5">
        <w:rPr>
          <w:lang w:val="en-US"/>
        </w:rPr>
        <w:t>: International Maritime Organization</w:t>
      </w:r>
    </w:p>
    <w:p w14:paraId="5DD66998" w14:textId="00E97AA6" w:rsidR="00946E4A" w:rsidRPr="00EE36C0" w:rsidRDefault="00946E4A" w:rsidP="00EE36C0">
      <w:pPr>
        <w:rPr>
          <w:lang w:val="en-US"/>
        </w:rPr>
      </w:pPr>
      <w:r>
        <w:rPr>
          <w:lang w:val="en-US"/>
        </w:rPr>
        <w:t>I</w:t>
      </w:r>
      <w:r w:rsidR="00F35219">
        <w:rPr>
          <w:lang w:val="en-US"/>
        </w:rPr>
        <w:t>SSB</w:t>
      </w:r>
      <w:r w:rsidR="007D111E">
        <w:rPr>
          <w:lang w:val="en-US"/>
        </w:rPr>
        <w:t>: International Sustainability Standards Board</w:t>
      </w:r>
    </w:p>
    <w:p w14:paraId="59E5FD74" w14:textId="6CED9991" w:rsidR="001156B7" w:rsidRDefault="001156B7" w:rsidP="00EE36C0">
      <w:pPr>
        <w:rPr>
          <w:rFonts w:cstheme="minorHAnsi"/>
          <w:color w:val="0D0D0D"/>
          <w:shd w:val="clear" w:color="auto" w:fill="FFFFFF"/>
          <w:lang w:val="en-US"/>
        </w:rPr>
      </w:pPr>
      <w:r>
        <w:rPr>
          <w:rFonts w:cstheme="minorHAnsi"/>
          <w:color w:val="0D0D0D"/>
          <w:shd w:val="clear" w:color="auto" w:fill="FFFFFF"/>
          <w:lang w:val="en-US"/>
        </w:rPr>
        <w:t xml:space="preserve">OPEX: </w:t>
      </w:r>
      <w:r w:rsidRPr="001156B7">
        <w:rPr>
          <w:rFonts w:cstheme="minorHAnsi"/>
          <w:color w:val="0D0D0D"/>
          <w:shd w:val="clear" w:color="auto" w:fill="FFFFFF"/>
          <w:lang w:val="en-US"/>
        </w:rPr>
        <w:t>operational expenditures</w:t>
      </w:r>
    </w:p>
    <w:p w14:paraId="5D878259" w14:textId="77777777" w:rsidR="00404F09" w:rsidRDefault="00404F09" w:rsidP="00404F09">
      <w:pPr>
        <w:rPr>
          <w:lang w:val="en-US"/>
        </w:rPr>
      </w:pPr>
      <w:r>
        <w:rPr>
          <w:lang w:val="en-US"/>
        </w:rPr>
        <w:t xml:space="preserve">RCP: </w:t>
      </w:r>
      <w:r w:rsidRPr="00453ED1">
        <w:rPr>
          <w:lang w:val="en-US"/>
        </w:rPr>
        <w:t>Representative Concentration Pathway</w:t>
      </w:r>
    </w:p>
    <w:p w14:paraId="0A635D77" w14:textId="503B4A1E" w:rsidR="001F5D7C" w:rsidRPr="00EE36C0" w:rsidRDefault="001F5D7C" w:rsidP="00EE36C0">
      <w:pPr>
        <w:rPr>
          <w:lang w:val="en-US"/>
        </w:rPr>
      </w:pPr>
      <w:r>
        <w:rPr>
          <w:lang w:val="en-US"/>
        </w:rPr>
        <w:t xml:space="preserve">SSP: </w:t>
      </w:r>
      <w:r w:rsidR="00404F09" w:rsidRPr="00404F09">
        <w:rPr>
          <w:lang w:val="en-US"/>
        </w:rPr>
        <w:t>Shared Socioeconomic Pathway</w:t>
      </w:r>
    </w:p>
    <w:p w14:paraId="78F1DA6A" w14:textId="6AFF79A4" w:rsidR="00895493" w:rsidRDefault="00EE36C0" w:rsidP="00EE36C0">
      <w:pPr>
        <w:rPr>
          <w:lang w:val="en-US"/>
        </w:rPr>
      </w:pPr>
      <w:r w:rsidRPr="00EE36C0">
        <w:rPr>
          <w:lang w:val="en-US"/>
        </w:rPr>
        <w:t>TCFD: Task Force on Climate-Related Financial Disclosures</w:t>
      </w:r>
    </w:p>
    <w:p w14:paraId="35B4C609" w14:textId="51BC6214" w:rsidR="00FC6538" w:rsidRDefault="00FC6538" w:rsidP="00EE36C0">
      <w:pPr>
        <w:rPr>
          <w:lang w:val="en-US"/>
        </w:rPr>
      </w:pPr>
      <w:r>
        <w:rPr>
          <w:lang w:val="en-US"/>
        </w:rPr>
        <w:t>TPI: Transition Pathway Ini</w:t>
      </w:r>
      <w:r w:rsidR="005550FF">
        <w:rPr>
          <w:lang w:val="en-US"/>
        </w:rPr>
        <w:t>t</w:t>
      </w:r>
      <w:r>
        <w:rPr>
          <w:lang w:val="en-US"/>
        </w:rPr>
        <w:t>iative</w:t>
      </w:r>
    </w:p>
    <w:p w14:paraId="4D991E48" w14:textId="77777777" w:rsidR="00C37CEF" w:rsidRDefault="00C37CEF" w:rsidP="00EE36C0">
      <w:pPr>
        <w:rPr>
          <w:lang w:val="en-US"/>
        </w:rPr>
      </w:pPr>
    </w:p>
    <w:p w14:paraId="054342C1" w14:textId="77777777" w:rsidR="00C37CEF" w:rsidRDefault="00C37CEF">
      <w:pPr>
        <w:jc w:val="left"/>
        <w:rPr>
          <w:rFonts w:eastAsiaTheme="majorEastAsia" w:cstheme="majorBidi"/>
          <w:b/>
          <w:color w:val="7F7F7F" w:themeColor="text1" w:themeTint="80"/>
          <w:spacing w:val="-10"/>
          <w:kern w:val="28"/>
          <w:sz w:val="40"/>
          <w:szCs w:val="56"/>
          <w:lang w:val="en-US"/>
        </w:rPr>
      </w:pPr>
      <w:r>
        <w:rPr>
          <w:lang w:val="en-US"/>
        </w:rPr>
        <w:br w:type="page"/>
      </w:r>
    </w:p>
    <w:p w14:paraId="1840F165" w14:textId="3CAA9745" w:rsidR="003D2D1E" w:rsidRPr="003D2D1E" w:rsidRDefault="003D2D1E" w:rsidP="00EE419A">
      <w:pPr>
        <w:pStyle w:val="Titre1"/>
        <w:rPr>
          <w:lang w:val="en-US"/>
        </w:rPr>
      </w:pPr>
      <w:bookmarkStart w:id="7" w:name="_Toc183015087"/>
      <w:r w:rsidRPr="003D2D1E">
        <w:rPr>
          <w:lang w:val="en-US"/>
        </w:rPr>
        <w:lastRenderedPageBreak/>
        <w:t>Executive summary</w:t>
      </w:r>
      <w:bookmarkEnd w:id="7"/>
    </w:p>
    <w:p w14:paraId="0BBED9F9" w14:textId="77777777" w:rsidR="005025BE" w:rsidRDefault="005025BE" w:rsidP="005025BE">
      <w:pPr>
        <w:rPr>
          <w:rFonts w:cs="Segoe UI"/>
          <w:bCs/>
          <w:lang w:val="en-US"/>
        </w:rPr>
      </w:pPr>
    </w:p>
    <w:p w14:paraId="37AC8E49" w14:textId="3C713EFD" w:rsidR="00445AFE" w:rsidRPr="00152D1D" w:rsidRDefault="002A1CF9" w:rsidP="005025BE">
      <w:pPr>
        <w:rPr>
          <w:lang w:val="en-US"/>
        </w:rPr>
      </w:pPr>
      <w:r w:rsidRPr="0038386C">
        <w:rPr>
          <w:rFonts w:cs="Segoe UI"/>
          <w:lang w:val="en-US"/>
        </w:rPr>
        <w:t xml:space="preserve">Maritime transport is a cornerstone of the global economy, handling 80% of global trade by volume and 70% by value, with continued growth projected. </w:t>
      </w:r>
      <w:r w:rsidR="00667131" w:rsidRPr="00690D20">
        <w:rPr>
          <w:rFonts w:cs="Segoe UI"/>
          <w:lang w:val="en-US"/>
        </w:rPr>
        <w:t xml:space="preserve">In Azerbaijan, maritime transport </w:t>
      </w:r>
      <w:r w:rsidR="0098651F" w:rsidRPr="00690D20">
        <w:rPr>
          <w:rFonts w:cs="Segoe UI"/>
          <w:lang w:val="en-US"/>
        </w:rPr>
        <w:t>plays a crucial role in supporting</w:t>
      </w:r>
      <w:r w:rsidR="00667131" w:rsidRPr="00690D20">
        <w:rPr>
          <w:rFonts w:cs="Segoe UI"/>
          <w:lang w:val="en-US"/>
        </w:rPr>
        <w:t xml:space="preserve"> offshore platforms in the Caspian Sea, </w:t>
      </w:r>
      <w:r w:rsidR="0098651F" w:rsidRPr="00690D20">
        <w:rPr>
          <w:rFonts w:cs="Segoe UI"/>
          <w:lang w:val="en-US"/>
        </w:rPr>
        <w:t xml:space="preserve">facilitating the </w:t>
      </w:r>
      <w:r w:rsidR="00667131" w:rsidRPr="00690D20">
        <w:rPr>
          <w:rFonts w:cs="Segoe UI"/>
          <w:lang w:val="en-US"/>
        </w:rPr>
        <w:t>movement of equipment and personnel</w:t>
      </w:r>
      <w:r w:rsidR="0098651F" w:rsidRPr="00690D20">
        <w:rPr>
          <w:rFonts w:cs="Segoe UI"/>
          <w:lang w:val="en-US"/>
        </w:rPr>
        <w:t>, as well as ensuring the efficient operation</w:t>
      </w:r>
      <w:r w:rsidR="001A427E" w:rsidRPr="004E6CB4">
        <w:rPr>
          <w:rFonts w:cs="Segoe UI"/>
          <w:lang w:val="en-US"/>
        </w:rPr>
        <w:t xml:space="preserve"> and maintenance </w:t>
      </w:r>
      <w:r w:rsidR="0098651F" w:rsidRPr="00D235CD">
        <w:rPr>
          <w:rFonts w:cs="Segoe UI"/>
          <w:lang w:val="en-US"/>
        </w:rPr>
        <w:t>of these platforms</w:t>
      </w:r>
      <w:r w:rsidR="00970DC4">
        <w:rPr>
          <w:rFonts w:cs="Segoe UI"/>
          <w:lang w:val="en-US"/>
        </w:rPr>
        <w:t>,</w:t>
      </w:r>
      <w:r w:rsidR="001A427E">
        <w:rPr>
          <w:rFonts w:cs="Segoe UI"/>
          <w:lang w:val="en-US"/>
        </w:rPr>
        <w:t xml:space="preserve"> </w:t>
      </w:r>
      <w:r w:rsidR="00667131" w:rsidRPr="00D235CD">
        <w:rPr>
          <w:rFonts w:cs="Segoe UI"/>
          <w:lang w:val="en-US"/>
        </w:rPr>
        <w:t>critical to the nation’s strategic oil and gas sector. This sector not only supports Azerbaijan’s economy but also contributes to regional energy stability. ASCO (Azerbaijan Caspian Shipping Company) is a key operator in this domain, managing maritime logistics to meet the demands of offshore activities and the energy sector.</w:t>
      </w:r>
      <w:r w:rsidR="00F32770">
        <w:rPr>
          <w:rFonts w:cs="Segoe UI"/>
          <w:lang w:val="en-US"/>
        </w:rPr>
        <w:t xml:space="preserve"> </w:t>
      </w:r>
      <w:r w:rsidR="00F32770" w:rsidRPr="00D235CD">
        <w:rPr>
          <w:rFonts w:cs="Segoe UI"/>
          <w:lang w:val="en-US"/>
        </w:rPr>
        <w:t>The company also aspires</w:t>
      </w:r>
      <w:r w:rsidR="00C543D6" w:rsidRPr="00D235CD">
        <w:rPr>
          <w:rFonts w:cs="Segoe UI"/>
          <w:lang w:val="en-US"/>
        </w:rPr>
        <w:t xml:space="preserve"> to </w:t>
      </w:r>
      <w:r w:rsidR="00F32770" w:rsidRPr="00D235CD">
        <w:rPr>
          <w:rFonts w:cs="Segoe UI"/>
          <w:lang w:val="en-US"/>
        </w:rPr>
        <w:t>broaden</w:t>
      </w:r>
      <w:r w:rsidR="00C543D6" w:rsidRPr="00D235CD">
        <w:rPr>
          <w:rFonts w:cs="Segoe UI"/>
          <w:lang w:val="en-US"/>
        </w:rPr>
        <w:t xml:space="preserve"> its transport activities</w:t>
      </w:r>
      <w:r w:rsidR="00F32770" w:rsidRPr="00D235CD">
        <w:rPr>
          <w:rFonts w:cs="Segoe UI"/>
          <w:lang w:val="en-US"/>
        </w:rPr>
        <w:t>, extending its reach</w:t>
      </w:r>
      <w:r w:rsidR="00C543D6" w:rsidRPr="00D235CD">
        <w:rPr>
          <w:rFonts w:cs="Segoe UI"/>
          <w:lang w:val="en-US"/>
        </w:rPr>
        <w:t xml:space="preserve"> beyond the Caspian Sea</w:t>
      </w:r>
      <w:r w:rsidR="00667131" w:rsidRPr="00D235CD">
        <w:rPr>
          <w:rFonts w:cs="Segoe UI"/>
          <w:lang w:val="en-US"/>
        </w:rPr>
        <w:t>.</w:t>
      </w:r>
      <w:r w:rsidR="00667131" w:rsidRPr="0038386C">
        <w:rPr>
          <w:rFonts w:cs="Segoe UI"/>
          <w:lang w:val="en-US"/>
        </w:rPr>
        <w:t xml:space="preserve"> </w:t>
      </w:r>
      <w:r w:rsidR="00152D1D" w:rsidRPr="00690D20">
        <w:rPr>
          <w:lang w:val="en-US"/>
        </w:rPr>
        <w:t>However, the maritime sector faces significant environmental challenges. It is responsible for 3% of global greenhouse gas (GHG) emissions</w:t>
      </w:r>
      <w:r w:rsidR="001C6BAB">
        <w:rPr>
          <w:lang w:val="en-US"/>
        </w:rPr>
        <w:t xml:space="preserve"> globally</w:t>
      </w:r>
      <w:r w:rsidR="00152D1D" w:rsidRPr="00D235CD">
        <w:rPr>
          <w:lang w:val="en-US"/>
        </w:rPr>
        <w:t>, primarily from fossil fuel combustion. Over the past decade, emissions from international shipping have increased by 20%, with projections indicating a potential 130% rise over 2008 levels by 2050 without effective mitigation. To address these challenges, the maritime industry, including ASCO, is adopting decarbonization strategies aligned with the International Maritime Organization’s (IMO) goal of achieving carbon neutrality by 2050.</w:t>
      </w:r>
    </w:p>
    <w:p w14:paraId="33A55E01" w14:textId="0483BD60" w:rsidR="00B755BD" w:rsidRDefault="005025BE" w:rsidP="00A8071B">
      <w:pPr>
        <w:rPr>
          <w:rStyle w:val="cf01"/>
          <w:rFonts w:ascii="EYInterstate Light" w:hAnsi="EYInterstate Light"/>
          <w:sz w:val="22"/>
          <w:szCs w:val="22"/>
          <w:lang w:val="en-US"/>
        </w:rPr>
      </w:pPr>
      <w:r>
        <w:rPr>
          <w:rFonts w:cs="Segoe UI"/>
          <w:lang w:val="en-US"/>
        </w:rPr>
        <w:t>In this context</w:t>
      </w:r>
      <w:r w:rsidR="00386B13">
        <w:rPr>
          <w:rFonts w:cs="Segoe UI"/>
          <w:lang w:val="en-US"/>
        </w:rPr>
        <w:t>,</w:t>
      </w:r>
      <w:r w:rsidR="00B755BD" w:rsidRPr="00EA72D2">
        <w:rPr>
          <w:rFonts w:cs="Segoe UI"/>
          <w:lang w:val="en-US"/>
        </w:rPr>
        <w:t xml:space="preserve"> The European Bank for Reconstruction and Development (EBRD) is collaborating with the </w:t>
      </w:r>
      <w:r w:rsidR="00795B9A" w:rsidRPr="00D235CD">
        <w:rPr>
          <w:rFonts w:cs="Segoe UI"/>
          <w:lang w:val="en-US"/>
        </w:rPr>
        <w:t>Closed Joint-Stock Company</w:t>
      </w:r>
      <w:r w:rsidR="00BA0B16" w:rsidRPr="00D235CD">
        <w:rPr>
          <w:rFonts w:cs="Segoe UI"/>
          <w:lang w:val="en-US"/>
        </w:rPr>
        <w:t xml:space="preserve"> (C</w:t>
      </w:r>
      <w:r w:rsidR="00BA0B16">
        <w:rPr>
          <w:rFonts w:cs="Segoe UI"/>
          <w:lang w:val="en-US"/>
        </w:rPr>
        <w:t xml:space="preserve">JSC) </w:t>
      </w:r>
      <w:r w:rsidR="00B755BD" w:rsidRPr="00EA72D2">
        <w:rPr>
          <w:rFonts w:cs="Segoe UI"/>
          <w:lang w:val="en-US"/>
        </w:rPr>
        <w:t xml:space="preserve">Azerbaijan Caspian Shipping Company (ASCO) to align its operations with </w:t>
      </w:r>
      <w:r w:rsidR="00606082">
        <w:rPr>
          <w:rFonts w:cs="Segoe UI"/>
          <w:lang w:val="en-US"/>
        </w:rPr>
        <w:t xml:space="preserve">both the need for decarbonization and the </w:t>
      </w:r>
      <w:r w:rsidR="00325311">
        <w:rPr>
          <w:rFonts w:cs="Segoe UI"/>
          <w:lang w:val="en-US"/>
        </w:rPr>
        <w:t>necessity</w:t>
      </w:r>
      <w:r w:rsidR="00606082">
        <w:rPr>
          <w:rFonts w:cs="Segoe UI"/>
          <w:lang w:val="en-US"/>
        </w:rPr>
        <w:t xml:space="preserve"> of building climate resilience, </w:t>
      </w:r>
      <w:r w:rsidR="00B755BD" w:rsidRPr="00EA72D2">
        <w:rPr>
          <w:rFonts w:cs="Segoe UI"/>
          <w:lang w:val="en-US"/>
        </w:rPr>
        <w:t>in line with the Paris Agreement</w:t>
      </w:r>
      <w:r w:rsidR="007C7E7D">
        <w:rPr>
          <w:rFonts w:cs="Segoe UI"/>
          <w:lang w:val="en-US"/>
        </w:rPr>
        <w:t xml:space="preserve">, </w:t>
      </w:r>
      <w:r w:rsidR="007C7E7D" w:rsidRPr="00D235CD">
        <w:rPr>
          <w:rFonts w:cs="Segoe UI"/>
          <w:lang w:val="en-US"/>
        </w:rPr>
        <w:t>aiming to contribute to keeping the global temperature rise under 1.5°C and supporting the transition toward net zero emissions by 2050</w:t>
      </w:r>
      <w:r w:rsidR="00B755BD" w:rsidRPr="00EA72D2">
        <w:rPr>
          <w:rFonts w:cs="Segoe UI"/>
          <w:lang w:val="en-US"/>
        </w:rPr>
        <w:t>.</w:t>
      </w:r>
      <w:r w:rsidR="00BF6755">
        <w:rPr>
          <w:rFonts w:cs="Segoe UI"/>
          <w:lang w:val="en-US"/>
        </w:rPr>
        <w:t xml:space="preserve"> </w:t>
      </w:r>
      <w:r w:rsidR="00BF6755" w:rsidRPr="00D235CD">
        <w:rPr>
          <w:rFonts w:cs="Segoe UI"/>
          <w:lang w:val="en-US"/>
        </w:rPr>
        <w:t>This dual approach recognizes that reducing greenhouse gas emissions and adapting to the physical impacts of climate change are complementary objectives for ensuring the long-term sustainability of maritime operations</w:t>
      </w:r>
      <w:r w:rsidR="00BF6755">
        <w:rPr>
          <w:rFonts w:cs="Segoe UI"/>
          <w:lang w:val="en-US"/>
        </w:rPr>
        <w:t>.</w:t>
      </w:r>
      <w:r w:rsidR="00B755BD" w:rsidRPr="00EA72D2">
        <w:rPr>
          <w:rFonts w:cs="Segoe UI"/>
          <w:lang w:val="en-US"/>
        </w:rPr>
        <w:t xml:space="preserve"> </w:t>
      </w:r>
      <w:r w:rsidR="00BF6755">
        <w:rPr>
          <w:rFonts w:cs="Segoe UI"/>
          <w:lang w:val="en-US"/>
        </w:rPr>
        <w:t>As part of t</w:t>
      </w:r>
      <w:r w:rsidR="00304064" w:rsidRPr="00D235CD">
        <w:rPr>
          <w:rFonts w:cs="Segoe UI"/>
          <w:lang w:val="en-US"/>
        </w:rPr>
        <w:t>his collaboration</w:t>
      </w:r>
      <w:r w:rsidR="00BF6755">
        <w:rPr>
          <w:rFonts w:cs="Segoe UI"/>
          <w:lang w:val="en-US"/>
        </w:rPr>
        <w:t>,</w:t>
      </w:r>
      <w:r w:rsidR="00355994">
        <w:rPr>
          <w:rFonts w:cs="Segoe UI"/>
          <w:lang w:val="en-US"/>
        </w:rPr>
        <w:t xml:space="preserve"> </w:t>
      </w:r>
      <w:r w:rsidR="00304064" w:rsidRPr="00D235CD">
        <w:rPr>
          <w:rFonts w:cs="Segoe UI"/>
          <w:lang w:val="en-US"/>
        </w:rPr>
        <w:t xml:space="preserve">comprehensive climate risk assessments </w:t>
      </w:r>
      <w:r w:rsidR="00355994">
        <w:rPr>
          <w:rFonts w:cs="Segoe UI"/>
          <w:lang w:val="en-US"/>
        </w:rPr>
        <w:t>are conducted to identify</w:t>
      </w:r>
      <w:r w:rsidR="00304064" w:rsidRPr="00D235CD">
        <w:rPr>
          <w:rFonts w:cs="Segoe UI"/>
          <w:lang w:val="en-US"/>
        </w:rPr>
        <w:t xml:space="preserve"> vulnerabilities, mitigat</w:t>
      </w:r>
      <w:r w:rsidR="00355994">
        <w:rPr>
          <w:rFonts w:cs="Segoe UI"/>
          <w:lang w:val="en-US"/>
        </w:rPr>
        <w:t>e potential</w:t>
      </w:r>
      <w:r w:rsidR="00F20B68">
        <w:rPr>
          <w:rFonts w:cs="Segoe UI"/>
          <w:lang w:val="en-US"/>
        </w:rPr>
        <w:t xml:space="preserve"> </w:t>
      </w:r>
      <w:r w:rsidR="00304064" w:rsidRPr="00D235CD">
        <w:rPr>
          <w:rFonts w:cs="Segoe UI"/>
          <w:lang w:val="en-US"/>
        </w:rPr>
        <w:t xml:space="preserve">impacts, and </w:t>
      </w:r>
      <w:r w:rsidR="00F20B68">
        <w:rPr>
          <w:rFonts w:cs="Segoe UI"/>
          <w:lang w:val="en-US"/>
        </w:rPr>
        <w:t>integrate adaptation measures into</w:t>
      </w:r>
      <w:r w:rsidR="00304064" w:rsidRPr="00D235CD">
        <w:rPr>
          <w:rFonts w:cs="Segoe UI"/>
          <w:lang w:val="en-US"/>
        </w:rPr>
        <w:t xml:space="preserve"> ASCO’s business </w:t>
      </w:r>
      <w:r w:rsidR="00646C25">
        <w:rPr>
          <w:rFonts w:cs="Segoe UI"/>
          <w:lang w:val="en-US"/>
        </w:rPr>
        <w:t>strategies, alongside efforts to transition to low carbon solutions.</w:t>
      </w:r>
    </w:p>
    <w:p w14:paraId="0E9E0B44" w14:textId="6976C9F8" w:rsidR="00D06906" w:rsidRDefault="00052D63" w:rsidP="00A8071B">
      <w:pPr>
        <w:rPr>
          <w:rFonts w:cs="Segoe UI"/>
          <w:lang w:val="en-US"/>
        </w:rPr>
      </w:pPr>
      <w:r>
        <w:rPr>
          <w:rFonts w:cs="Segoe UI"/>
          <w:lang w:val="en-US"/>
        </w:rPr>
        <w:t>Physical climate risks</w:t>
      </w:r>
      <w:r w:rsidR="0057644B">
        <w:rPr>
          <w:rFonts w:cs="Segoe UI"/>
          <w:lang w:val="en-US"/>
        </w:rPr>
        <w:t xml:space="preserve"> exposure and impacts w</w:t>
      </w:r>
      <w:r w:rsidR="00F81004">
        <w:rPr>
          <w:rFonts w:cs="Segoe UI"/>
          <w:lang w:val="en-US"/>
        </w:rPr>
        <w:t>ere</w:t>
      </w:r>
      <w:r w:rsidR="0057644B">
        <w:rPr>
          <w:rFonts w:cs="Segoe UI"/>
          <w:lang w:val="en-US"/>
        </w:rPr>
        <w:t xml:space="preserve"> asses</w:t>
      </w:r>
      <w:r w:rsidR="00F81004">
        <w:rPr>
          <w:rFonts w:cs="Segoe UI"/>
          <w:lang w:val="en-US"/>
        </w:rPr>
        <w:t>sed</w:t>
      </w:r>
      <w:r w:rsidR="0057644B">
        <w:rPr>
          <w:rFonts w:cs="Segoe UI"/>
          <w:lang w:val="en-US"/>
        </w:rPr>
        <w:t xml:space="preserve"> on a selection of </w:t>
      </w:r>
      <w:r w:rsidR="004741AE">
        <w:rPr>
          <w:rFonts w:cs="Segoe UI"/>
          <w:lang w:val="en-US"/>
        </w:rPr>
        <w:t>ports and</w:t>
      </w:r>
      <w:r w:rsidR="00BE62C5">
        <w:rPr>
          <w:rFonts w:cs="Segoe UI"/>
          <w:lang w:val="en-US"/>
        </w:rPr>
        <w:t xml:space="preserve"> shipyards</w:t>
      </w:r>
      <w:r w:rsidR="005659EB">
        <w:rPr>
          <w:rFonts w:cs="Segoe UI"/>
          <w:lang w:val="en-US"/>
        </w:rPr>
        <w:t xml:space="preserve"> </w:t>
      </w:r>
      <w:r w:rsidR="004C108E">
        <w:rPr>
          <w:rFonts w:cs="Segoe UI"/>
          <w:lang w:val="en-US"/>
        </w:rPr>
        <w:t>where ASCO</w:t>
      </w:r>
      <w:r w:rsidR="005659EB">
        <w:rPr>
          <w:rFonts w:cs="Segoe UI"/>
          <w:lang w:val="en-US"/>
        </w:rPr>
        <w:t xml:space="preserve"> has activities</w:t>
      </w:r>
      <w:r w:rsidR="0045540B">
        <w:rPr>
          <w:rFonts w:cs="Segoe UI"/>
          <w:lang w:val="en-US"/>
        </w:rPr>
        <w:t xml:space="preserve"> in the Caspian sea</w:t>
      </w:r>
      <w:r w:rsidR="00BE62C5">
        <w:rPr>
          <w:rFonts w:cs="Segoe UI"/>
          <w:lang w:val="en-US"/>
        </w:rPr>
        <w:t xml:space="preserve">, </w:t>
      </w:r>
      <w:r w:rsidR="0005455C" w:rsidRPr="00EA72D2">
        <w:rPr>
          <w:rFonts w:cs="Segoe UI"/>
          <w:lang w:val="en-US"/>
        </w:rPr>
        <w:t xml:space="preserve">focusing on sea level changes, temperature increases, heatwaves, and extreme weather events. </w:t>
      </w:r>
      <w:r w:rsidR="002B4878">
        <w:rPr>
          <w:rFonts w:cs="Segoe UI"/>
          <w:lang w:val="en-US"/>
        </w:rPr>
        <w:t>The assessment was conducted wit</w:t>
      </w:r>
      <w:r w:rsidR="00240878">
        <w:rPr>
          <w:rFonts w:cs="Segoe UI"/>
          <w:lang w:val="en-US"/>
        </w:rPr>
        <w:t>h two climate scenarios</w:t>
      </w:r>
      <w:r w:rsidR="00C14B06">
        <w:rPr>
          <w:rFonts w:cs="Segoe UI"/>
          <w:lang w:val="en-US"/>
        </w:rPr>
        <w:t xml:space="preserve"> up to 2050</w:t>
      </w:r>
      <w:r w:rsidR="00CD4AFE">
        <w:rPr>
          <w:rFonts w:cs="Segoe UI"/>
          <w:lang w:val="en-US"/>
        </w:rPr>
        <w:t xml:space="preserve">, defined by the </w:t>
      </w:r>
      <w:r w:rsidR="00C276E3">
        <w:rPr>
          <w:rFonts w:cs="Segoe UI"/>
          <w:lang w:val="en-US"/>
        </w:rPr>
        <w:t>I</w:t>
      </w:r>
      <w:r w:rsidR="00B10994">
        <w:rPr>
          <w:rFonts w:cs="Segoe UI"/>
          <w:lang w:val="en-US"/>
        </w:rPr>
        <w:t>P</w:t>
      </w:r>
      <w:r w:rsidR="00C276E3">
        <w:rPr>
          <w:rFonts w:cs="Segoe UI"/>
          <w:lang w:val="en-US"/>
        </w:rPr>
        <w:t>CC</w:t>
      </w:r>
      <w:r w:rsidR="00987962">
        <w:rPr>
          <w:rFonts w:cs="Segoe UI"/>
          <w:lang w:val="en-US"/>
        </w:rPr>
        <w:t xml:space="preserve"> </w:t>
      </w:r>
      <w:r w:rsidR="00C276E3">
        <w:rPr>
          <w:rFonts w:cs="Segoe UI"/>
          <w:lang w:val="en-US"/>
        </w:rPr>
        <w:t xml:space="preserve">(International </w:t>
      </w:r>
      <w:r w:rsidR="00987962">
        <w:rPr>
          <w:rFonts w:cs="Segoe UI"/>
          <w:lang w:val="en-US"/>
        </w:rPr>
        <w:t xml:space="preserve">Panel on Climate Change) </w:t>
      </w:r>
      <w:r w:rsidR="007A4CE5">
        <w:rPr>
          <w:rFonts w:cs="Segoe UI"/>
          <w:lang w:val="en-US"/>
        </w:rPr>
        <w:t>and using most recent</w:t>
      </w:r>
      <w:r w:rsidR="00B17201">
        <w:rPr>
          <w:rFonts w:cs="Segoe UI"/>
          <w:lang w:val="en-US"/>
        </w:rPr>
        <w:t xml:space="preserve"> </w:t>
      </w:r>
      <w:r w:rsidR="00FB0A1C">
        <w:rPr>
          <w:rFonts w:cs="Segoe UI"/>
          <w:lang w:val="en-US"/>
        </w:rPr>
        <w:t>available scientific studies</w:t>
      </w:r>
      <w:r w:rsidR="003F35E0" w:rsidRPr="00EA72D2">
        <w:rPr>
          <w:rFonts w:cs="Segoe UI"/>
          <w:lang w:val="en-US"/>
        </w:rPr>
        <w:t>.</w:t>
      </w:r>
      <w:r w:rsidR="003F35E0">
        <w:rPr>
          <w:rFonts w:cs="Segoe UI"/>
          <w:lang w:val="en-US"/>
        </w:rPr>
        <w:t xml:space="preserve"> </w:t>
      </w:r>
    </w:p>
    <w:p w14:paraId="21891062" w14:textId="2C97DDFE" w:rsidR="001E7DE4" w:rsidRDefault="003F35E0" w:rsidP="00C4029A">
      <w:pPr>
        <w:rPr>
          <w:rFonts w:cs="Segoe UI"/>
          <w:lang w:val="en-US"/>
        </w:rPr>
      </w:pPr>
      <w:r>
        <w:rPr>
          <w:rFonts w:cs="Segoe UI"/>
          <w:lang w:val="en-US"/>
        </w:rPr>
        <w:t>Caspian Sea level decrease appear</w:t>
      </w:r>
      <w:r w:rsidR="00DD0DEB">
        <w:rPr>
          <w:rFonts w:cs="Segoe UI"/>
          <w:lang w:val="en-US"/>
        </w:rPr>
        <w:t>s</w:t>
      </w:r>
      <w:r>
        <w:rPr>
          <w:rFonts w:cs="Segoe UI"/>
          <w:lang w:val="en-US"/>
        </w:rPr>
        <w:t xml:space="preserve"> as the most important risk for ASCO</w:t>
      </w:r>
      <w:r w:rsidR="0023160B">
        <w:rPr>
          <w:rFonts w:cs="Segoe UI"/>
          <w:lang w:val="en-US"/>
        </w:rPr>
        <w:t>’s operations.</w:t>
      </w:r>
      <w:r w:rsidR="00462DCF">
        <w:rPr>
          <w:rFonts w:cs="Segoe UI"/>
          <w:lang w:val="en-US"/>
        </w:rPr>
        <w:t xml:space="preserve"> A decrease</w:t>
      </w:r>
      <w:r w:rsidR="006825D1">
        <w:rPr>
          <w:rFonts w:cs="Segoe UI"/>
          <w:lang w:val="en-US"/>
        </w:rPr>
        <w:t xml:space="preserve"> of the sea level of</w:t>
      </w:r>
      <w:r>
        <w:rPr>
          <w:rFonts w:cs="Segoe UI"/>
          <w:lang w:val="en-US"/>
        </w:rPr>
        <w:t xml:space="preserve"> up to 5 meters</w:t>
      </w:r>
      <w:r w:rsidR="006825D1">
        <w:rPr>
          <w:rFonts w:cs="Segoe UI"/>
          <w:lang w:val="en-US"/>
        </w:rPr>
        <w:t xml:space="preserve"> is expected</w:t>
      </w:r>
      <w:r>
        <w:rPr>
          <w:rFonts w:cs="Segoe UI"/>
          <w:lang w:val="en-US"/>
        </w:rPr>
        <w:t xml:space="preserve"> in 2050</w:t>
      </w:r>
      <w:r w:rsidR="001C3463">
        <w:rPr>
          <w:rFonts w:cs="Segoe UI"/>
          <w:lang w:val="en-US"/>
        </w:rPr>
        <w:t xml:space="preserve">, </w:t>
      </w:r>
      <w:r w:rsidR="008600E9">
        <w:rPr>
          <w:rFonts w:cs="Segoe UI"/>
          <w:lang w:val="en-US"/>
        </w:rPr>
        <w:t>and up to 14 meters by the end of the century</w:t>
      </w:r>
      <w:r w:rsidR="00140A32">
        <w:rPr>
          <w:rFonts w:cs="Segoe UI"/>
          <w:lang w:val="en-US"/>
        </w:rPr>
        <w:t>. This will severely impact most shallow</w:t>
      </w:r>
      <w:r w:rsidR="006417BC">
        <w:rPr>
          <w:rFonts w:cs="Segoe UI"/>
          <w:lang w:val="en-US"/>
        </w:rPr>
        <w:t xml:space="preserve"> areas of the </w:t>
      </w:r>
      <w:r w:rsidR="00280F23">
        <w:rPr>
          <w:rFonts w:cs="Segoe UI"/>
          <w:lang w:val="en-US"/>
        </w:rPr>
        <w:t>Caspian Sea</w:t>
      </w:r>
      <w:r w:rsidR="006417BC">
        <w:rPr>
          <w:rFonts w:cs="Segoe UI"/>
          <w:lang w:val="en-US"/>
        </w:rPr>
        <w:t xml:space="preserve"> and pose serious </w:t>
      </w:r>
      <w:r w:rsidR="00280F23">
        <w:rPr>
          <w:rFonts w:cs="Segoe UI"/>
          <w:lang w:val="en-US"/>
        </w:rPr>
        <w:t>threats</w:t>
      </w:r>
      <w:r w:rsidR="006417BC">
        <w:rPr>
          <w:rFonts w:cs="Segoe UI"/>
          <w:lang w:val="en-US"/>
        </w:rPr>
        <w:t xml:space="preserve"> to ASCO’s operations</w:t>
      </w:r>
      <w:r w:rsidR="00883E9B">
        <w:rPr>
          <w:rFonts w:cs="Segoe UI"/>
          <w:lang w:val="en-US"/>
        </w:rPr>
        <w:t>, driving important</w:t>
      </w:r>
      <w:r w:rsidR="004E6CB4">
        <w:rPr>
          <w:rFonts w:cs="Segoe UI"/>
          <w:lang w:val="en-US"/>
        </w:rPr>
        <w:t xml:space="preserve"> investments to maintain port</w:t>
      </w:r>
      <w:r w:rsidR="00C4029A">
        <w:rPr>
          <w:rFonts w:cs="Segoe UI"/>
          <w:lang w:val="en-US"/>
        </w:rPr>
        <w:t xml:space="preserve">s depth </w:t>
      </w:r>
      <w:r w:rsidR="0034719C">
        <w:rPr>
          <w:rFonts w:cs="Segoe UI"/>
          <w:lang w:val="en-US"/>
        </w:rPr>
        <w:t xml:space="preserve">over time </w:t>
      </w:r>
      <w:r w:rsidR="00C4029A">
        <w:rPr>
          <w:rFonts w:cs="Segoe UI"/>
          <w:lang w:val="en-US"/>
        </w:rPr>
        <w:t xml:space="preserve">and </w:t>
      </w:r>
      <w:r w:rsidR="00280F23">
        <w:rPr>
          <w:rFonts w:cs="Segoe UI"/>
          <w:lang w:val="en-US"/>
        </w:rPr>
        <w:t>adjustments</w:t>
      </w:r>
      <w:r w:rsidR="00C4029A">
        <w:rPr>
          <w:rFonts w:cs="Segoe UI"/>
          <w:lang w:val="en-US"/>
        </w:rPr>
        <w:t xml:space="preserve"> </w:t>
      </w:r>
      <w:r w:rsidR="00280F23">
        <w:rPr>
          <w:rFonts w:cs="Segoe UI"/>
          <w:lang w:val="en-US"/>
        </w:rPr>
        <w:t xml:space="preserve">to </w:t>
      </w:r>
      <w:r w:rsidR="00C4029A">
        <w:rPr>
          <w:rFonts w:cs="Segoe UI"/>
          <w:lang w:val="en-US"/>
        </w:rPr>
        <w:t xml:space="preserve">maritime trade routes. </w:t>
      </w:r>
    </w:p>
    <w:p w14:paraId="229630C3" w14:textId="39BB6B66" w:rsidR="00C76F9C" w:rsidRDefault="00997D87" w:rsidP="00A8071B">
      <w:pPr>
        <w:rPr>
          <w:rFonts w:cs="Segoe UI"/>
          <w:lang w:val="en-US"/>
        </w:rPr>
      </w:pPr>
      <w:r>
        <w:rPr>
          <w:rFonts w:cs="Segoe UI"/>
          <w:lang w:val="en-US"/>
        </w:rPr>
        <w:t>Analysis of climate risks exposure</w:t>
      </w:r>
      <w:r w:rsidR="004A23BB">
        <w:rPr>
          <w:rFonts w:cs="Segoe UI"/>
          <w:lang w:val="en-US"/>
        </w:rPr>
        <w:t xml:space="preserve"> for</w:t>
      </w:r>
      <w:r w:rsidR="00232872">
        <w:rPr>
          <w:rFonts w:cs="Segoe UI"/>
          <w:lang w:val="en-US"/>
        </w:rPr>
        <w:t xml:space="preserve"> </w:t>
      </w:r>
      <w:r w:rsidR="00E66AA9" w:rsidRPr="00EA72D2">
        <w:rPr>
          <w:rFonts w:cs="Segoe UI"/>
          <w:lang w:val="en-US"/>
        </w:rPr>
        <w:t xml:space="preserve">high temperatures and heatwaves present a moderate historical exposure, with expected increases in maximum temperatures by up to 5°C by 2050 under the </w:t>
      </w:r>
      <w:r w:rsidR="00444263">
        <w:rPr>
          <w:rFonts w:cs="Segoe UI"/>
          <w:lang w:val="en-US"/>
        </w:rPr>
        <w:t>worst climate</w:t>
      </w:r>
      <w:r w:rsidR="00E66AA9" w:rsidRPr="00EA72D2">
        <w:rPr>
          <w:rFonts w:cs="Segoe UI"/>
          <w:lang w:val="en-US"/>
        </w:rPr>
        <w:t xml:space="preserve"> scenario.</w:t>
      </w:r>
      <w:r w:rsidR="0012679F">
        <w:rPr>
          <w:rFonts w:cs="Segoe UI"/>
          <w:lang w:val="en-US"/>
        </w:rPr>
        <w:t xml:space="preserve"> </w:t>
      </w:r>
      <w:r w:rsidR="006F442D" w:rsidRPr="00EA72D2">
        <w:rPr>
          <w:rFonts w:cs="Segoe UI"/>
          <w:lang w:val="en-US"/>
        </w:rPr>
        <w:t>Projections indicate a doubling of heatwave frequency by 2030 and substantial increases in maximum heatwave lengths by 2050</w:t>
      </w:r>
      <w:r w:rsidR="0012679F">
        <w:rPr>
          <w:rFonts w:cs="Segoe UI"/>
          <w:lang w:val="en-US"/>
        </w:rPr>
        <w:t xml:space="preserve">, posing significant risks to ASCO’s </w:t>
      </w:r>
      <w:r w:rsidR="003F35E0">
        <w:rPr>
          <w:rFonts w:cs="Segoe UI"/>
          <w:lang w:val="en-US"/>
        </w:rPr>
        <w:t xml:space="preserve">assets’ lifetime and </w:t>
      </w:r>
      <w:r w:rsidR="004B233B">
        <w:rPr>
          <w:rFonts w:cs="Segoe UI"/>
          <w:lang w:val="en-US"/>
        </w:rPr>
        <w:t>employees’</w:t>
      </w:r>
      <w:r w:rsidR="003F35E0">
        <w:rPr>
          <w:rFonts w:cs="Segoe UI"/>
          <w:lang w:val="en-US"/>
        </w:rPr>
        <w:t xml:space="preserve"> </w:t>
      </w:r>
      <w:r w:rsidR="004B233B">
        <w:rPr>
          <w:rFonts w:cs="Segoe UI"/>
          <w:lang w:val="en-US"/>
        </w:rPr>
        <w:t>health</w:t>
      </w:r>
      <w:r w:rsidR="003F35E0">
        <w:rPr>
          <w:rFonts w:cs="Segoe UI"/>
          <w:lang w:val="en-US"/>
        </w:rPr>
        <w:t>.</w:t>
      </w:r>
      <w:r w:rsidR="0034719C">
        <w:rPr>
          <w:rFonts w:cs="Segoe UI"/>
          <w:lang w:val="en-US"/>
        </w:rPr>
        <w:t xml:space="preserve"> Theses impacts are expected to</w:t>
      </w:r>
      <w:r w:rsidR="00E66AA9" w:rsidRPr="00EA72D2">
        <w:rPr>
          <w:rFonts w:cs="Segoe UI"/>
          <w:lang w:val="en-US"/>
        </w:rPr>
        <w:t xml:space="preserve"> </w:t>
      </w:r>
      <w:r w:rsidR="008832EB">
        <w:rPr>
          <w:rFonts w:cs="Segoe UI"/>
          <w:lang w:val="en-US"/>
        </w:rPr>
        <w:t>be gradual</w:t>
      </w:r>
      <w:r w:rsidR="002B0B29">
        <w:rPr>
          <w:rFonts w:cs="Segoe UI"/>
          <w:lang w:val="en-US"/>
        </w:rPr>
        <w:t xml:space="preserve"> </w:t>
      </w:r>
      <w:r w:rsidR="00091111">
        <w:rPr>
          <w:rFonts w:cs="Segoe UI"/>
          <w:lang w:val="en-US"/>
        </w:rPr>
        <w:t>and increase over time</w:t>
      </w:r>
      <w:r w:rsidR="00031B80">
        <w:rPr>
          <w:rFonts w:cs="Segoe UI"/>
          <w:lang w:val="en-US"/>
        </w:rPr>
        <w:t>.</w:t>
      </w:r>
    </w:p>
    <w:p w14:paraId="224652A0" w14:textId="4EC8A55E" w:rsidR="004B13FA" w:rsidRDefault="00E66AA9" w:rsidP="00A8071B">
      <w:pPr>
        <w:rPr>
          <w:rFonts w:cs="Segoe UI"/>
          <w:lang w:val="en-US"/>
        </w:rPr>
      </w:pPr>
      <w:r w:rsidRPr="00EA72D2">
        <w:rPr>
          <w:rFonts w:cs="Segoe UI"/>
          <w:lang w:val="en-US"/>
        </w:rPr>
        <w:lastRenderedPageBreak/>
        <w:t>Additionally,</w:t>
      </w:r>
      <w:r w:rsidR="0024478C">
        <w:rPr>
          <w:rFonts w:cs="Segoe UI"/>
          <w:lang w:val="en-US"/>
        </w:rPr>
        <w:t xml:space="preserve"> assessment of flooding</w:t>
      </w:r>
      <w:r w:rsidR="00BF7454">
        <w:rPr>
          <w:rFonts w:cs="Segoe UI"/>
          <w:lang w:val="en-US"/>
        </w:rPr>
        <w:t xml:space="preserve"> </w:t>
      </w:r>
      <w:r w:rsidR="00364720">
        <w:rPr>
          <w:rFonts w:cs="Segoe UI"/>
          <w:lang w:val="en-US"/>
        </w:rPr>
        <w:t>presents a low exposure</w:t>
      </w:r>
      <w:r w:rsidR="00D7543C">
        <w:rPr>
          <w:rFonts w:cs="Segoe UI"/>
          <w:lang w:val="en-US"/>
        </w:rPr>
        <w:t xml:space="preserve"> for all studied assets</w:t>
      </w:r>
      <w:r w:rsidR="002C2CE1">
        <w:rPr>
          <w:rFonts w:cs="Segoe UI"/>
          <w:lang w:val="en-US"/>
        </w:rPr>
        <w:t>, while</w:t>
      </w:r>
      <w:r w:rsidRPr="00EA72D2">
        <w:rPr>
          <w:rFonts w:cs="Segoe UI"/>
          <w:lang w:val="en-US"/>
        </w:rPr>
        <w:t xml:space="preserve"> extreme weather events, including </w:t>
      </w:r>
      <w:r w:rsidR="00444263">
        <w:rPr>
          <w:rFonts w:cs="Segoe UI"/>
          <w:lang w:val="en-US"/>
        </w:rPr>
        <w:t>storms</w:t>
      </w:r>
      <w:r w:rsidRPr="00EA72D2">
        <w:rPr>
          <w:rFonts w:cs="Segoe UI"/>
          <w:lang w:val="en-US"/>
        </w:rPr>
        <w:t xml:space="preserve"> and high winds, show a moderate historical exposure with increasing risks, particularly under the </w:t>
      </w:r>
      <w:r w:rsidR="00383155">
        <w:rPr>
          <w:rFonts w:cs="Segoe UI"/>
          <w:lang w:val="en-US"/>
        </w:rPr>
        <w:t>worst climate</w:t>
      </w:r>
      <w:r w:rsidRPr="00EA72D2">
        <w:rPr>
          <w:rFonts w:cs="Segoe UI"/>
          <w:lang w:val="en-US"/>
        </w:rPr>
        <w:t xml:space="preserve"> scenario.</w:t>
      </w:r>
    </w:p>
    <w:p w14:paraId="7EDC817D" w14:textId="59F65112" w:rsidR="003F35E0" w:rsidRDefault="00A90B27" w:rsidP="003F35E0">
      <w:pPr>
        <w:rPr>
          <w:rFonts w:cs="Segoe UI"/>
          <w:lang w:val="en-US"/>
        </w:rPr>
      </w:pPr>
      <w:r w:rsidRPr="00EA72D2">
        <w:rPr>
          <w:rFonts w:cs="Segoe UI"/>
          <w:lang w:val="en-US"/>
        </w:rPr>
        <w:t xml:space="preserve">ASCO </w:t>
      </w:r>
      <w:r w:rsidR="003F35E0">
        <w:rPr>
          <w:rFonts w:cs="Segoe UI"/>
          <w:lang w:val="en-US"/>
        </w:rPr>
        <w:t xml:space="preserve">would benefit in </w:t>
      </w:r>
      <w:r w:rsidR="003F35E0" w:rsidRPr="00EA72D2">
        <w:rPr>
          <w:rFonts w:cs="Segoe UI"/>
          <w:lang w:val="en-US"/>
        </w:rPr>
        <w:t>implement</w:t>
      </w:r>
      <w:r w:rsidR="003F35E0">
        <w:rPr>
          <w:rFonts w:cs="Segoe UI"/>
          <w:lang w:val="en-US"/>
        </w:rPr>
        <w:t>ing</w:t>
      </w:r>
      <w:r w:rsidRPr="00EA72D2">
        <w:rPr>
          <w:rFonts w:cs="Segoe UI"/>
          <w:lang w:val="en-US"/>
        </w:rPr>
        <w:t xml:space="preserve"> robust adaptation strategies to mitigate the</w:t>
      </w:r>
      <w:r>
        <w:rPr>
          <w:rFonts w:cs="Segoe UI"/>
          <w:lang w:val="en-US"/>
        </w:rPr>
        <w:t xml:space="preserve"> </w:t>
      </w:r>
      <w:r w:rsidR="003F35E0">
        <w:rPr>
          <w:rFonts w:cs="Segoe UI"/>
          <w:lang w:val="en-US"/>
        </w:rPr>
        <w:t>most material</w:t>
      </w:r>
      <w:r w:rsidR="003F35E0" w:rsidRPr="00EA72D2">
        <w:rPr>
          <w:rFonts w:cs="Segoe UI"/>
          <w:lang w:val="en-US"/>
        </w:rPr>
        <w:t xml:space="preserve"> </w:t>
      </w:r>
      <w:r w:rsidRPr="00EA72D2">
        <w:rPr>
          <w:rFonts w:cs="Segoe UI"/>
          <w:lang w:val="en-US"/>
        </w:rPr>
        <w:t xml:space="preserve">identified </w:t>
      </w:r>
      <w:r>
        <w:rPr>
          <w:rFonts w:cs="Segoe UI"/>
          <w:lang w:val="en-US"/>
        </w:rPr>
        <w:t xml:space="preserve">physical </w:t>
      </w:r>
      <w:r w:rsidRPr="00EA72D2">
        <w:rPr>
          <w:rFonts w:cs="Segoe UI"/>
          <w:lang w:val="en-US"/>
        </w:rPr>
        <w:t xml:space="preserve">risks. </w:t>
      </w:r>
      <w:r w:rsidR="003F35E0">
        <w:rPr>
          <w:rFonts w:cs="Segoe UI"/>
          <w:lang w:val="en-US"/>
        </w:rPr>
        <w:t>Key actions would require</w:t>
      </w:r>
      <w:r w:rsidRPr="00EA72D2">
        <w:rPr>
          <w:rFonts w:cs="Segoe UI"/>
          <w:lang w:val="en-US"/>
        </w:rPr>
        <w:t xml:space="preserve"> infrastructure upgrades</w:t>
      </w:r>
      <w:r w:rsidR="0067259E">
        <w:rPr>
          <w:rFonts w:cs="Segoe UI"/>
          <w:lang w:val="en-US"/>
        </w:rPr>
        <w:t xml:space="preserve"> t</w:t>
      </w:r>
      <w:r w:rsidR="003304FC">
        <w:rPr>
          <w:rFonts w:cs="Segoe UI"/>
          <w:lang w:val="en-US"/>
        </w:rPr>
        <w:t>o on the one hand,</w:t>
      </w:r>
      <w:r w:rsidR="0067259E">
        <w:rPr>
          <w:rFonts w:cs="Segoe UI"/>
          <w:lang w:val="en-US"/>
        </w:rPr>
        <w:t xml:space="preserve"> enable port access </w:t>
      </w:r>
      <w:r w:rsidR="003304FC">
        <w:rPr>
          <w:rFonts w:cs="Segoe UI"/>
          <w:lang w:val="en-US"/>
        </w:rPr>
        <w:t>in a context of lower sea levels</w:t>
      </w:r>
      <w:r w:rsidRPr="00EA72D2">
        <w:rPr>
          <w:rFonts w:cs="Segoe UI"/>
          <w:lang w:val="en-US"/>
        </w:rPr>
        <w:t>,</w:t>
      </w:r>
      <w:r w:rsidR="003304FC">
        <w:rPr>
          <w:rFonts w:cs="Segoe UI"/>
          <w:lang w:val="en-US"/>
        </w:rPr>
        <w:t xml:space="preserve"> and on the other hand, specific measures to ensure a cooler environment</w:t>
      </w:r>
      <w:r w:rsidR="00B231ED">
        <w:rPr>
          <w:rFonts w:cs="Segoe UI"/>
          <w:lang w:val="en-US"/>
        </w:rPr>
        <w:t xml:space="preserve"> in exposed buildings</w:t>
      </w:r>
      <w:r w:rsidR="003304FC">
        <w:rPr>
          <w:rFonts w:cs="Segoe UI"/>
          <w:lang w:val="en-US"/>
        </w:rPr>
        <w:t xml:space="preserve"> in a </w:t>
      </w:r>
      <w:r w:rsidR="002F45EF">
        <w:rPr>
          <w:rFonts w:cs="Segoe UI"/>
          <w:lang w:val="en-US"/>
        </w:rPr>
        <w:t>context of higher temperatures</w:t>
      </w:r>
      <w:r w:rsidR="00B231ED">
        <w:rPr>
          <w:rFonts w:cs="Segoe UI"/>
          <w:lang w:val="en-US"/>
        </w:rPr>
        <w:t>. O</w:t>
      </w:r>
      <w:r w:rsidRPr="00EA72D2">
        <w:rPr>
          <w:rFonts w:cs="Segoe UI"/>
          <w:lang w:val="en-US"/>
        </w:rPr>
        <w:t>perational adjustments</w:t>
      </w:r>
      <w:r w:rsidR="00B231ED">
        <w:rPr>
          <w:rFonts w:cs="Segoe UI"/>
          <w:lang w:val="en-US"/>
        </w:rPr>
        <w:t xml:space="preserve"> could also</w:t>
      </w:r>
      <w:r w:rsidR="002648B0">
        <w:rPr>
          <w:rFonts w:cs="Segoe UI"/>
          <w:lang w:val="en-US"/>
        </w:rPr>
        <w:t xml:space="preserve"> be necessary</w:t>
      </w:r>
      <w:r w:rsidRPr="00EA72D2">
        <w:rPr>
          <w:rFonts w:cs="Segoe UI"/>
          <w:lang w:val="en-US"/>
        </w:rPr>
        <w:t xml:space="preserve">, </w:t>
      </w:r>
      <w:r w:rsidR="002648B0">
        <w:rPr>
          <w:rFonts w:cs="Segoe UI"/>
          <w:lang w:val="en-US"/>
        </w:rPr>
        <w:t xml:space="preserve">notably </w:t>
      </w:r>
      <w:r w:rsidRPr="00EA72D2">
        <w:rPr>
          <w:rFonts w:cs="Segoe UI"/>
          <w:lang w:val="en-US"/>
        </w:rPr>
        <w:t>enhanced safety protocols</w:t>
      </w:r>
      <w:r w:rsidR="003304FC">
        <w:rPr>
          <w:rFonts w:cs="Segoe UI"/>
          <w:lang w:val="en-US"/>
        </w:rPr>
        <w:t xml:space="preserve"> to cope with higher temperatures and heatwaves</w:t>
      </w:r>
      <w:r w:rsidRPr="00EA72D2">
        <w:rPr>
          <w:rFonts w:cs="Segoe UI"/>
          <w:lang w:val="en-US"/>
        </w:rPr>
        <w:t xml:space="preserve"> to ensure resilience against the evolving climate-related challenges.</w:t>
      </w:r>
    </w:p>
    <w:p w14:paraId="60E46BC3" w14:textId="1189BFBA" w:rsidR="00430B1C" w:rsidRPr="007E7F5B" w:rsidRDefault="00430B1C" w:rsidP="00430B1C">
      <w:pPr>
        <w:rPr>
          <w:rFonts w:cs="Segoe UI"/>
          <w:lang w:val="en-US"/>
        </w:rPr>
      </w:pPr>
      <w:r w:rsidRPr="00430B1C">
        <w:rPr>
          <w:rFonts w:cs="Segoe UI"/>
          <w:lang w:val="en-US"/>
        </w:rPr>
        <w:t xml:space="preserve">A targeted analysis of transition risks for ASCO has identified critical challenges to its operations through an in-depth examination of regulatory frameworks, technological advancements, policy developments, and market dynamics. </w:t>
      </w:r>
      <w:r w:rsidR="007E7F5B" w:rsidRPr="00842DD8">
        <w:rPr>
          <w:rFonts w:cs="Segoe UI"/>
          <w:lang w:val="en-US"/>
        </w:rPr>
        <w:t>The assessment incorporates benchmarking against CDP disclosures, offering a comprehensive perspective on ASCO's alignment with global decarbonization efforts.</w:t>
      </w:r>
    </w:p>
    <w:p w14:paraId="3340A51C" w14:textId="12D15B52" w:rsidR="00360A56" w:rsidRPr="00430B1C" w:rsidRDefault="007E7F5B" w:rsidP="00430B1C">
      <w:pPr>
        <w:rPr>
          <w:rFonts w:cs="Segoe UI"/>
          <w:lang w:val="en-US"/>
        </w:rPr>
      </w:pPr>
      <w:r w:rsidRPr="00690D20">
        <w:rPr>
          <w:rFonts w:cs="Segoe UI"/>
          <w:lang w:val="en-US"/>
        </w:rPr>
        <w:t>Leveraging the Task Force on Climate-related Financial Disclosures (TCFD) framework, transition risks were systematically categorized into three primary domains: policy and legal, technological, and market-related. From this structured evaluation, five critical risks were identified and prioritized based on their likelihood and potential impact on ASCO’s operations and strategic objectives:</w:t>
      </w:r>
      <w:r w:rsidR="00842DD8">
        <w:rPr>
          <w:rFonts w:cs="Segoe UI"/>
          <w:lang w:val="en-US"/>
        </w:rPr>
        <w:t xml:space="preserve"> (i)</w:t>
      </w:r>
      <w:r w:rsidRPr="00690D20">
        <w:rPr>
          <w:rFonts w:cs="Segoe UI"/>
          <w:lang w:val="en-US"/>
        </w:rPr>
        <w:t xml:space="preserve"> </w:t>
      </w:r>
      <w:r w:rsidR="00360A56">
        <w:rPr>
          <w:rFonts w:cs="Segoe UI"/>
          <w:lang w:val="en-US"/>
        </w:rPr>
        <w:t>the increase of sustainability reporting mandates,</w:t>
      </w:r>
      <w:r w:rsidR="00842DD8">
        <w:rPr>
          <w:rFonts w:cs="Segoe UI"/>
          <w:lang w:val="en-US"/>
        </w:rPr>
        <w:t xml:space="preserve"> (ii)</w:t>
      </w:r>
      <w:r w:rsidR="00360A56">
        <w:rPr>
          <w:rFonts w:cs="Segoe UI"/>
          <w:lang w:val="en-US"/>
        </w:rPr>
        <w:t xml:space="preserve"> increased pricing of GHG emission, </w:t>
      </w:r>
      <w:r w:rsidR="00842DD8">
        <w:rPr>
          <w:rFonts w:cs="Segoe UI"/>
          <w:lang w:val="en-US"/>
        </w:rPr>
        <w:t xml:space="preserve">(iii) </w:t>
      </w:r>
      <w:r w:rsidR="00360A56">
        <w:rPr>
          <w:rFonts w:cs="Segoe UI"/>
          <w:lang w:val="en-US"/>
        </w:rPr>
        <w:t>mandates on low carbon fuel use and energy efficiency,</w:t>
      </w:r>
      <w:r w:rsidR="00842DD8">
        <w:rPr>
          <w:rFonts w:cs="Segoe UI"/>
          <w:lang w:val="en-US"/>
        </w:rPr>
        <w:t xml:space="preserve"> (iv)</w:t>
      </w:r>
      <w:r w:rsidR="00360A56">
        <w:rPr>
          <w:rFonts w:cs="Segoe UI"/>
          <w:lang w:val="en-US"/>
        </w:rPr>
        <w:t xml:space="preserve"> limited biofuel or e fuel availability and</w:t>
      </w:r>
      <w:r w:rsidR="00842DD8">
        <w:rPr>
          <w:rFonts w:cs="Segoe UI"/>
          <w:lang w:val="en-US"/>
        </w:rPr>
        <w:t xml:space="preserve"> (v)</w:t>
      </w:r>
      <w:r w:rsidR="00360A56">
        <w:rPr>
          <w:rFonts w:cs="Segoe UI"/>
          <w:lang w:val="en-US"/>
        </w:rPr>
        <w:t xml:space="preserve"> reduction of oil and gas demand.</w:t>
      </w:r>
    </w:p>
    <w:p w14:paraId="3606FCB2" w14:textId="5B4DAB9D" w:rsidR="00430B1C" w:rsidRPr="00430B1C" w:rsidRDefault="00910F87" w:rsidP="00430B1C">
      <w:pPr>
        <w:rPr>
          <w:rFonts w:cs="Segoe UI"/>
          <w:lang w:val="en-US"/>
        </w:rPr>
      </w:pPr>
      <w:r w:rsidRPr="00690D20">
        <w:rPr>
          <w:rFonts w:cs="Segoe UI"/>
          <w:lang w:val="en-US"/>
        </w:rPr>
        <w:t xml:space="preserve">The risks associated with increased reporting requirements and rising carbon prices have already materialized, driving necessary investments to ensure compliance. </w:t>
      </w:r>
      <w:r w:rsidR="00B3563F" w:rsidRPr="00690D20">
        <w:rPr>
          <w:rFonts w:cs="Segoe UI"/>
          <w:lang w:val="en-US"/>
        </w:rPr>
        <w:t>However, the likelihood of these risks intensifying remains low within ASCO’s operating region, as regulatory standards are not expected to tighten significantly in the near term</w:t>
      </w:r>
      <w:r w:rsidR="00771C56">
        <w:rPr>
          <w:rFonts w:cs="Segoe UI"/>
          <w:lang w:val="en-US"/>
        </w:rPr>
        <w:t xml:space="preserve"> </w:t>
      </w:r>
      <w:r w:rsidR="000F0DC7" w:rsidRPr="00C85436">
        <w:rPr>
          <w:rFonts w:cs="Segoe UI"/>
          <w:lang w:val="en-US"/>
        </w:rPr>
        <w:t>(</w:t>
      </w:r>
      <w:r w:rsidR="000F0DC7" w:rsidRPr="00C85436">
        <w:rPr>
          <w:lang w:val="en-US"/>
        </w:rPr>
        <w:t xml:space="preserve">see </w:t>
      </w:r>
      <w:hyperlink w:anchor="_Sustainability_reporting_mandates" w:history="1">
        <w:r w:rsidR="000F0DC7" w:rsidRPr="0039112A">
          <w:rPr>
            <w:rStyle w:val="Lienhypertexte"/>
            <w:rFonts w:cs="Segoe UI"/>
            <w:lang w:val="en-US"/>
          </w:rPr>
          <w:t>section III.2.a</w:t>
        </w:r>
      </w:hyperlink>
      <w:r w:rsidR="00005BA2">
        <w:rPr>
          <w:rStyle w:val="Lienhypertexte"/>
          <w:rFonts w:cs="Segoe UI"/>
          <w:lang w:val="en-US"/>
        </w:rPr>
        <w:t xml:space="preserve"> </w:t>
      </w:r>
      <w:r w:rsidR="00005BA2" w:rsidRPr="00FA7359">
        <w:rPr>
          <w:lang w:val="en-US"/>
        </w:rPr>
        <w:t xml:space="preserve">and </w:t>
      </w:r>
      <w:hyperlink w:anchor="_Increasing_pricing_of" w:history="1">
        <w:r w:rsidR="00005BA2" w:rsidRPr="00BC1A1D">
          <w:rPr>
            <w:rStyle w:val="Lienhypertexte"/>
            <w:rFonts w:cs="Segoe UI"/>
            <w:lang w:val="en-US"/>
          </w:rPr>
          <w:t>section III.2.b</w:t>
        </w:r>
      </w:hyperlink>
      <w:r w:rsidR="000F0DC7">
        <w:rPr>
          <w:rFonts w:cs="Segoe UI"/>
          <w:lang w:val="en-US"/>
        </w:rPr>
        <w:t>).</w:t>
      </w:r>
      <w:r w:rsidR="000F0DC7" w:rsidRPr="00C85436">
        <w:rPr>
          <w:rFonts w:cs="Segoe UI"/>
          <w:lang w:val="en-US"/>
        </w:rPr>
        <w:t xml:space="preserve"> </w:t>
      </w:r>
      <w:r w:rsidRPr="00690D20">
        <w:rPr>
          <w:rFonts w:cs="Segoe UI"/>
          <w:lang w:val="en-US"/>
        </w:rPr>
        <w:t xml:space="preserve"> In contrast, regulatory risks related to low-carbon fuels and energy efficiency in shipping are intensifying globally, </w:t>
      </w:r>
      <w:r w:rsidR="00C666D3">
        <w:rPr>
          <w:rFonts w:cs="Segoe UI"/>
          <w:lang w:val="en-US"/>
        </w:rPr>
        <w:t>p</w:t>
      </w:r>
      <w:r w:rsidR="00C666D3" w:rsidRPr="00690D20">
        <w:rPr>
          <w:rFonts w:cs="Segoe UI"/>
          <w:lang w:val="en-US"/>
        </w:rPr>
        <w:t>articularly in Europe, demanding significant fleet renewal investments to comply with standards like the Carbon Intensity Indicator and Energy Efficiency Existing Ship Index</w:t>
      </w:r>
      <w:r w:rsidR="00771C56">
        <w:rPr>
          <w:rFonts w:cs="Segoe UI"/>
          <w:lang w:val="en-US"/>
        </w:rPr>
        <w:t xml:space="preserve"> </w:t>
      </w:r>
      <w:r w:rsidR="00DD7EF8">
        <w:rPr>
          <w:rFonts w:cs="Segoe UI"/>
          <w:lang w:val="en-US"/>
        </w:rPr>
        <w:t>(</w:t>
      </w:r>
      <w:r w:rsidR="00771C56">
        <w:rPr>
          <w:rFonts w:cs="Segoe UI"/>
          <w:lang w:val="en-US"/>
        </w:rPr>
        <w:t xml:space="preserve">see </w:t>
      </w:r>
      <w:hyperlink w:anchor="_Regulatory_mandates_on" w:history="1">
        <w:r w:rsidR="00DD7EF8" w:rsidRPr="0039112A">
          <w:rPr>
            <w:rStyle w:val="Lienhypertexte"/>
            <w:rFonts w:cs="Segoe UI"/>
            <w:lang w:val="en-US"/>
          </w:rPr>
          <w:t>section III.2.c</w:t>
        </w:r>
      </w:hyperlink>
      <w:r w:rsidR="00DD7EF8">
        <w:rPr>
          <w:rStyle w:val="Lienhypertexte"/>
          <w:rFonts w:cs="Segoe UI"/>
          <w:lang w:val="en-US"/>
        </w:rPr>
        <w:t>)</w:t>
      </w:r>
      <w:r w:rsidRPr="00690D20">
        <w:rPr>
          <w:rFonts w:cs="Segoe UI"/>
          <w:lang w:val="en-US"/>
        </w:rPr>
        <w:t>. An underlying risk is the availability of low-carbon fuels, given that the maritime transport sector is not alone in facing ambitious climate targets. Low-carbon fuels, particularly biofuels, are subject to significant competition from other industries, such as aviation, which gives a competitive edge to early movers in the transition</w:t>
      </w:r>
      <w:r w:rsidR="0033658B">
        <w:rPr>
          <w:rFonts w:cs="Segoe UI"/>
          <w:lang w:val="en-US"/>
        </w:rPr>
        <w:t xml:space="preserve"> </w:t>
      </w:r>
      <w:r w:rsidR="00460165">
        <w:rPr>
          <w:rFonts w:cs="Segoe UI"/>
          <w:lang w:val="en-US"/>
        </w:rPr>
        <w:t xml:space="preserve">(see </w:t>
      </w:r>
      <w:hyperlink w:anchor="_Limited_biofuel_of" w:history="1">
        <w:r w:rsidR="00460165" w:rsidRPr="00BC1A1D">
          <w:rPr>
            <w:rStyle w:val="Lienhypertexte"/>
            <w:rFonts w:cs="Segoe UI"/>
            <w:lang w:val="en-US"/>
          </w:rPr>
          <w:t>section III.2.d</w:t>
        </w:r>
      </w:hyperlink>
      <w:r w:rsidR="00460165">
        <w:rPr>
          <w:rFonts w:cs="Segoe UI"/>
          <w:lang w:val="en-US"/>
        </w:rPr>
        <w:t>)</w:t>
      </w:r>
      <w:r w:rsidR="0033658B">
        <w:rPr>
          <w:rFonts w:cs="Segoe UI"/>
          <w:lang w:val="en-US"/>
        </w:rPr>
        <w:t>.</w:t>
      </w:r>
      <w:r w:rsidRPr="00690D20">
        <w:rPr>
          <w:rFonts w:cs="Segoe UI"/>
          <w:lang w:val="en-US"/>
        </w:rPr>
        <w:t xml:space="preserve"> Lastly, the risk of declining demand for oil and gas is moderate in the region, as energy demand scenarios do not yet indicate a consensus towards a decrease before 2050. Therefore, the short- and medium-term impact on ASCO's offshore activities remains limited.</w:t>
      </w:r>
    </w:p>
    <w:p w14:paraId="06845A6D" w14:textId="109B37E2" w:rsidR="009C7CDA" w:rsidRPr="009C7CDA" w:rsidRDefault="009C7CDA" w:rsidP="009C7CDA">
      <w:pPr>
        <w:rPr>
          <w:rFonts w:cs="Segoe UI"/>
          <w:lang w:val="en-US"/>
        </w:rPr>
      </w:pPr>
      <w:r w:rsidRPr="009C7CDA">
        <w:rPr>
          <w:rFonts w:cs="Segoe UI"/>
          <w:lang w:val="en-US"/>
        </w:rPr>
        <w:t>ASCO faces multifaceted risks related to evolving decarbonization regulations, rising carbon pricing, and the transition to low-carbon fuels, requiring significant investments in emissions monitoring systems, fleet upgrades, and alternative fuel in</w:t>
      </w:r>
      <w:r w:rsidR="00046C7C">
        <w:rPr>
          <w:rFonts w:cs="Segoe UI"/>
          <w:lang w:val="en-US"/>
        </w:rPr>
        <w:t>vestments</w:t>
      </w:r>
      <w:r w:rsidRPr="009C7CDA">
        <w:rPr>
          <w:rFonts w:cs="Segoe UI"/>
          <w:lang w:val="en-US"/>
        </w:rPr>
        <w:t xml:space="preserve">. Collaborating with regional players and suppliers like KazMunayGas or ASCOR to secure biofuels or e-fuels through long-term contracts can mitigate supply challenges and leverage early-mover advantages. While these initiatives will increase short-term operational costs and financial strain, particularly due to underdeveloped infrastructure and fuel competition, they offer long-term benefits. Early compliance can stabilize costs, reduce exposure to carbon price </w:t>
      </w:r>
      <w:r w:rsidRPr="009C7CDA">
        <w:rPr>
          <w:rFonts w:cs="Segoe UI"/>
          <w:lang w:val="en-US"/>
        </w:rPr>
        <w:lastRenderedPageBreak/>
        <w:t>fluctuations, and align with stakeholder and market expectations for sustainability. These efforts will enhance ASCO’s reputation</w:t>
      </w:r>
      <w:r w:rsidR="00803CC2">
        <w:rPr>
          <w:rFonts w:cs="Segoe UI"/>
          <w:lang w:val="en-US"/>
        </w:rPr>
        <w:t xml:space="preserve"> and</w:t>
      </w:r>
      <w:r w:rsidRPr="009C7CDA">
        <w:rPr>
          <w:rFonts w:cs="Segoe UI"/>
          <w:lang w:val="en-US"/>
        </w:rPr>
        <w:t xml:space="preserve"> competitiveness</w:t>
      </w:r>
      <w:r w:rsidR="00C032AF">
        <w:rPr>
          <w:rFonts w:cs="Segoe UI"/>
          <w:lang w:val="en-US"/>
        </w:rPr>
        <w:t>.</w:t>
      </w:r>
    </w:p>
    <w:p w14:paraId="5E2FA9C8" w14:textId="120DDFCB" w:rsidR="003F35E0" w:rsidRDefault="003F35E0" w:rsidP="003F35E0">
      <w:pPr>
        <w:rPr>
          <w:rFonts w:cs="Segoe UI"/>
          <w:lang w:val="en-US"/>
        </w:rPr>
      </w:pPr>
      <w:r w:rsidRPr="00C85436">
        <w:rPr>
          <w:rFonts w:cs="Segoe UI"/>
          <w:lang w:val="en-US"/>
        </w:rPr>
        <w:t>The analysis of physical and transition risks will guide the development of</w:t>
      </w:r>
      <w:r>
        <w:rPr>
          <w:rFonts w:cs="Segoe UI"/>
          <w:lang w:val="en-US"/>
        </w:rPr>
        <w:t xml:space="preserve"> separate deliverables :</w:t>
      </w:r>
      <w:r w:rsidRPr="00C85436">
        <w:rPr>
          <w:rFonts w:cs="Segoe UI"/>
          <w:lang w:val="en-US"/>
        </w:rPr>
        <w:t xml:space="preserve"> a Climate Corporate Governance (CCG) Action Plan and a Sustainability-Linked Loan (SLL) Action Plan. These </w:t>
      </w:r>
      <w:r>
        <w:rPr>
          <w:rFonts w:cs="Segoe UI"/>
          <w:lang w:val="en-US"/>
        </w:rPr>
        <w:t>deliverables</w:t>
      </w:r>
      <w:r w:rsidRPr="00C85436">
        <w:rPr>
          <w:rFonts w:cs="Segoe UI"/>
          <w:lang w:val="en-US"/>
        </w:rPr>
        <w:t xml:space="preserve"> aim to close governance and capacity gaps, enhance ASCO's access to sustainable financing, and address climate mitigation and adaptation</w:t>
      </w:r>
      <w:r w:rsidR="00630F57">
        <w:rPr>
          <w:rFonts w:cs="Segoe UI"/>
          <w:lang w:val="en-US"/>
        </w:rPr>
        <w:t xml:space="preserve"> through a concrete set of actions sprea</w:t>
      </w:r>
      <w:r w:rsidR="00695C33">
        <w:rPr>
          <w:rFonts w:cs="Segoe UI"/>
          <w:lang w:val="en-US"/>
        </w:rPr>
        <w:t>d over time</w:t>
      </w:r>
      <w:r w:rsidRPr="00C85436">
        <w:rPr>
          <w:rFonts w:cs="Segoe UI"/>
          <w:lang w:val="en-US"/>
        </w:rPr>
        <w:t xml:space="preserve">. </w:t>
      </w:r>
      <w:r>
        <w:rPr>
          <w:rFonts w:cs="Segoe UI"/>
          <w:lang w:val="en-US"/>
        </w:rPr>
        <w:t>In addition</w:t>
      </w:r>
      <w:r w:rsidRPr="00C85436">
        <w:rPr>
          <w:rFonts w:cs="Segoe UI"/>
          <w:lang w:val="en-US"/>
        </w:rPr>
        <w:t xml:space="preserve">, </w:t>
      </w:r>
      <w:r>
        <w:rPr>
          <w:rFonts w:cs="Segoe UI"/>
          <w:lang w:val="en-US"/>
        </w:rPr>
        <w:t>another deliverable</w:t>
      </w:r>
      <w:r w:rsidRPr="00C85436">
        <w:rPr>
          <w:rFonts w:cs="Segoe UI"/>
          <w:lang w:val="en-US"/>
        </w:rPr>
        <w:t xml:space="preserve"> will support ASCO in creating a </w:t>
      </w:r>
      <w:r w:rsidR="00695C33">
        <w:rPr>
          <w:rFonts w:cs="Segoe UI"/>
          <w:lang w:val="en-US"/>
        </w:rPr>
        <w:t>IFRS S2</w:t>
      </w:r>
      <w:r w:rsidRPr="00C85436">
        <w:rPr>
          <w:rFonts w:cs="Segoe UI"/>
          <w:lang w:val="en-US"/>
        </w:rPr>
        <w:t xml:space="preserve">-aligned disclosure, improving its transparency and </w:t>
      </w:r>
      <w:r>
        <w:rPr>
          <w:rFonts w:cs="Segoe UI"/>
          <w:lang w:val="en-US"/>
        </w:rPr>
        <w:t xml:space="preserve">external </w:t>
      </w:r>
      <w:r w:rsidRPr="00C85436">
        <w:rPr>
          <w:rFonts w:cs="Segoe UI"/>
          <w:lang w:val="en-US"/>
        </w:rPr>
        <w:t xml:space="preserve">communication on climate risks and opportunities. Together, these efforts will strengthen ASCO’s resilience, sustainability, and ability to meet the expectations of </w:t>
      </w:r>
      <w:r>
        <w:rPr>
          <w:rFonts w:cs="Segoe UI"/>
          <w:lang w:val="en-US"/>
        </w:rPr>
        <w:t>external</w:t>
      </w:r>
      <w:r w:rsidRPr="00C85436">
        <w:rPr>
          <w:rFonts w:cs="Segoe UI"/>
          <w:lang w:val="en-US"/>
        </w:rPr>
        <w:t xml:space="preserve"> stakeholders.</w:t>
      </w:r>
    </w:p>
    <w:p w14:paraId="65915085" w14:textId="77777777" w:rsidR="003F35E0" w:rsidRPr="00025DF3" w:rsidRDefault="003F35E0" w:rsidP="003F35E0">
      <w:pPr>
        <w:rPr>
          <w:lang w:val="en-US"/>
        </w:rPr>
      </w:pPr>
      <w:r>
        <w:rPr>
          <w:lang w:val="en-US"/>
        </w:rPr>
        <w:t>Concrete climate risks mitigation actions will feature in the SLL</w:t>
      </w:r>
      <w:r w:rsidRPr="006653D3">
        <w:rPr>
          <w:lang w:val="en-US"/>
        </w:rPr>
        <w:t xml:space="preserve"> Action Plan</w:t>
      </w:r>
      <w:r>
        <w:rPr>
          <w:lang w:val="en-US"/>
        </w:rPr>
        <w:t xml:space="preserve"> which would serve as a basis to guide and drive climate mitigation efforts of ASCO through a set of GHG emission trajectories with the ultimate objective to</w:t>
      </w:r>
      <w:r w:rsidRPr="006653D3">
        <w:rPr>
          <w:lang w:val="en-US"/>
        </w:rPr>
        <w:t xml:space="preserve"> enable </w:t>
      </w:r>
      <w:r>
        <w:rPr>
          <w:lang w:val="en-US"/>
        </w:rPr>
        <w:t>its</w:t>
      </w:r>
      <w:r w:rsidRPr="006653D3">
        <w:rPr>
          <w:lang w:val="en-US"/>
        </w:rPr>
        <w:t xml:space="preserve"> access to sustainability-linked financing.</w:t>
      </w:r>
      <w:r w:rsidRPr="00025DF3">
        <w:rPr>
          <w:rStyle w:val="cf01"/>
          <w:rFonts w:ascii="EYInterstate Light" w:hAnsi="EYInterstate Light"/>
          <w:sz w:val="22"/>
          <w:szCs w:val="22"/>
          <w:lang w:val="en-US"/>
        </w:rPr>
        <w:br/>
      </w:r>
    </w:p>
    <w:p w14:paraId="5C8EE474" w14:textId="538C7624" w:rsidR="00D15E25" w:rsidRPr="00D15E25" w:rsidRDefault="00CD5F22" w:rsidP="00A8071B">
      <w:pPr>
        <w:jc w:val="left"/>
        <w:rPr>
          <w:lang w:val="en-US"/>
        </w:rPr>
      </w:pPr>
      <w:r>
        <w:rPr>
          <w:rStyle w:val="cf01"/>
          <w:rFonts w:ascii="EYInterstate Light" w:hAnsi="EYInterstate Light"/>
          <w:sz w:val="22"/>
          <w:szCs w:val="22"/>
          <w:lang w:val="en-US"/>
        </w:rPr>
        <w:br/>
      </w:r>
    </w:p>
    <w:p w14:paraId="2F3BED2A" w14:textId="57F06C0A" w:rsidR="00451FAA" w:rsidRPr="00FC75FA" w:rsidRDefault="005E4062" w:rsidP="00495425">
      <w:pPr>
        <w:pStyle w:val="Paragraphedeliste"/>
        <w:rPr>
          <w:highlight w:val="green"/>
          <w:lang w:val="en-US"/>
        </w:rPr>
      </w:pPr>
      <w:r w:rsidRPr="00FC75FA">
        <w:rPr>
          <w:highlight w:val="green"/>
          <w:lang w:val="en-US"/>
        </w:rPr>
        <w:br w:type="page"/>
      </w:r>
    </w:p>
    <w:p w14:paraId="42892CFD" w14:textId="085B27D5" w:rsidR="00E00AAD" w:rsidRPr="00D15E25" w:rsidRDefault="00F85CA9" w:rsidP="0057494B">
      <w:pPr>
        <w:pStyle w:val="Titre1"/>
        <w:rPr>
          <w:lang w:val="en-US"/>
        </w:rPr>
      </w:pPr>
      <w:bookmarkStart w:id="8" w:name="_Toc169706448"/>
      <w:bookmarkStart w:id="9" w:name="_Toc183015088"/>
      <w:bookmarkStart w:id="10" w:name="_Toc166597013"/>
      <w:bookmarkStart w:id="11" w:name="_Toc166597147"/>
      <w:bookmarkStart w:id="12" w:name="_Toc166597173"/>
      <w:r w:rsidRPr="00D15E25">
        <w:rPr>
          <w:lang w:val="en-US"/>
        </w:rPr>
        <w:lastRenderedPageBreak/>
        <w:t xml:space="preserve">I. </w:t>
      </w:r>
      <w:r w:rsidR="00761769" w:rsidRPr="00D15E25">
        <w:rPr>
          <w:lang w:val="en-US"/>
        </w:rPr>
        <w:t>Background information</w:t>
      </w:r>
      <w:bookmarkEnd w:id="8"/>
      <w:bookmarkEnd w:id="9"/>
      <w:r w:rsidR="00761769" w:rsidRPr="00D15E25">
        <w:rPr>
          <w:lang w:val="en-US"/>
        </w:rPr>
        <w:t xml:space="preserve"> </w:t>
      </w:r>
      <w:bookmarkEnd w:id="10"/>
      <w:bookmarkEnd w:id="11"/>
      <w:bookmarkEnd w:id="12"/>
    </w:p>
    <w:p w14:paraId="13F06DFB" w14:textId="77777777" w:rsidR="00363131" w:rsidRDefault="00363131" w:rsidP="006817FB">
      <w:pPr>
        <w:rPr>
          <w:lang w:val="en-US"/>
        </w:rPr>
      </w:pPr>
    </w:p>
    <w:p w14:paraId="33ED0662" w14:textId="77777777" w:rsidR="00A307F8" w:rsidRPr="000B28A4" w:rsidRDefault="00A307F8" w:rsidP="00A307F8">
      <w:pPr>
        <w:spacing w:line="240" w:lineRule="auto"/>
        <w:rPr>
          <w:szCs w:val="20"/>
          <w:lang w:val="en-US" w:eastAsia="en-GB"/>
        </w:rPr>
      </w:pPr>
      <w:r w:rsidRPr="000B28A4">
        <w:rPr>
          <w:szCs w:val="20"/>
          <w:lang w:val="en-US" w:eastAsia="en-GB"/>
        </w:rPr>
        <w:t xml:space="preserve">The shipping sector is inherently affected by climate change, both through its sensitivity to climatic conditions and physical climate change impacts as well as its contributions towards greenhouse gas (GHG) emissions. A growing number of corporations in this sector are developing plans to reduce carbon intensity of assets and low-carbon development strategies, aligning their corporate governance, and reporting with the IFRS S1 and S2 standards. This trend also shows that access to financial resources for such organizations for further development will require transparent and sustainable corporate climate policy. In this context, the European Bank for Reconstruction and Development (EBRD) is cooperating with the CJSC Azerbaijan Caspian Shipping Company (ASCO) to provide support in </w:t>
      </w:r>
      <w:r w:rsidRPr="000B28A4">
        <w:rPr>
          <w:szCs w:val="20"/>
          <w:lang w:val="en-US"/>
        </w:rPr>
        <w:t>aligning its business model and operations with low-carbon and climate-resilient pathways, in line with the goals of the 2015 Paris Agreement. These objectives are highly relevant to ASCO’s business operations in the Caspian Sea region, as well as other regions such as the Black Sea and the Mediterranean, which are sensitive to the projected impacts of climate change (e.g., significant revenue stream comes from operations reliant upon oil and gas sector</w:t>
      </w:r>
      <w:r w:rsidRPr="000B28A4">
        <w:rPr>
          <w:szCs w:val="20"/>
          <w:lang w:val="en-US" w:eastAsia="en-GB"/>
        </w:rPr>
        <w:t xml:space="preserve">.   </w:t>
      </w:r>
    </w:p>
    <w:p w14:paraId="5EFE0540" w14:textId="422C844B" w:rsidR="00A307F8" w:rsidRPr="000B28A4" w:rsidRDefault="00A307F8" w:rsidP="00A307F8">
      <w:pPr>
        <w:spacing w:line="240" w:lineRule="auto"/>
        <w:rPr>
          <w:szCs w:val="20"/>
          <w:lang w:val="en-US"/>
        </w:rPr>
      </w:pPr>
      <w:r w:rsidRPr="000B28A4">
        <w:rPr>
          <w:szCs w:val="20"/>
          <w:lang w:val="en-US"/>
        </w:rPr>
        <w:t>There is an increasing awareness of the implications of climate change for economies and businesses, and for the need to internalize information about climate change impacts in financial and business decision-making. These include low-carbon and climate-resilient transition and physical climate impacts. The shift is being reinforced by recommendations and emerging regulatory frameworks from influential bodies such as International Sustainability Standards Board (ISSB), the Network for Greening the Financia</w:t>
      </w:r>
      <w:r w:rsidRPr="0057601C">
        <w:rPr>
          <w:lang w:val="en-US"/>
        </w:rPr>
        <w:t>l</w:t>
      </w:r>
      <w:r w:rsidRPr="000B28A4">
        <w:rPr>
          <w:szCs w:val="20"/>
          <w:lang w:val="en-US"/>
        </w:rPr>
        <w:t xml:space="preserve"> System (“NGFS”), the EU’s Sustainable Finance Action Plan and several national regulatory and supervisory bodies. Companies may need to adjust their business models and internal corporate governance by enhancing their corporate climate governance processes and related disclosures to align their business operations with low-carbon pathways (“LCP”) and climate-resilient pathways (“CRP”), in line with these emerging best practices.</w:t>
      </w:r>
    </w:p>
    <w:p w14:paraId="3E9A33B9" w14:textId="77777777" w:rsidR="00A307F8" w:rsidRPr="000B28A4" w:rsidRDefault="00A307F8" w:rsidP="00A307F8">
      <w:pPr>
        <w:spacing w:line="240" w:lineRule="auto"/>
        <w:rPr>
          <w:szCs w:val="20"/>
          <w:lang w:val="en-US"/>
        </w:rPr>
      </w:pPr>
      <w:r w:rsidRPr="000B28A4">
        <w:rPr>
          <w:szCs w:val="20"/>
          <w:lang w:val="en-US"/>
        </w:rPr>
        <w:t xml:space="preserve">ASCO has expressed strong interest in enhancing its standards of internal corporate governance, including in relation to sustainability, and is therefore well placed to pursue improvements in the area of corporate governance and risk assessment for climate action. </w:t>
      </w:r>
    </w:p>
    <w:p w14:paraId="521C4B9B" w14:textId="77777777" w:rsidR="00A307F8" w:rsidRPr="000B28A4" w:rsidRDefault="00A307F8" w:rsidP="00A307F8">
      <w:pPr>
        <w:spacing w:after="120" w:line="240" w:lineRule="auto"/>
        <w:rPr>
          <w:rFonts w:eastAsiaTheme="majorEastAsia"/>
          <w:szCs w:val="20"/>
          <w:lang w:val="en-US"/>
        </w:rPr>
      </w:pPr>
      <w:r w:rsidRPr="000B28A4">
        <w:rPr>
          <w:szCs w:val="20"/>
          <w:lang w:val="en-US"/>
        </w:rPr>
        <w:t>In this context, the bank intends to support ASCO in enhancing its corporate governance for effective climate action and develop a low-carbon and climate-resilient roadmap to support the Company in aligning its operations with the goals of the Paris Agreement.</w:t>
      </w:r>
      <w:r w:rsidRPr="000B28A4">
        <w:rPr>
          <w:rFonts w:eastAsiaTheme="majorEastAsia"/>
          <w:szCs w:val="20"/>
          <w:lang w:val="en-US"/>
        </w:rPr>
        <w:t xml:space="preserve"> As the EBRD is offering Technical Cooperation to support clients in the structuring of sustainability-linked instruments, a concurrent goal of this assignment is to assist ASCO “the Company” in its first sustainability-linked loan (SLL) or sustainability-linked bond (SLB) by developing a Sustainability-linked Financing Framework (SLFF) in line with the relevant Principles. On that note, a technical assistance has been launched to support ASCO’s internal reforms, mainly aimed </w:t>
      </w:r>
      <w:proofErr w:type="spellStart"/>
      <w:r w:rsidRPr="000B28A4">
        <w:rPr>
          <w:rFonts w:eastAsiaTheme="majorEastAsia"/>
          <w:szCs w:val="20"/>
          <w:lang w:val="en-US"/>
        </w:rPr>
        <w:t>at:</w:t>
      </w:r>
      <w:r w:rsidRPr="0057601C">
        <w:rPr>
          <w:lang w:val="en-US"/>
        </w:rPr>
        <w:t>l</w:t>
      </w:r>
      <w:r w:rsidRPr="00612C91">
        <w:rPr>
          <w:szCs w:val="20"/>
          <w:lang w:val="en-US"/>
        </w:rPr>
        <w:t>Building</w:t>
      </w:r>
      <w:proofErr w:type="spellEnd"/>
      <w:r w:rsidRPr="00612C91">
        <w:rPr>
          <w:szCs w:val="20"/>
          <w:lang w:val="en-US"/>
        </w:rPr>
        <w:t xml:space="preserve"> awareness and capacity within</w:t>
      </w:r>
      <w:r w:rsidRPr="000B28A4">
        <w:rPr>
          <w:szCs w:val="20"/>
          <w:lang w:val="en-US"/>
        </w:rPr>
        <w:t xml:space="preserve"> the Company for understanding relevance of CCG, and the state of play in terms of current international best practice on CCG.</w:t>
      </w:r>
    </w:p>
    <w:p w14:paraId="4502D9F4" w14:textId="77777777" w:rsidR="00A307F8" w:rsidRPr="000B28A4" w:rsidRDefault="00A307F8" w:rsidP="00A307F8">
      <w:pPr>
        <w:pStyle w:val="Paragraphedeliste"/>
        <w:numPr>
          <w:ilvl w:val="0"/>
          <w:numId w:val="40"/>
        </w:numPr>
        <w:spacing w:after="0" w:line="240" w:lineRule="auto"/>
        <w:contextualSpacing w:val="0"/>
        <w:rPr>
          <w:szCs w:val="20"/>
          <w:lang w:val="en-US"/>
        </w:rPr>
      </w:pPr>
      <w:r w:rsidRPr="000B28A4">
        <w:rPr>
          <w:szCs w:val="20"/>
          <w:lang w:val="en-US"/>
        </w:rPr>
        <w:t>Conducting a review of the Company’s exposure to key climate risks (transition risks and physical risks in line with TCFD/IFRS S2 guidelines).</w:t>
      </w:r>
    </w:p>
    <w:p w14:paraId="19704999" w14:textId="77777777" w:rsidR="00A307F8" w:rsidRPr="000B28A4" w:rsidRDefault="00A307F8" w:rsidP="00A307F8">
      <w:pPr>
        <w:pStyle w:val="Paragraphedeliste"/>
        <w:numPr>
          <w:ilvl w:val="0"/>
          <w:numId w:val="40"/>
        </w:numPr>
        <w:spacing w:after="0" w:line="240" w:lineRule="auto"/>
        <w:contextualSpacing w:val="0"/>
        <w:rPr>
          <w:szCs w:val="20"/>
          <w:lang w:val="en-US"/>
        </w:rPr>
      </w:pPr>
      <w:r w:rsidRPr="000B28A4">
        <w:rPr>
          <w:szCs w:val="20"/>
          <w:lang w:val="en-US"/>
        </w:rPr>
        <w:t>Undertaking the climate risk scenario analysis for the existing fleet and fleet development plans.</w:t>
      </w:r>
    </w:p>
    <w:p w14:paraId="03C431E7" w14:textId="77777777" w:rsidR="00A307F8" w:rsidRPr="000B28A4" w:rsidRDefault="00A307F8" w:rsidP="00A307F8">
      <w:pPr>
        <w:pStyle w:val="Paragraphedeliste"/>
        <w:numPr>
          <w:ilvl w:val="0"/>
          <w:numId w:val="40"/>
        </w:numPr>
        <w:spacing w:after="0" w:line="240" w:lineRule="auto"/>
        <w:contextualSpacing w:val="0"/>
        <w:rPr>
          <w:szCs w:val="20"/>
          <w:lang w:val="en-US"/>
        </w:rPr>
      </w:pPr>
      <w:r w:rsidRPr="000B28A4">
        <w:rPr>
          <w:szCs w:val="20"/>
          <w:lang w:val="en-US"/>
        </w:rPr>
        <w:t xml:space="preserve">Undertaking a review of current CCG practices against best practice (IFRS 2 and in line with the EBRD CCG Assessment Methodology) and advise on enhancement </w:t>
      </w:r>
      <w:r w:rsidRPr="000B28A4">
        <w:rPr>
          <w:szCs w:val="20"/>
          <w:lang w:val="en-US"/>
        </w:rPr>
        <w:lastRenderedPageBreak/>
        <w:t xml:space="preserve">measures, </w:t>
      </w:r>
      <w:proofErr w:type="spellStart"/>
      <w:r w:rsidRPr="000B28A4">
        <w:rPr>
          <w:szCs w:val="20"/>
          <w:lang w:val="en-US"/>
        </w:rPr>
        <w:t>summarised</w:t>
      </w:r>
      <w:proofErr w:type="spellEnd"/>
      <w:r w:rsidRPr="000B28A4">
        <w:rPr>
          <w:szCs w:val="20"/>
          <w:lang w:val="en-US"/>
        </w:rPr>
        <w:t xml:space="preserve"> in a “CCG Action Plan” (Transition Plan) to be adopted by the Company</w:t>
      </w:r>
      <w:r w:rsidRPr="000B28A4">
        <w:rPr>
          <w:color w:val="4472C4" w:themeColor="accent1"/>
          <w:szCs w:val="20"/>
          <w:lang w:val="en-US"/>
        </w:rPr>
        <w:t xml:space="preserve">. </w:t>
      </w:r>
    </w:p>
    <w:p w14:paraId="18BB0AB1" w14:textId="77777777" w:rsidR="00A307F8" w:rsidRPr="000B28A4" w:rsidRDefault="00A307F8" w:rsidP="00A307F8">
      <w:pPr>
        <w:pStyle w:val="Paragraphedeliste"/>
        <w:numPr>
          <w:ilvl w:val="0"/>
          <w:numId w:val="40"/>
        </w:numPr>
        <w:spacing w:after="0" w:line="240" w:lineRule="auto"/>
        <w:contextualSpacing w:val="0"/>
        <w:rPr>
          <w:szCs w:val="20"/>
          <w:lang w:val="en-US"/>
        </w:rPr>
      </w:pPr>
      <w:r w:rsidRPr="000B28A4">
        <w:rPr>
          <w:szCs w:val="20"/>
          <w:lang w:val="en-US"/>
        </w:rPr>
        <w:t>Advising on the most suited corporate level climate ambitions in the view of their operations and current market and industry trends.</w:t>
      </w:r>
    </w:p>
    <w:p w14:paraId="5A95DC60" w14:textId="77777777" w:rsidR="00A307F8" w:rsidRPr="000B28A4" w:rsidRDefault="00A307F8" w:rsidP="00A307F8">
      <w:pPr>
        <w:pStyle w:val="Paragraphedeliste"/>
        <w:numPr>
          <w:ilvl w:val="0"/>
          <w:numId w:val="40"/>
        </w:numPr>
        <w:spacing w:after="0" w:line="240" w:lineRule="auto"/>
        <w:contextualSpacing w:val="0"/>
        <w:rPr>
          <w:szCs w:val="20"/>
          <w:lang w:val="en-US"/>
        </w:rPr>
      </w:pPr>
      <w:r w:rsidRPr="000B28A4">
        <w:rPr>
          <w:szCs w:val="20"/>
          <w:lang w:val="en-US"/>
        </w:rPr>
        <w:t xml:space="preserve">Performing an initial disclosure, in an appropriate publicly available medium, such as the Company Annual Report and/or Website. </w:t>
      </w:r>
    </w:p>
    <w:p w14:paraId="423431EE" w14:textId="77777777" w:rsidR="00A307F8" w:rsidRPr="000B28A4" w:rsidRDefault="00A307F8" w:rsidP="00A307F8">
      <w:pPr>
        <w:pStyle w:val="Paragraphedeliste"/>
        <w:numPr>
          <w:ilvl w:val="0"/>
          <w:numId w:val="40"/>
        </w:numPr>
        <w:spacing w:after="0" w:line="240" w:lineRule="auto"/>
        <w:contextualSpacing w:val="0"/>
        <w:rPr>
          <w:szCs w:val="20"/>
          <w:lang w:val="en-US"/>
        </w:rPr>
      </w:pPr>
      <w:r w:rsidRPr="000B28A4">
        <w:rPr>
          <w:szCs w:val="20"/>
          <w:lang w:val="en-US"/>
        </w:rPr>
        <w:t xml:space="preserve">Providing training and implementation support to ensure successful integration of CCG priority enhancements into the Company’s business operations. </w:t>
      </w:r>
    </w:p>
    <w:p w14:paraId="676C563E" w14:textId="77777777" w:rsidR="00A307F8" w:rsidRPr="000B28A4" w:rsidRDefault="00A307F8" w:rsidP="00A307F8">
      <w:pPr>
        <w:pStyle w:val="Paragraphedeliste"/>
        <w:numPr>
          <w:ilvl w:val="0"/>
          <w:numId w:val="40"/>
        </w:numPr>
        <w:spacing w:after="0" w:line="240" w:lineRule="auto"/>
        <w:contextualSpacing w:val="0"/>
        <w:rPr>
          <w:szCs w:val="20"/>
          <w:lang w:val="en-US"/>
        </w:rPr>
      </w:pPr>
      <w:r w:rsidRPr="000B28A4">
        <w:rPr>
          <w:szCs w:val="20"/>
          <w:lang w:val="en-US"/>
        </w:rPr>
        <w:t>Providing recommendations on potential future development roadmap aligned with EBRD CCG Matrix – in a form of “CCG Action Plan” (Transition Plan).</w:t>
      </w:r>
    </w:p>
    <w:p w14:paraId="4235801C" w14:textId="77777777" w:rsidR="00A307F8" w:rsidRPr="000B28A4" w:rsidRDefault="00A307F8" w:rsidP="00A307F8">
      <w:pPr>
        <w:pStyle w:val="Paragraphedeliste"/>
        <w:numPr>
          <w:ilvl w:val="0"/>
          <w:numId w:val="40"/>
        </w:numPr>
        <w:spacing w:after="120" w:line="240" w:lineRule="auto"/>
        <w:contextualSpacing w:val="0"/>
        <w:rPr>
          <w:szCs w:val="20"/>
          <w:lang w:val="en-US"/>
        </w:rPr>
      </w:pPr>
      <w:r w:rsidRPr="000B28A4">
        <w:rPr>
          <w:szCs w:val="20"/>
          <w:lang w:val="en-US"/>
        </w:rPr>
        <w:t>Advising on sustainability linked financing instruments and provide ASCO with a clear roadmap to develop necessary frameworks and market such instruments via a “SLL/SLB Action Plan” and underlying SLFF.</w:t>
      </w:r>
    </w:p>
    <w:p w14:paraId="1980881E" w14:textId="2FC437DA" w:rsidR="00A307F8" w:rsidRPr="000B28A4" w:rsidRDefault="00A9096D" w:rsidP="00A307F8">
      <w:pPr>
        <w:spacing w:line="240" w:lineRule="auto"/>
        <w:rPr>
          <w:szCs w:val="20"/>
          <w:lang w:val="en-US"/>
        </w:rPr>
      </w:pPr>
      <w:r>
        <w:rPr>
          <w:szCs w:val="20"/>
          <w:lang w:val="en-US"/>
        </w:rPr>
        <w:t>After a</w:t>
      </w:r>
      <w:r w:rsidR="008667CF">
        <w:rPr>
          <w:szCs w:val="20"/>
          <w:lang w:val="en-US"/>
        </w:rPr>
        <w:t xml:space="preserve">n Initial report drafting the </w:t>
      </w:r>
      <w:r w:rsidR="00C47BBD">
        <w:rPr>
          <w:szCs w:val="20"/>
          <w:lang w:val="en-US"/>
        </w:rPr>
        <w:t>initial finding</w:t>
      </w:r>
      <w:r w:rsidR="00FA0599">
        <w:rPr>
          <w:szCs w:val="20"/>
          <w:lang w:val="en-US"/>
        </w:rPr>
        <w:t>s of Company’s practices</w:t>
      </w:r>
      <w:r w:rsidR="006D5C7A">
        <w:rPr>
          <w:szCs w:val="20"/>
          <w:lang w:val="en-US"/>
        </w:rPr>
        <w:t>, t</w:t>
      </w:r>
      <w:r w:rsidR="00A307F8" w:rsidRPr="000B28A4">
        <w:rPr>
          <w:szCs w:val="20"/>
          <w:lang w:val="en-US"/>
        </w:rPr>
        <w:t>he objective of this In</w:t>
      </w:r>
      <w:r w:rsidR="00A307F8">
        <w:rPr>
          <w:szCs w:val="20"/>
          <w:lang w:val="en-US"/>
        </w:rPr>
        <w:t>terim</w:t>
      </w:r>
      <w:r w:rsidR="00A307F8" w:rsidRPr="000B28A4">
        <w:rPr>
          <w:szCs w:val="20"/>
          <w:lang w:val="en-US"/>
        </w:rPr>
        <w:t xml:space="preserve"> Report is to set out</w:t>
      </w:r>
      <w:r w:rsidR="00A307F8">
        <w:rPr>
          <w:szCs w:val="20"/>
          <w:lang w:val="en-US"/>
        </w:rPr>
        <w:t xml:space="preserve"> </w:t>
      </w:r>
      <w:r w:rsidR="004E0A54">
        <w:rPr>
          <w:szCs w:val="20"/>
          <w:lang w:val="en-US"/>
        </w:rPr>
        <w:t>to</w:t>
      </w:r>
      <w:r w:rsidR="007C2883">
        <w:rPr>
          <w:szCs w:val="20"/>
          <w:lang w:val="en-US"/>
        </w:rPr>
        <w:t xml:space="preserve"> undertak</w:t>
      </w:r>
      <w:r w:rsidR="007344CF">
        <w:rPr>
          <w:szCs w:val="20"/>
          <w:lang w:val="en-US"/>
        </w:rPr>
        <w:t>e a climate risk analysis</w:t>
      </w:r>
      <w:r w:rsidR="00B51EEA">
        <w:rPr>
          <w:szCs w:val="20"/>
          <w:lang w:val="en-US"/>
        </w:rPr>
        <w:t xml:space="preserve"> of ASCO’s existing fleet and fleet development plans</w:t>
      </w:r>
      <w:r w:rsidR="00A11B8A">
        <w:rPr>
          <w:szCs w:val="20"/>
          <w:lang w:val="en-US"/>
        </w:rPr>
        <w:t xml:space="preserve"> </w:t>
      </w:r>
      <w:r w:rsidR="00A307F8">
        <w:rPr>
          <w:szCs w:val="20"/>
          <w:lang w:val="en-US"/>
        </w:rPr>
        <w:t xml:space="preserve">based </w:t>
      </w:r>
      <w:r w:rsidR="00A11B8A">
        <w:rPr>
          <w:szCs w:val="20"/>
          <w:lang w:val="en-US"/>
        </w:rPr>
        <w:t>on</w:t>
      </w:r>
      <w:r w:rsidR="00A307F8" w:rsidRPr="000B28A4">
        <w:rPr>
          <w:szCs w:val="20"/>
          <w:lang w:val="en-US"/>
        </w:rPr>
        <w:t xml:space="preserve"> documentary review (internal and external) and </w:t>
      </w:r>
      <w:r w:rsidR="00A11B8A">
        <w:rPr>
          <w:szCs w:val="20"/>
          <w:lang w:val="en-US"/>
        </w:rPr>
        <w:t>use of internal EY CAP</w:t>
      </w:r>
      <w:r w:rsidR="00943104">
        <w:rPr>
          <w:szCs w:val="20"/>
          <w:lang w:val="en-US"/>
        </w:rPr>
        <w:t xml:space="preserve"> tool</w:t>
      </w:r>
      <w:r w:rsidR="00A307F8">
        <w:rPr>
          <w:szCs w:val="20"/>
          <w:lang w:val="en-US"/>
        </w:rPr>
        <w:t>.</w:t>
      </w:r>
      <w:r w:rsidR="00A307F8" w:rsidRPr="000B28A4">
        <w:rPr>
          <w:szCs w:val="20"/>
          <w:lang w:val="en-US"/>
        </w:rPr>
        <w:t xml:space="preserve"> </w:t>
      </w:r>
    </w:p>
    <w:p w14:paraId="72F2A77C" w14:textId="12810206" w:rsidR="00A307F8" w:rsidRPr="000B28A4" w:rsidRDefault="00A307F8" w:rsidP="00A307F8">
      <w:pPr>
        <w:spacing w:after="120" w:line="240" w:lineRule="auto"/>
        <w:rPr>
          <w:szCs w:val="20"/>
          <w:lang w:val="en-US"/>
        </w:rPr>
      </w:pPr>
      <w:r w:rsidRPr="000B28A4">
        <w:rPr>
          <w:szCs w:val="20"/>
          <w:lang w:val="en-US"/>
        </w:rPr>
        <w:t>The content of this report will gather the following sections in line with the terms of reference of this assignment</w:t>
      </w:r>
      <w:r w:rsidR="008E6107">
        <w:rPr>
          <w:szCs w:val="20"/>
          <w:lang w:val="en-US"/>
        </w:rPr>
        <w:t xml:space="preserve"> related to Task 2</w:t>
      </w:r>
      <w:r w:rsidRPr="000B28A4">
        <w:rPr>
          <w:szCs w:val="20"/>
          <w:lang w:val="en-US"/>
        </w:rPr>
        <w:t>:</w:t>
      </w:r>
    </w:p>
    <w:p w14:paraId="109AB87B" w14:textId="4903A78C" w:rsidR="0028100B" w:rsidRPr="0028100B" w:rsidRDefault="0028100B" w:rsidP="000B28A4">
      <w:pPr>
        <w:pStyle w:val="Paragraphedeliste"/>
        <w:numPr>
          <w:ilvl w:val="0"/>
          <w:numId w:val="42"/>
        </w:numPr>
        <w:rPr>
          <w:szCs w:val="20"/>
          <w:lang w:val="en-US"/>
        </w:rPr>
      </w:pPr>
      <w:r w:rsidRPr="0028100B">
        <w:rPr>
          <w:szCs w:val="20"/>
          <w:lang w:val="en-US"/>
        </w:rPr>
        <w:t>Conduct a qualitative and semi-quantitative (where feasible) assessment of transition and physical climate related risks and opportunities (aligned with TCFD methodology) for the Company.</w:t>
      </w:r>
    </w:p>
    <w:p w14:paraId="1AA40DA5" w14:textId="77777777" w:rsidR="0028100B" w:rsidRPr="0028100B" w:rsidRDefault="0028100B" w:rsidP="000B28A4">
      <w:pPr>
        <w:pStyle w:val="Paragraphedeliste"/>
        <w:numPr>
          <w:ilvl w:val="0"/>
          <w:numId w:val="42"/>
        </w:numPr>
        <w:rPr>
          <w:szCs w:val="20"/>
          <w:lang w:val="en-US"/>
        </w:rPr>
      </w:pPr>
      <w:r w:rsidRPr="0028100B">
        <w:rPr>
          <w:szCs w:val="20"/>
          <w:lang w:val="en-US"/>
        </w:rPr>
        <w:t>Identify key climate risks for the company, describing the potential implications to the company in short, medium and long-term outlook (considering existing fleet and fleet development plans) and,</w:t>
      </w:r>
    </w:p>
    <w:p w14:paraId="22AC26F2" w14:textId="77777777" w:rsidR="0028100B" w:rsidRPr="0028100B" w:rsidRDefault="0028100B" w:rsidP="000B28A4">
      <w:pPr>
        <w:pStyle w:val="Paragraphedeliste"/>
        <w:numPr>
          <w:ilvl w:val="0"/>
          <w:numId w:val="42"/>
        </w:numPr>
        <w:rPr>
          <w:szCs w:val="20"/>
          <w:lang w:val="en-US"/>
        </w:rPr>
      </w:pPr>
      <w:r w:rsidRPr="0028100B">
        <w:rPr>
          <w:szCs w:val="20"/>
          <w:lang w:val="en-US"/>
        </w:rPr>
        <w:t>Apply two climate change scenarios for identified risks and opportunities. This simplified approach should cover at least:</w:t>
      </w:r>
    </w:p>
    <w:p w14:paraId="415EC7A3" w14:textId="67D515FC" w:rsidR="0028100B" w:rsidRPr="0028100B" w:rsidRDefault="0028100B" w:rsidP="000B28A4">
      <w:pPr>
        <w:pStyle w:val="Paragraphedeliste"/>
        <w:numPr>
          <w:ilvl w:val="2"/>
          <w:numId w:val="44"/>
        </w:numPr>
        <w:rPr>
          <w:szCs w:val="20"/>
          <w:lang w:val="en-US"/>
        </w:rPr>
      </w:pPr>
      <w:r w:rsidRPr="0028100B">
        <w:rPr>
          <w:szCs w:val="20"/>
          <w:lang w:val="en-US"/>
        </w:rPr>
        <w:t>A 1.</w:t>
      </w:r>
      <w:r w:rsidRPr="008F1FA3">
        <w:rPr>
          <w:szCs w:val="20"/>
          <w:lang w:val="en-US"/>
        </w:rPr>
        <w:t>5</w:t>
      </w:r>
      <w:r w:rsidR="008F1FA3">
        <w:rPr>
          <w:szCs w:val="20"/>
          <w:lang w:val="en-US"/>
        </w:rPr>
        <w:t>°</w:t>
      </w:r>
      <w:r w:rsidRPr="008F1FA3">
        <w:rPr>
          <w:szCs w:val="20"/>
          <w:lang w:val="en-US"/>
        </w:rPr>
        <w:t>C</w:t>
      </w:r>
      <w:r w:rsidRPr="0028100B">
        <w:rPr>
          <w:szCs w:val="20"/>
          <w:lang w:val="en-US"/>
        </w:rPr>
        <w:t xml:space="preserve"> scenario and,</w:t>
      </w:r>
    </w:p>
    <w:p w14:paraId="6C1D9B1E" w14:textId="0EBD8740" w:rsidR="0028100B" w:rsidRPr="0028100B" w:rsidRDefault="0028100B" w:rsidP="000B28A4">
      <w:pPr>
        <w:pStyle w:val="Paragraphedeliste"/>
        <w:numPr>
          <w:ilvl w:val="2"/>
          <w:numId w:val="44"/>
        </w:numPr>
        <w:rPr>
          <w:szCs w:val="20"/>
          <w:lang w:val="en-US"/>
        </w:rPr>
      </w:pPr>
      <w:r w:rsidRPr="0028100B">
        <w:rPr>
          <w:szCs w:val="20"/>
          <w:lang w:val="en-US"/>
        </w:rPr>
        <w:t xml:space="preserve">A </w:t>
      </w:r>
      <w:r w:rsidRPr="008F1FA3">
        <w:rPr>
          <w:szCs w:val="20"/>
          <w:lang w:val="en-US"/>
        </w:rPr>
        <w:t>4</w:t>
      </w:r>
      <w:r w:rsidR="008F1FA3">
        <w:rPr>
          <w:szCs w:val="20"/>
          <w:lang w:val="en-US"/>
        </w:rPr>
        <w:t>°</w:t>
      </w:r>
      <w:r w:rsidRPr="008F1FA3">
        <w:rPr>
          <w:szCs w:val="20"/>
          <w:lang w:val="en-US"/>
        </w:rPr>
        <w:t>C</w:t>
      </w:r>
      <w:r w:rsidRPr="0028100B">
        <w:rPr>
          <w:szCs w:val="20"/>
          <w:lang w:val="en-US"/>
        </w:rPr>
        <w:t xml:space="preserve"> scenario.</w:t>
      </w:r>
    </w:p>
    <w:p w14:paraId="2D91569C" w14:textId="349477FA" w:rsidR="006817FB" w:rsidRPr="00FC75FA" w:rsidRDefault="006817FB" w:rsidP="006817FB">
      <w:pPr>
        <w:rPr>
          <w:lang w:val="en-US"/>
        </w:rPr>
      </w:pPr>
      <w:r w:rsidRPr="00FC75FA">
        <w:rPr>
          <w:lang w:val="en-US"/>
        </w:rPr>
        <w:br w:type="page"/>
      </w:r>
    </w:p>
    <w:p w14:paraId="5AB77864" w14:textId="31B3D2A0" w:rsidR="0038184F" w:rsidRPr="00C23894" w:rsidRDefault="00F85CA9" w:rsidP="0038184F">
      <w:pPr>
        <w:pStyle w:val="Titre1"/>
        <w:rPr>
          <w:lang w:val="en-US"/>
        </w:rPr>
      </w:pPr>
      <w:bookmarkStart w:id="13" w:name="_Toc183015089"/>
      <w:bookmarkStart w:id="14" w:name="_Toc166597014"/>
      <w:bookmarkStart w:id="15" w:name="_Toc166597148"/>
      <w:bookmarkStart w:id="16" w:name="_Toc166597174"/>
      <w:r w:rsidRPr="00C23894">
        <w:rPr>
          <w:lang w:val="en-US"/>
        </w:rPr>
        <w:lastRenderedPageBreak/>
        <w:t xml:space="preserve">II. </w:t>
      </w:r>
      <w:r w:rsidR="00F1010F" w:rsidRPr="00C23894">
        <w:rPr>
          <w:lang w:val="en-US"/>
        </w:rPr>
        <w:t xml:space="preserve">Analysis of physical risks for a selection of </w:t>
      </w:r>
      <w:r w:rsidR="00363131">
        <w:rPr>
          <w:lang w:val="en-US"/>
        </w:rPr>
        <w:t>ASCO</w:t>
      </w:r>
      <w:r w:rsidR="00AA34E9" w:rsidRPr="00C23894">
        <w:rPr>
          <w:lang w:val="en-US"/>
        </w:rPr>
        <w:t>’s</w:t>
      </w:r>
      <w:r w:rsidR="00F1010F" w:rsidRPr="00C23894">
        <w:rPr>
          <w:lang w:val="en-US"/>
        </w:rPr>
        <w:t xml:space="preserve"> </w:t>
      </w:r>
      <w:r w:rsidR="0038184F" w:rsidRPr="00C23894">
        <w:rPr>
          <w:lang w:val="en-US"/>
        </w:rPr>
        <w:t>assets</w:t>
      </w:r>
      <w:bookmarkEnd w:id="13"/>
    </w:p>
    <w:p w14:paraId="52462F88" w14:textId="59125618" w:rsidR="00285FC0" w:rsidRPr="00EE419A" w:rsidRDefault="0038184F" w:rsidP="00EE419A">
      <w:pPr>
        <w:rPr>
          <w:sz w:val="2"/>
          <w:szCs w:val="2"/>
          <w:lang w:val="en-US"/>
        </w:rPr>
      </w:pPr>
      <w:r w:rsidRPr="00C23894">
        <w:rPr>
          <w:sz w:val="2"/>
          <w:szCs w:val="2"/>
          <w:lang w:val="en-US"/>
        </w:rPr>
        <w:t xml:space="preserve"> </w:t>
      </w:r>
      <w:bookmarkEnd w:id="14"/>
      <w:bookmarkEnd w:id="15"/>
      <w:bookmarkEnd w:id="16"/>
    </w:p>
    <w:p w14:paraId="602CAF9C" w14:textId="0FA98FF1" w:rsidR="00F1010F" w:rsidRPr="00367C0B" w:rsidRDefault="00F1010F" w:rsidP="00AA0497">
      <w:pPr>
        <w:pStyle w:val="Titre2"/>
        <w:numPr>
          <w:ilvl w:val="0"/>
          <w:numId w:val="7"/>
        </w:numPr>
        <w:rPr>
          <w:lang w:val="en-US"/>
        </w:rPr>
      </w:pPr>
      <w:bookmarkStart w:id="17" w:name="_Toc183015090"/>
      <w:r w:rsidRPr="00367C0B">
        <w:rPr>
          <w:lang w:val="en-US"/>
        </w:rPr>
        <w:t>Methodological introduction, comments on climate scenarios used</w:t>
      </w:r>
      <w:bookmarkEnd w:id="17"/>
    </w:p>
    <w:p w14:paraId="3BEC609D" w14:textId="2B4DE901" w:rsidR="00F11A36" w:rsidRPr="00367C0B" w:rsidRDefault="00F11A36" w:rsidP="00AA0497">
      <w:pPr>
        <w:pStyle w:val="Titre3"/>
        <w:numPr>
          <w:ilvl w:val="0"/>
          <w:numId w:val="8"/>
        </w:numPr>
        <w:rPr>
          <w:lang w:val="en-US"/>
        </w:rPr>
      </w:pPr>
      <w:bookmarkStart w:id="18" w:name="_Toc183015091"/>
      <w:r w:rsidRPr="00367C0B">
        <w:rPr>
          <w:lang w:val="en-US"/>
        </w:rPr>
        <w:t>Key steps and definition</w:t>
      </w:r>
      <w:bookmarkEnd w:id="18"/>
    </w:p>
    <w:p w14:paraId="6B5E2789" w14:textId="6221DE00" w:rsidR="006817FB" w:rsidRPr="00367C0B" w:rsidRDefault="006817FB" w:rsidP="002A1E48">
      <w:pPr>
        <w:rPr>
          <w:lang w:val="en-US"/>
        </w:rPr>
      </w:pPr>
      <w:r w:rsidRPr="00367C0B">
        <w:rPr>
          <w:lang w:val="en-US"/>
        </w:rPr>
        <w:t>Several steps are necessary to carry out a climate change</w:t>
      </w:r>
      <w:r w:rsidR="00E13EAF">
        <w:rPr>
          <w:lang w:val="en-US"/>
        </w:rPr>
        <w:t>-related risks</w:t>
      </w:r>
      <w:r w:rsidRPr="00367C0B">
        <w:rPr>
          <w:lang w:val="en-US"/>
        </w:rPr>
        <w:t xml:space="preserve"> analysis, from </w:t>
      </w:r>
      <w:r w:rsidR="00304682" w:rsidRPr="00367C0B">
        <w:rPr>
          <w:lang w:val="en-US"/>
        </w:rPr>
        <w:t xml:space="preserve">mapping </w:t>
      </w:r>
      <w:r w:rsidRPr="00367C0B">
        <w:rPr>
          <w:lang w:val="en-US"/>
        </w:rPr>
        <w:t xml:space="preserve">risks and opportunities, to review exposure, assess vulnerability and finally to set an adaptation plan that can be disclosed to external stakeholders. The graph below </w:t>
      </w:r>
      <w:r w:rsidR="00304682" w:rsidRPr="00367C0B">
        <w:rPr>
          <w:lang w:val="en-US"/>
        </w:rPr>
        <w:t xml:space="preserve">provides an overview of </w:t>
      </w:r>
      <w:r w:rsidRPr="00367C0B">
        <w:rPr>
          <w:lang w:val="en-US"/>
        </w:rPr>
        <w:t>key steps of a climate-</w:t>
      </w:r>
      <w:r w:rsidR="00304682" w:rsidRPr="00367C0B">
        <w:rPr>
          <w:lang w:val="en-US"/>
        </w:rPr>
        <w:t xml:space="preserve">risk </w:t>
      </w:r>
      <w:r w:rsidR="00CD2115" w:rsidRPr="00367C0B">
        <w:rPr>
          <w:lang w:val="en-US"/>
        </w:rPr>
        <w:t>strategy definition</w:t>
      </w:r>
      <w:r w:rsidRPr="00367C0B">
        <w:rPr>
          <w:lang w:val="en-US"/>
        </w:rPr>
        <w:t xml:space="preserve">. </w:t>
      </w:r>
    </w:p>
    <w:p w14:paraId="161FA005" w14:textId="77777777" w:rsidR="006817FB" w:rsidRPr="00367C0B" w:rsidRDefault="006817FB" w:rsidP="006817FB">
      <w:pPr>
        <w:rPr>
          <w:lang w:val="en-US"/>
        </w:rPr>
      </w:pPr>
    </w:p>
    <w:p w14:paraId="63B388FA" w14:textId="398687F3" w:rsidR="001D54BD" w:rsidRPr="00FC75FA" w:rsidRDefault="0046009F" w:rsidP="00A0249C">
      <w:pPr>
        <w:pStyle w:val="Lgende"/>
      </w:pPr>
      <w:bookmarkStart w:id="19" w:name="_Toc173914783"/>
      <w:r w:rsidRPr="0046009F">
        <w:t xml:space="preserve">Figure </w:t>
      </w:r>
      <w:r w:rsidR="00784108">
        <w:fldChar w:fldCharType="begin"/>
      </w:r>
      <w:r w:rsidR="00784108">
        <w:instrText xml:space="preserve"> SEQ Figure \* ARABIC </w:instrText>
      </w:r>
      <w:r w:rsidR="00784108">
        <w:fldChar w:fldCharType="separate"/>
      </w:r>
      <w:r w:rsidR="00227941">
        <w:rPr>
          <w:noProof/>
        </w:rPr>
        <w:t>1</w:t>
      </w:r>
      <w:r w:rsidR="00784108">
        <w:fldChar w:fldCharType="end"/>
      </w:r>
      <w:r w:rsidRPr="0046009F">
        <w:t>: Key steps of a climate change analysis</w:t>
      </w:r>
      <w:bookmarkEnd w:id="19"/>
    </w:p>
    <w:p w14:paraId="051000C9" w14:textId="799DCD36" w:rsidR="006817FB" w:rsidRPr="00367C0B" w:rsidRDefault="006817FB" w:rsidP="006817FB">
      <w:pPr>
        <w:rPr>
          <w:lang w:val="en-US"/>
        </w:rPr>
      </w:pPr>
      <w:r w:rsidRPr="00367C0B">
        <w:rPr>
          <w:noProof/>
          <w:lang w:val="en-US"/>
        </w:rPr>
        <w:drawing>
          <wp:inline distT="0" distB="0" distL="0" distR="0" wp14:anchorId="24F36F99" wp14:editId="2A0D0D89">
            <wp:extent cx="5731510" cy="1798320"/>
            <wp:effectExtent l="0" t="0" r="2540" b="0"/>
            <wp:docPr id="3" name="Picture 3">
              <a:extLst xmlns:a="http://schemas.openxmlformats.org/drawingml/2006/main">
                <a:ext uri="{FF2B5EF4-FFF2-40B4-BE49-F238E27FC236}">
                  <a16:creationId xmlns:a16="http://schemas.microsoft.com/office/drawing/2014/main" id="{91778EBB-EE6A-4260-98CF-6549495DBA7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91778EBB-EE6A-4260-98CF-6549495DBA74}"/>
                        </a:ext>
                      </a:extLst>
                    </pic:cNvPr>
                    <pic:cNvPicPr>
                      <a:picLocks noChangeAspect="1"/>
                    </pic:cNvPicPr>
                  </pic:nvPicPr>
                  <pic:blipFill>
                    <a:blip r:embed="rId12"/>
                    <a:stretch>
                      <a:fillRect/>
                    </a:stretch>
                  </pic:blipFill>
                  <pic:spPr>
                    <a:xfrm>
                      <a:off x="0" y="0"/>
                      <a:ext cx="5731510" cy="1798320"/>
                    </a:xfrm>
                    <a:prstGeom prst="rect">
                      <a:avLst/>
                    </a:prstGeom>
                  </pic:spPr>
                </pic:pic>
              </a:graphicData>
            </a:graphic>
          </wp:inline>
        </w:drawing>
      </w:r>
    </w:p>
    <w:p w14:paraId="313A1F30" w14:textId="721B9899" w:rsidR="006F4992" w:rsidRPr="00FC75FA" w:rsidRDefault="006F4992" w:rsidP="002A1E48">
      <w:pPr>
        <w:spacing w:after="0" w:line="240" w:lineRule="auto"/>
        <w:rPr>
          <w:lang w:val="en-US"/>
        </w:rPr>
      </w:pPr>
      <w:r w:rsidRPr="00FC75FA">
        <w:rPr>
          <w:rFonts w:cs="Arial"/>
          <w:lang w:val="en-US"/>
        </w:rPr>
        <w:t>EY proposed a</w:t>
      </w:r>
      <w:r w:rsidRPr="00367C0B">
        <w:rPr>
          <w:lang w:val="en-US"/>
        </w:rPr>
        <w:t xml:space="preserve"> preliminary assessment of climate-related physical risks </w:t>
      </w:r>
      <w:r w:rsidR="00E200E0">
        <w:rPr>
          <w:lang w:val="en-US"/>
        </w:rPr>
        <w:t>relevant for</w:t>
      </w:r>
      <w:r w:rsidRPr="00367C0B">
        <w:rPr>
          <w:lang w:val="en-US"/>
        </w:rPr>
        <w:t xml:space="preserve"> </w:t>
      </w:r>
      <w:r w:rsidR="00960EB2" w:rsidRPr="00367C0B">
        <w:rPr>
          <w:lang w:val="en-US"/>
        </w:rPr>
        <w:t>ASCO</w:t>
      </w:r>
      <w:r w:rsidRPr="00367C0B">
        <w:rPr>
          <w:lang w:val="en-US"/>
        </w:rPr>
        <w:t>'s operations by collating information from various sources:</w:t>
      </w:r>
    </w:p>
    <w:p w14:paraId="1DCB5193" w14:textId="1A3C8322" w:rsidR="006F4992" w:rsidRPr="00367C0B" w:rsidRDefault="006F4992" w:rsidP="00A75C9C">
      <w:pPr>
        <w:pStyle w:val="Paragraphedeliste"/>
        <w:numPr>
          <w:ilvl w:val="0"/>
          <w:numId w:val="3"/>
        </w:numPr>
        <w:rPr>
          <w:lang w:val="en-US"/>
        </w:rPr>
      </w:pPr>
      <w:r w:rsidRPr="00367C0B">
        <w:rPr>
          <w:lang w:val="en-US"/>
        </w:rPr>
        <w:t>Insights from sector</w:t>
      </w:r>
      <w:r w:rsidR="00800F29" w:rsidRPr="00367C0B">
        <w:rPr>
          <w:lang w:val="en-US"/>
        </w:rPr>
        <w:t>al peers</w:t>
      </w:r>
      <w:r w:rsidRPr="00367C0B">
        <w:rPr>
          <w:lang w:val="en-US"/>
        </w:rPr>
        <w:t xml:space="preserve"> (annual reports, CDP responses)</w:t>
      </w:r>
    </w:p>
    <w:p w14:paraId="1C0545C7" w14:textId="4699A933" w:rsidR="006F4992" w:rsidRPr="00367C0B" w:rsidRDefault="006F4992" w:rsidP="00A75C9C">
      <w:pPr>
        <w:pStyle w:val="Paragraphedeliste"/>
        <w:numPr>
          <w:ilvl w:val="0"/>
          <w:numId w:val="3"/>
        </w:numPr>
        <w:rPr>
          <w:lang w:val="en-US"/>
        </w:rPr>
      </w:pPr>
      <w:r w:rsidRPr="00367C0B">
        <w:rPr>
          <w:lang w:val="en-US"/>
        </w:rPr>
        <w:t xml:space="preserve">Expert contributions from EY </w:t>
      </w:r>
      <w:r w:rsidR="00800F29" w:rsidRPr="00367C0B">
        <w:rPr>
          <w:lang w:val="en-US"/>
        </w:rPr>
        <w:t>professionals with experience</w:t>
      </w:r>
      <w:r w:rsidRPr="00367C0B">
        <w:rPr>
          <w:lang w:val="en-US"/>
        </w:rPr>
        <w:t xml:space="preserve"> within the sector</w:t>
      </w:r>
    </w:p>
    <w:p w14:paraId="29F003E9" w14:textId="6BF1996F" w:rsidR="006F4992" w:rsidRPr="00367C0B" w:rsidRDefault="006F4992" w:rsidP="00A75C9C">
      <w:pPr>
        <w:pStyle w:val="Paragraphedeliste"/>
        <w:numPr>
          <w:ilvl w:val="0"/>
          <w:numId w:val="3"/>
        </w:numPr>
        <w:rPr>
          <w:lang w:val="en-US"/>
        </w:rPr>
      </w:pPr>
      <w:r w:rsidRPr="00367C0B">
        <w:rPr>
          <w:lang w:val="en-US"/>
        </w:rPr>
        <w:t xml:space="preserve">Publicly available reports on climate </w:t>
      </w:r>
      <w:r w:rsidR="00192BFF" w:rsidRPr="00367C0B">
        <w:rPr>
          <w:lang w:val="en-US"/>
        </w:rPr>
        <w:t>exposure and adaptation</w:t>
      </w:r>
      <w:r w:rsidRPr="00367C0B">
        <w:rPr>
          <w:lang w:val="en-US"/>
        </w:rPr>
        <w:t>, including those from the IPCC and TCFD.</w:t>
      </w:r>
    </w:p>
    <w:p w14:paraId="352C3A87" w14:textId="69AF37EA" w:rsidR="006F4992" w:rsidRPr="00367C0B" w:rsidRDefault="006F4992" w:rsidP="002A1E48">
      <w:pPr>
        <w:rPr>
          <w:lang w:val="en-US"/>
        </w:rPr>
      </w:pPr>
      <w:r w:rsidRPr="00367C0B">
        <w:rPr>
          <w:lang w:val="en-US"/>
        </w:rPr>
        <w:t xml:space="preserve">From this </w:t>
      </w:r>
      <w:r w:rsidR="004D4E0F" w:rsidRPr="00367C0B">
        <w:rPr>
          <w:lang w:val="en-US"/>
        </w:rPr>
        <w:t>literature review</w:t>
      </w:r>
      <w:r w:rsidRPr="00367C0B">
        <w:rPr>
          <w:lang w:val="en-US"/>
        </w:rPr>
        <w:t xml:space="preserve">, </w:t>
      </w:r>
      <w:r w:rsidR="00960EB2" w:rsidRPr="00367C0B">
        <w:rPr>
          <w:lang w:val="en-US"/>
        </w:rPr>
        <w:t>ASCO</w:t>
      </w:r>
      <w:r w:rsidRPr="00367C0B">
        <w:rPr>
          <w:lang w:val="en-US"/>
        </w:rPr>
        <w:t xml:space="preserve">, in collaboration with EY experts, has </w:t>
      </w:r>
      <w:r w:rsidR="009A41E6">
        <w:rPr>
          <w:lang w:val="en-US"/>
        </w:rPr>
        <w:t>selecte</w:t>
      </w:r>
      <w:r w:rsidRPr="00367C0B">
        <w:rPr>
          <w:lang w:val="en-US"/>
        </w:rPr>
        <w:t xml:space="preserve">d five physical risks deemed most critical </w:t>
      </w:r>
      <w:r w:rsidR="00B33A3C" w:rsidRPr="00367C0B">
        <w:rPr>
          <w:lang w:val="en-US"/>
        </w:rPr>
        <w:t>to ASCO</w:t>
      </w:r>
      <w:r w:rsidR="0066291F">
        <w:rPr>
          <w:lang w:val="en-US"/>
        </w:rPr>
        <w:t xml:space="preserve"> activities</w:t>
      </w:r>
      <w:r w:rsidRPr="00367C0B">
        <w:rPr>
          <w:lang w:val="en-US"/>
        </w:rPr>
        <w:t xml:space="preserve">, thus establishing the framework for physical risk assessment (step 1). The list of identified risks along with associated indicators is presented in Table </w:t>
      </w:r>
      <w:r w:rsidR="004770D4" w:rsidRPr="00367C0B">
        <w:rPr>
          <w:lang w:val="en-US"/>
        </w:rPr>
        <w:t>2</w:t>
      </w:r>
      <w:r w:rsidRPr="00367C0B">
        <w:rPr>
          <w:lang w:val="en-US"/>
        </w:rPr>
        <w:t>.</w:t>
      </w:r>
    </w:p>
    <w:p w14:paraId="7E9310EE" w14:textId="60266D55" w:rsidR="006817FB" w:rsidRPr="00367C0B" w:rsidRDefault="009C2F3E" w:rsidP="002A1E48">
      <w:pPr>
        <w:rPr>
          <w:lang w:val="en-US"/>
        </w:rPr>
      </w:pPr>
      <w:r w:rsidRPr="00367C0B">
        <w:rPr>
          <w:lang w:val="en-US"/>
        </w:rPr>
        <w:t>The following terminology needs to be defined before diving into next steps of the climate risk assessment methodology</w:t>
      </w:r>
      <w:r w:rsidR="006817FB" w:rsidRPr="00367C0B">
        <w:rPr>
          <w:lang w:val="en-US"/>
        </w:rPr>
        <w:t>.</w:t>
      </w:r>
    </w:p>
    <w:p w14:paraId="6AFD714C" w14:textId="6CA08644" w:rsidR="006817FB" w:rsidRPr="00367C0B" w:rsidRDefault="006817FB" w:rsidP="00A75C9C">
      <w:pPr>
        <w:pStyle w:val="Paragraphedeliste"/>
        <w:numPr>
          <w:ilvl w:val="0"/>
          <w:numId w:val="4"/>
        </w:numPr>
        <w:rPr>
          <w:lang w:val="en-US"/>
        </w:rPr>
      </w:pPr>
      <w:r w:rsidRPr="00367C0B">
        <w:rPr>
          <w:b/>
          <w:lang w:val="en-US"/>
        </w:rPr>
        <w:t>Climate hazard:</w:t>
      </w:r>
      <w:r w:rsidRPr="00367C0B">
        <w:rPr>
          <w:lang w:val="en-US"/>
        </w:rPr>
        <w:t xml:space="preserve"> A physical process or event (hydro-meteorological or oceanographic variables or phenomena) that can harm human health, livelihoods, or natural resources</w:t>
      </w:r>
      <w:r w:rsidR="00607C38" w:rsidRPr="00367C0B">
        <w:rPr>
          <w:lang w:val="en-US"/>
        </w:rPr>
        <w:t>.</w:t>
      </w:r>
    </w:p>
    <w:p w14:paraId="17F04DBF" w14:textId="181171FD" w:rsidR="006817FB" w:rsidRPr="00367C0B" w:rsidRDefault="006817FB" w:rsidP="00A75C9C">
      <w:pPr>
        <w:pStyle w:val="Paragraphedeliste"/>
        <w:numPr>
          <w:ilvl w:val="0"/>
          <w:numId w:val="4"/>
        </w:numPr>
        <w:rPr>
          <w:lang w:val="en-US"/>
        </w:rPr>
      </w:pPr>
      <w:r w:rsidRPr="00367C0B">
        <w:rPr>
          <w:b/>
          <w:lang w:val="en-US"/>
        </w:rPr>
        <w:t>Exposure:</w:t>
      </w:r>
      <w:r w:rsidRPr="00367C0B">
        <w:rPr>
          <w:lang w:val="en-US"/>
        </w:rPr>
        <w:t xml:space="preserve"> The presence of people, livelihoods, species or ecosystems, environmental services and resources, infrastructure, or economic, social, or cultural assets in places that could be adversely affected by a hazard</w:t>
      </w:r>
      <w:r w:rsidR="00607C38" w:rsidRPr="00367C0B">
        <w:rPr>
          <w:lang w:val="en-US"/>
        </w:rPr>
        <w:t>.</w:t>
      </w:r>
    </w:p>
    <w:p w14:paraId="78E369D5" w14:textId="77777777" w:rsidR="006817FB" w:rsidRPr="00367C0B" w:rsidRDefault="006817FB" w:rsidP="00A75C9C">
      <w:pPr>
        <w:pStyle w:val="Paragraphedeliste"/>
        <w:numPr>
          <w:ilvl w:val="0"/>
          <w:numId w:val="4"/>
        </w:numPr>
        <w:rPr>
          <w:lang w:val="en-US"/>
        </w:rPr>
      </w:pPr>
      <w:r w:rsidRPr="00367C0B">
        <w:rPr>
          <w:b/>
          <w:lang w:val="en-US"/>
        </w:rPr>
        <w:t>Climate vulnerability</w:t>
      </w:r>
      <w:r w:rsidRPr="00367C0B">
        <w:rPr>
          <w:lang w:val="en-US"/>
        </w:rPr>
        <w:t xml:space="preserve"> describes the degree to which natural, built, and human systems are at risk of exposure to climate change impacts.</w:t>
      </w:r>
    </w:p>
    <w:p w14:paraId="61A4A5E4" w14:textId="77777777" w:rsidR="00F11A36" w:rsidRPr="00367C0B" w:rsidRDefault="00F11A36" w:rsidP="00F11A36">
      <w:pPr>
        <w:pStyle w:val="Paragraphedeliste"/>
        <w:rPr>
          <w:lang w:val="en-US"/>
        </w:rPr>
      </w:pPr>
    </w:p>
    <w:p w14:paraId="4846917F" w14:textId="443F8FFA" w:rsidR="00A64DFA" w:rsidRPr="009C62C8" w:rsidRDefault="00F11A36" w:rsidP="00AA0497">
      <w:pPr>
        <w:pStyle w:val="Titre3"/>
        <w:numPr>
          <w:ilvl w:val="0"/>
          <w:numId w:val="8"/>
        </w:numPr>
        <w:rPr>
          <w:lang w:val="en-US"/>
        </w:rPr>
      </w:pPr>
      <w:bookmarkStart w:id="20" w:name="_Toc183015092"/>
      <w:r w:rsidRPr="009C62C8">
        <w:rPr>
          <w:lang w:val="en-US"/>
        </w:rPr>
        <w:t>Climate scenarios</w:t>
      </w:r>
      <w:r w:rsidR="000C6812" w:rsidRPr="009C62C8">
        <w:rPr>
          <w:lang w:val="en-US"/>
        </w:rPr>
        <w:t xml:space="preserve"> and time hori</w:t>
      </w:r>
      <w:r w:rsidR="005A36A1">
        <w:rPr>
          <w:lang w:val="en-US"/>
        </w:rPr>
        <w:t>z</w:t>
      </w:r>
      <w:r w:rsidR="000C6812" w:rsidRPr="009C62C8">
        <w:rPr>
          <w:lang w:val="en-US"/>
        </w:rPr>
        <w:t>ons</w:t>
      </w:r>
      <w:bookmarkEnd w:id="20"/>
    </w:p>
    <w:p w14:paraId="475FFB3A" w14:textId="27CBA112" w:rsidR="006817FB" w:rsidRPr="00367C0B" w:rsidRDefault="006817FB" w:rsidP="002A1E48">
      <w:pPr>
        <w:rPr>
          <w:lang w:val="en-US"/>
        </w:rPr>
      </w:pPr>
      <w:r w:rsidRPr="00367C0B">
        <w:rPr>
          <w:lang w:val="en-US"/>
        </w:rPr>
        <w:t xml:space="preserve">Climate scenarios (step 2) are “a plausible description of how the future may develop based on a coherent and internally consistent set of assumptions about key driving forces and relationships. Note that scenarios are neither predictions nor forecasts but are used to provide a view of the implications of developments and actions.” (IPCC, AR6, 2021). </w:t>
      </w:r>
    </w:p>
    <w:p w14:paraId="504C6FC4" w14:textId="475D11A4" w:rsidR="006817FB" w:rsidRPr="00FC75FA" w:rsidRDefault="006817FB" w:rsidP="00E26A0C">
      <w:pPr>
        <w:rPr>
          <w:lang w:val="en-US"/>
        </w:rPr>
      </w:pPr>
      <w:r w:rsidRPr="00367C0B">
        <w:rPr>
          <w:lang w:val="en-US"/>
        </w:rPr>
        <w:t xml:space="preserve">EY </w:t>
      </w:r>
      <w:r w:rsidR="007F2DAF" w:rsidRPr="00367C0B">
        <w:rPr>
          <w:lang w:val="en-US"/>
        </w:rPr>
        <w:t>relies on</w:t>
      </w:r>
      <w:r w:rsidRPr="00367C0B">
        <w:rPr>
          <w:lang w:val="en-US"/>
        </w:rPr>
        <w:t xml:space="preserve"> an internal tool “EY Climate Analytics Platform” (EY CAP) which enables to provide climate-related information on the strategic location identified for </w:t>
      </w:r>
      <w:r w:rsidR="00B2029C" w:rsidRPr="00367C0B">
        <w:rPr>
          <w:lang w:val="en-US"/>
        </w:rPr>
        <w:t>ASCO</w:t>
      </w:r>
      <w:r w:rsidRPr="00367C0B">
        <w:rPr>
          <w:lang w:val="en-US"/>
        </w:rPr>
        <w:t xml:space="preserve">’s activities. It provides the assessment of physical risks (acute &amp; chronic) relying on IPCC climate scenarios. In EY CAP, these scenarios are the </w:t>
      </w:r>
      <w:r w:rsidR="005B18FB" w:rsidRPr="00FC75FA">
        <w:rPr>
          <w:lang w:val="en-US"/>
        </w:rPr>
        <w:t>Shared Socioeconomic Pathways (SSP’s) derived from the IPCC AR6</w:t>
      </w:r>
      <w:r w:rsidR="001E6BFB" w:rsidRPr="00FC75FA">
        <w:rPr>
          <w:lang w:val="en-US"/>
        </w:rPr>
        <w:t xml:space="preserve"> report to compute EY in-house modelling indicators.</w:t>
      </w:r>
      <w:r w:rsidR="00D335D7" w:rsidRPr="00FC75FA">
        <w:rPr>
          <w:lang w:val="en-US"/>
        </w:rPr>
        <w:t xml:space="preserve"> </w:t>
      </w:r>
      <w:r w:rsidR="00D335D7" w:rsidRPr="00367C0B">
        <w:rPr>
          <w:lang w:val="en-US"/>
        </w:rPr>
        <w:t>These scenarios have been augmented with socioeconomic and macroeconomic attributes, considering climate policies implemented in the meantime as well as updated concentration pathways.</w:t>
      </w:r>
      <w:r w:rsidR="00CE68D5" w:rsidRPr="00FC75FA">
        <w:rPr>
          <w:lang w:val="en-US"/>
        </w:rPr>
        <w:t xml:space="preserve"> </w:t>
      </w:r>
      <w:r w:rsidR="00BE0945" w:rsidRPr="00FC75FA">
        <w:rPr>
          <w:lang w:val="en-US"/>
        </w:rPr>
        <w:t>For any given SSP, lower radiative forcing in 2100 implies greater mitigation stringency.</w:t>
      </w:r>
      <w:r w:rsidR="00913E11" w:rsidRPr="00FC75FA">
        <w:rPr>
          <w:lang w:val="en-US"/>
        </w:rPr>
        <w:t xml:space="preserve"> A second key assumption in the framework is that different development pathways can lead to similar radiative forcing outcomes, i.e. that different SSP can be related to the same forcing outcome</w:t>
      </w:r>
      <w:r w:rsidR="005E01A5">
        <w:rPr>
          <w:lang w:val="en-US"/>
        </w:rPr>
        <w:t>.</w:t>
      </w:r>
    </w:p>
    <w:p w14:paraId="3F3B1F0C" w14:textId="77777777" w:rsidR="00BE0945" w:rsidRPr="00FC75FA" w:rsidRDefault="00BE0945" w:rsidP="00E26A0C">
      <w:pPr>
        <w:rPr>
          <w:lang w:val="en-US"/>
        </w:rPr>
      </w:pPr>
    </w:p>
    <w:p w14:paraId="14E89262" w14:textId="2C0E4A85" w:rsidR="0046009F" w:rsidRPr="0046009F" w:rsidRDefault="0046009F" w:rsidP="00F91719">
      <w:pPr>
        <w:pStyle w:val="Lgende"/>
      </w:pPr>
      <w:bookmarkStart w:id="21" w:name="_Toc173914784"/>
      <w:r w:rsidRPr="0046009F">
        <w:t xml:space="preserve">Figure </w:t>
      </w:r>
      <w:r w:rsidR="00784108">
        <w:fldChar w:fldCharType="begin"/>
      </w:r>
      <w:r w:rsidR="00784108">
        <w:instrText xml:space="preserve"> SEQ Figure \* ARABIC </w:instrText>
      </w:r>
      <w:r w:rsidR="00784108">
        <w:fldChar w:fldCharType="separate"/>
      </w:r>
      <w:r w:rsidR="00227941">
        <w:rPr>
          <w:noProof/>
        </w:rPr>
        <w:t>2</w:t>
      </w:r>
      <w:r w:rsidR="00784108">
        <w:fldChar w:fldCharType="end"/>
      </w:r>
      <w:r w:rsidRPr="0046009F">
        <w:t>: SSP scenarios coupled with radiative forcing levels</w:t>
      </w:r>
      <w:bookmarkEnd w:id="21"/>
    </w:p>
    <w:p w14:paraId="0716A797" w14:textId="4EBB229B" w:rsidR="006817FB" w:rsidRPr="00367C0B" w:rsidRDefault="0037397B" w:rsidP="006817FB">
      <w:pPr>
        <w:jc w:val="center"/>
        <w:rPr>
          <w:lang w:val="en-US"/>
        </w:rPr>
      </w:pPr>
      <w:r w:rsidRPr="00367C0B">
        <w:rPr>
          <w:noProof/>
          <w:lang w:val="en-US"/>
        </w:rPr>
        <w:drawing>
          <wp:inline distT="0" distB="0" distL="0" distR="0" wp14:anchorId="7C2B64DA" wp14:editId="6692EEFF">
            <wp:extent cx="4741996" cy="4317558"/>
            <wp:effectExtent l="0" t="0" r="1905"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746608" cy="4321758"/>
                    </a:xfrm>
                    <a:prstGeom prst="rect">
                      <a:avLst/>
                    </a:prstGeom>
                  </pic:spPr>
                </pic:pic>
              </a:graphicData>
            </a:graphic>
          </wp:inline>
        </w:drawing>
      </w:r>
    </w:p>
    <w:p w14:paraId="195E497B" w14:textId="77777777" w:rsidR="00F80A55" w:rsidRPr="00FC75FA" w:rsidRDefault="00F80A55" w:rsidP="00F80A55">
      <w:pPr>
        <w:jc w:val="center"/>
        <w:rPr>
          <w:i/>
          <w:lang w:val="en-US"/>
        </w:rPr>
      </w:pPr>
      <w:r w:rsidRPr="00FC75FA">
        <w:rPr>
          <w:i/>
          <w:lang w:val="en-US"/>
        </w:rPr>
        <w:lastRenderedPageBreak/>
        <w:t>Each SSP is attributed a reference radiative forcing level (left side). The empty cell (dashed lines) illustrates that not all combinations of forcing levels and SSPs may be consistent (Source: Van Vuuren et al., 2014)</w:t>
      </w:r>
    </w:p>
    <w:p w14:paraId="1C347AE7" w14:textId="77777777" w:rsidR="00F80A55" w:rsidRPr="00FC75FA" w:rsidRDefault="00F80A55" w:rsidP="006817FB">
      <w:pPr>
        <w:jc w:val="center"/>
        <w:rPr>
          <w:lang w:val="en-US"/>
        </w:rPr>
      </w:pPr>
    </w:p>
    <w:p w14:paraId="0B27ED5A" w14:textId="7D01BED6" w:rsidR="006817FB" w:rsidRPr="00367C0B" w:rsidRDefault="00C12A17" w:rsidP="002A1E48">
      <w:pPr>
        <w:rPr>
          <w:lang w:val="en-US"/>
        </w:rPr>
      </w:pPr>
      <w:r w:rsidRPr="00367C0B">
        <w:rPr>
          <w:lang w:val="en-US"/>
        </w:rPr>
        <w:t>SSP</w:t>
      </w:r>
      <w:r w:rsidR="00B932A2" w:rsidRPr="00367C0B">
        <w:rPr>
          <w:lang w:val="en-US"/>
        </w:rPr>
        <w:t>2-</w:t>
      </w:r>
      <w:r w:rsidR="006817FB" w:rsidRPr="00367C0B">
        <w:rPr>
          <w:lang w:val="en-US"/>
        </w:rPr>
        <w:t xml:space="preserve">4.5 is described by the IPCC as an intermediate scenario. GHG emissions peak around 2040, then decline. </w:t>
      </w:r>
      <w:r w:rsidR="00673045" w:rsidRPr="00367C0B">
        <w:rPr>
          <w:lang w:val="en-US"/>
        </w:rPr>
        <w:t>SSP</w:t>
      </w:r>
      <w:r w:rsidR="00B932A2" w:rsidRPr="00367C0B">
        <w:rPr>
          <w:lang w:val="en-US"/>
        </w:rPr>
        <w:t>2-</w:t>
      </w:r>
      <w:r w:rsidR="006817FB" w:rsidRPr="00367C0B">
        <w:rPr>
          <w:lang w:val="en-US"/>
        </w:rPr>
        <w:t xml:space="preserve">4.5 can be </w:t>
      </w:r>
      <w:r w:rsidR="00E65437" w:rsidRPr="00367C0B">
        <w:rPr>
          <w:lang w:val="en-US"/>
        </w:rPr>
        <w:t>seen</w:t>
      </w:r>
      <w:r w:rsidR="006817FB" w:rsidRPr="00367C0B">
        <w:rPr>
          <w:lang w:val="en-US"/>
        </w:rPr>
        <w:t xml:space="preserve"> of as the middle of the road scenario (no strong climate policies) taking into account the exhaustible character of non-renewable fuels.</w:t>
      </w:r>
      <w:r w:rsidR="00306FB0" w:rsidRPr="00367C0B">
        <w:rPr>
          <w:lang w:val="en-US"/>
        </w:rPr>
        <w:t xml:space="preserve"> Current social, economic and technological trends continue, development and growth proc</w:t>
      </w:r>
      <w:r w:rsidR="00AC2F03" w:rsidRPr="00367C0B">
        <w:rPr>
          <w:lang w:val="en-US"/>
        </w:rPr>
        <w:t xml:space="preserve">eed unevenly depending on the country and the region. National and international institution work towards achieving sustainable development goals that progress slowly. </w:t>
      </w:r>
    </w:p>
    <w:p w14:paraId="15C95098" w14:textId="11D2746F" w:rsidR="006817FB" w:rsidRPr="00367C0B" w:rsidRDefault="00673045" w:rsidP="002A1E48">
      <w:pPr>
        <w:rPr>
          <w:lang w:val="en-US"/>
        </w:rPr>
      </w:pPr>
      <w:r w:rsidRPr="00367C0B">
        <w:rPr>
          <w:lang w:val="en-US"/>
        </w:rPr>
        <w:t>SSP</w:t>
      </w:r>
      <w:r w:rsidR="00930CCC" w:rsidRPr="00367C0B">
        <w:rPr>
          <w:lang w:val="en-US"/>
        </w:rPr>
        <w:t>5-</w:t>
      </w:r>
      <w:r w:rsidR="006817FB" w:rsidRPr="00367C0B">
        <w:rPr>
          <w:lang w:val="en-US"/>
        </w:rPr>
        <w:t>8.5 projects the reasonable worst-case scenario and is widely used for climate risk assessment and stress-testing.</w:t>
      </w:r>
      <w:r w:rsidRPr="00367C0B">
        <w:rPr>
          <w:lang w:val="en-US"/>
        </w:rPr>
        <w:t xml:space="preserve"> SSP</w:t>
      </w:r>
      <w:r w:rsidR="00930CCC" w:rsidRPr="00367C0B">
        <w:rPr>
          <w:lang w:val="en-US"/>
        </w:rPr>
        <w:t>5-</w:t>
      </w:r>
      <w:r w:rsidR="006817FB" w:rsidRPr="00367C0B">
        <w:rPr>
          <w:lang w:val="en-US"/>
        </w:rPr>
        <w:t xml:space="preserve">8.5 was specifically selected as a high-end baseline scenario and was not intended to be portrayed as the most likely “business as usual” no-policy outcome. </w:t>
      </w:r>
      <w:r w:rsidR="002C293C" w:rsidRPr="00367C0B">
        <w:rPr>
          <w:lang w:val="en-US"/>
        </w:rPr>
        <w:t xml:space="preserve">It’s characterized by a development based on </w:t>
      </w:r>
      <w:r w:rsidR="00BB4D90" w:rsidRPr="00367C0B">
        <w:rPr>
          <w:lang w:val="en-US"/>
        </w:rPr>
        <w:t xml:space="preserve">strong </w:t>
      </w:r>
      <w:r w:rsidR="00093605" w:rsidRPr="00367C0B">
        <w:rPr>
          <w:lang w:val="en-US"/>
        </w:rPr>
        <w:t xml:space="preserve">use of heavy fossil fuels and </w:t>
      </w:r>
      <w:r w:rsidR="00BB4D90" w:rsidRPr="00367C0B">
        <w:rPr>
          <w:lang w:val="en-US"/>
        </w:rPr>
        <w:t xml:space="preserve">marked </w:t>
      </w:r>
      <w:r w:rsidR="00093605" w:rsidRPr="00367C0B">
        <w:rPr>
          <w:lang w:val="en-US"/>
        </w:rPr>
        <w:t xml:space="preserve">by high investments in health, education and new technologies. </w:t>
      </w:r>
      <w:r w:rsidR="0053269A" w:rsidRPr="00367C0B">
        <w:rPr>
          <w:lang w:val="en-US"/>
        </w:rPr>
        <w:t>It’s also the a</w:t>
      </w:r>
      <w:r w:rsidR="00093605" w:rsidRPr="00367C0B">
        <w:rPr>
          <w:lang w:val="en-US"/>
        </w:rPr>
        <w:t xml:space="preserve">doption of resource – and energy – intensive lifestyles around the world. </w:t>
      </w:r>
      <w:r w:rsidR="0053269A" w:rsidRPr="00367C0B">
        <w:rPr>
          <w:lang w:val="en-US"/>
        </w:rPr>
        <w:t xml:space="preserve">Finally, it’s a high economic growth and a rapid technological progress. </w:t>
      </w:r>
      <w:r w:rsidR="006817FB" w:rsidRPr="00367C0B">
        <w:rPr>
          <w:lang w:val="en-US"/>
        </w:rPr>
        <w:t>It is important to note that climate variables values and impacts will only strongly differ with other scenarios in the long-term (2070 - 2100), while being close to others up to 2050.</w:t>
      </w:r>
    </w:p>
    <w:p w14:paraId="672581DA" w14:textId="5A2E131D" w:rsidR="006F4992" w:rsidRPr="00367C0B" w:rsidRDefault="006817FB" w:rsidP="002A1E48">
      <w:pPr>
        <w:rPr>
          <w:lang w:val="en-US"/>
        </w:rPr>
      </w:pPr>
      <w:r w:rsidRPr="00367C0B">
        <w:rPr>
          <w:lang w:val="en-US"/>
        </w:rPr>
        <w:t xml:space="preserve">In EY CAP, different time horizons have been defined by means of </w:t>
      </w:r>
      <w:r w:rsidR="00AD104C">
        <w:rPr>
          <w:lang w:val="en-US"/>
        </w:rPr>
        <w:t>2</w:t>
      </w:r>
      <w:r w:rsidRPr="00367C0B">
        <w:rPr>
          <w:lang w:val="en-US"/>
        </w:rPr>
        <w:t xml:space="preserve">0-year or 30-year timeframes following literature best practice. Indeed, climate change impacts and drivers are related to statistical long-term standing variations of climate drivers. Therefore, climate-related analysis does not address individual weather events (while meteorology does) but assess climate hazards frequency, intensity and special evolution shift along significant time periods. In the EY CAP application, each horizon gives an estimate of what could be the hazard value in the median year of the time period. In our case we selected 2030, 2040 and 2050, </w:t>
      </w:r>
      <w:r w:rsidR="00A552B9" w:rsidRPr="00367C0B">
        <w:rPr>
          <w:lang w:val="en-US"/>
        </w:rPr>
        <w:t xml:space="preserve">therefore </w:t>
      </w:r>
      <w:r w:rsidRPr="00367C0B">
        <w:rPr>
          <w:lang w:val="en-US"/>
        </w:rPr>
        <w:t xml:space="preserve">to illustrate </w:t>
      </w:r>
      <w:r w:rsidR="003C68A4" w:rsidRPr="00367C0B">
        <w:rPr>
          <w:lang w:val="en-US"/>
        </w:rPr>
        <w:t xml:space="preserve">for </w:t>
      </w:r>
      <w:r w:rsidRPr="00367C0B">
        <w:rPr>
          <w:lang w:val="en-US"/>
        </w:rPr>
        <w:t>2030</w:t>
      </w:r>
      <w:r w:rsidR="003C68A4" w:rsidRPr="00367C0B">
        <w:rPr>
          <w:lang w:val="en-US"/>
        </w:rPr>
        <w:t>:</w:t>
      </w:r>
      <w:r w:rsidR="00AA7672" w:rsidRPr="00367C0B">
        <w:rPr>
          <w:lang w:val="en-US"/>
        </w:rPr>
        <w:t xml:space="preserve"> </w:t>
      </w:r>
      <w:r w:rsidRPr="00367C0B">
        <w:rPr>
          <w:lang w:val="en-US"/>
        </w:rPr>
        <w:t xml:space="preserve">2021-2040 timeframe is used, </w:t>
      </w:r>
      <w:r w:rsidR="00AA7672" w:rsidRPr="00367C0B">
        <w:rPr>
          <w:lang w:val="en-US"/>
        </w:rPr>
        <w:t xml:space="preserve">for 2040 it’s 2031-2050, and </w:t>
      </w:r>
      <w:r w:rsidRPr="00367C0B">
        <w:rPr>
          <w:lang w:val="en-US"/>
        </w:rPr>
        <w:t>for 2050 it is 2041-20</w:t>
      </w:r>
      <w:r w:rsidR="002A53AB" w:rsidRPr="00367C0B">
        <w:rPr>
          <w:lang w:val="en-US"/>
        </w:rPr>
        <w:t>7</w:t>
      </w:r>
      <w:r w:rsidRPr="00367C0B">
        <w:rPr>
          <w:lang w:val="en-US"/>
        </w:rPr>
        <w:t>0. Historical period</w:t>
      </w:r>
      <w:r w:rsidR="002977AA" w:rsidRPr="00367C0B">
        <w:rPr>
          <w:lang w:val="en-US"/>
        </w:rPr>
        <w:t xml:space="preserve"> is</w:t>
      </w:r>
      <w:r w:rsidRPr="00367C0B">
        <w:rPr>
          <w:lang w:val="en-US"/>
        </w:rPr>
        <w:t xml:space="preserve"> </w:t>
      </w:r>
      <w:r w:rsidR="007348BE" w:rsidRPr="00367C0B">
        <w:rPr>
          <w:lang w:val="en-US"/>
        </w:rPr>
        <w:t xml:space="preserve">1981 </w:t>
      </w:r>
      <w:r w:rsidRPr="00367C0B">
        <w:rPr>
          <w:lang w:val="en-US"/>
        </w:rPr>
        <w:t>– 2010.</w:t>
      </w:r>
    </w:p>
    <w:p w14:paraId="1F13E87B" w14:textId="39A267FC" w:rsidR="00D06C91" w:rsidRPr="009801A3" w:rsidRDefault="00B9202A" w:rsidP="002C6C89">
      <w:pPr>
        <w:pStyle w:val="Titre3"/>
        <w:numPr>
          <w:ilvl w:val="0"/>
          <w:numId w:val="8"/>
        </w:numPr>
        <w:rPr>
          <w:lang w:val="en-US"/>
        </w:rPr>
      </w:pPr>
      <w:bookmarkStart w:id="22" w:name="_Toc183015093"/>
      <w:r w:rsidRPr="009801A3">
        <w:rPr>
          <w:lang w:val="en-US"/>
        </w:rPr>
        <w:t>Sea Level Change</w:t>
      </w:r>
      <w:r w:rsidR="000A5B3E" w:rsidRPr="009801A3">
        <w:rPr>
          <w:lang w:val="en-US"/>
        </w:rPr>
        <w:t xml:space="preserve"> methodology</w:t>
      </w:r>
      <w:bookmarkEnd w:id="22"/>
    </w:p>
    <w:p w14:paraId="7132687C" w14:textId="640869A9" w:rsidR="004E5C8B" w:rsidRPr="009801A3" w:rsidRDefault="00D06C91" w:rsidP="00D06C91">
      <w:pPr>
        <w:rPr>
          <w:lang w:val="en-US"/>
        </w:rPr>
      </w:pPr>
      <w:r w:rsidRPr="009801A3">
        <w:rPr>
          <w:lang w:val="en-US"/>
        </w:rPr>
        <w:t>Caspian Sea is an inland sea that is not related to global sea level rise of oceans due to glacier melting and thermal expansion</w:t>
      </w:r>
      <w:r w:rsidR="00E14BD4" w:rsidRPr="009801A3">
        <w:rPr>
          <w:lang w:val="en-US"/>
        </w:rPr>
        <w:t xml:space="preserve"> and therefore requires </w:t>
      </w:r>
      <w:r w:rsidR="0063377C" w:rsidRPr="009801A3">
        <w:rPr>
          <w:lang w:val="en-US"/>
        </w:rPr>
        <w:t xml:space="preserve">a </w:t>
      </w:r>
      <w:r w:rsidR="006502E2" w:rsidRPr="009801A3">
        <w:rPr>
          <w:lang w:val="en-US"/>
        </w:rPr>
        <w:t xml:space="preserve">specific local </w:t>
      </w:r>
      <w:r w:rsidR="004E5C8B" w:rsidRPr="009801A3">
        <w:rPr>
          <w:lang w:val="en-US"/>
        </w:rPr>
        <w:t>climate</w:t>
      </w:r>
      <w:r w:rsidR="00581399" w:rsidRPr="009801A3">
        <w:rPr>
          <w:lang w:val="en-US"/>
        </w:rPr>
        <w:t xml:space="preserve"> analysis and</w:t>
      </w:r>
      <w:r w:rsidR="004E5C8B" w:rsidRPr="009801A3">
        <w:rPr>
          <w:lang w:val="en-US"/>
        </w:rPr>
        <w:t xml:space="preserve"> </w:t>
      </w:r>
      <w:r w:rsidR="006502E2" w:rsidRPr="009801A3">
        <w:rPr>
          <w:lang w:val="en-US"/>
        </w:rPr>
        <w:t xml:space="preserve">model </w:t>
      </w:r>
      <w:r w:rsidR="004E5C8B" w:rsidRPr="009801A3">
        <w:rPr>
          <w:lang w:val="en-US"/>
        </w:rPr>
        <w:t xml:space="preserve">to represent the reality of </w:t>
      </w:r>
      <w:r w:rsidR="00581399" w:rsidRPr="009801A3">
        <w:rPr>
          <w:lang w:val="en-US"/>
        </w:rPr>
        <w:t>the studied basin</w:t>
      </w:r>
      <w:r w:rsidR="0063377C" w:rsidRPr="009801A3">
        <w:rPr>
          <w:lang w:val="en-US"/>
        </w:rPr>
        <w:t xml:space="preserve"> and accurately project future evolutions.</w:t>
      </w:r>
    </w:p>
    <w:p w14:paraId="606BB537" w14:textId="6E998243" w:rsidR="00D06C91" w:rsidRPr="009801A3" w:rsidRDefault="00552479" w:rsidP="002A1E48">
      <w:pPr>
        <w:rPr>
          <w:lang w:val="en-US"/>
        </w:rPr>
      </w:pPr>
      <w:r w:rsidRPr="009801A3">
        <w:rPr>
          <w:lang w:val="en-US"/>
        </w:rPr>
        <w:t>A recent study, overwide by the WCRP Working Group on Couples Modelling</w:t>
      </w:r>
      <w:r w:rsidR="0066121D" w:rsidRPr="009801A3">
        <w:rPr>
          <w:lang w:val="en-US"/>
        </w:rPr>
        <w:t xml:space="preserve"> and published in a </w:t>
      </w:r>
      <w:r w:rsidR="00282143" w:rsidRPr="009801A3">
        <w:rPr>
          <w:lang w:val="en-US"/>
        </w:rPr>
        <w:t>very reputable</w:t>
      </w:r>
      <w:r w:rsidR="0066121D" w:rsidRPr="009801A3">
        <w:rPr>
          <w:lang w:val="en-US"/>
        </w:rPr>
        <w:t xml:space="preserve"> scientific journal </w:t>
      </w:r>
      <w:r w:rsidR="0066121D" w:rsidRPr="00D64AD5">
        <w:rPr>
          <w:i/>
          <w:lang w:val="en-US"/>
        </w:rPr>
        <w:t>Nature</w:t>
      </w:r>
      <w:r w:rsidR="0066121D" w:rsidRPr="009801A3">
        <w:rPr>
          <w:lang w:val="en-US"/>
        </w:rPr>
        <w:t>, was</w:t>
      </w:r>
      <w:r w:rsidR="00282143" w:rsidRPr="009801A3">
        <w:rPr>
          <w:lang w:val="en-US"/>
        </w:rPr>
        <w:t xml:space="preserve"> used in thi</w:t>
      </w:r>
      <w:r w:rsidR="00C352D8" w:rsidRPr="009801A3">
        <w:rPr>
          <w:lang w:val="en-US"/>
        </w:rPr>
        <w:t xml:space="preserve">s report to </w:t>
      </w:r>
      <w:r w:rsidR="00D33411" w:rsidRPr="009801A3">
        <w:rPr>
          <w:lang w:val="en-US"/>
        </w:rPr>
        <w:t>analyze</w:t>
      </w:r>
      <w:r w:rsidR="00C352D8" w:rsidRPr="009801A3">
        <w:rPr>
          <w:lang w:val="en-US"/>
        </w:rPr>
        <w:t xml:space="preserve"> the Sea Level</w:t>
      </w:r>
      <w:r w:rsidR="00D33411" w:rsidRPr="009801A3">
        <w:rPr>
          <w:lang w:val="en-US"/>
        </w:rPr>
        <w:t xml:space="preserve"> of the Caspian Sea.</w:t>
      </w:r>
      <w:r w:rsidR="00932C9E" w:rsidRPr="009801A3">
        <w:rPr>
          <w:lang w:val="en-US"/>
        </w:rPr>
        <w:t xml:space="preserve"> The study </w:t>
      </w:r>
      <w:r w:rsidR="001D3913" w:rsidRPr="009801A3">
        <w:rPr>
          <w:lang w:val="en-US"/>
        </w:rPr>
        <w:t>computed results from 15 multi-model CMIP6 approaches</w:t>
      </w:r>
      <w:r w:rsidR="00CA167D" w:rsidRPr="009801A3">
        <w:rPr>
          <w:lang w:val="en-US"/>
        </w:rPr>
        <w:t xml:space="preserve"> with different pathways scenarios</w:t>
      </w:r>
      <w:r w:rsidR="009801A3" w:rsidRPr="009801A3">
        <w:rPr>
          <w:lang w:val="en-US"/>
        </w:rPr>
        <w:t>:</w:t>
      </w:r>
      <w:r w:rsidR="00CA167D" w:rsidRPr="009801A3">
        <w:rPr>
          <w:lang w:val="en-US"/>
        </w:rPr>
        <w:t xml:space="preserve"> SSP2-4.5 and SSP5-8.5</w:t>
      </w:r>
      <w:r w:rsidR="009801A3" w:rsidRPr="009801A3">
        <w:rPr>
          <w:lang w:val="en-US"/>
        </w:rPr>
        <w:t xml:space="preserve">. </w:t>
      </w:r>
      <w:r w:rsidR="00932C9E" w:rsidRPr="009801A3">
        <w:rPr>
          <w:lang w:val="en-US"/>
        </w:rPr>
        <w:t xml:space="preserve">Detailed methodology is available in the study </w:t>
      </w:r>
      <w:r w:rsidR="00932C9E" w:rsidRPr="009801A3">
        <w:rPr>
          <w:i/>
          <w:iCs/>
          <w:lang w:val="en-US"/>
        </w:rPr>
        <w:t>Climate Driven 21</w:t>
      </w:r>
      <w:r w:rsidR="00932C9E" w:rsidRPr="009801A3">
        <w:rPr>
          <w:i/>
          <w:iCs/>
          <w:vertAlign w:val="superscript"/>
          <w:lang w:val="en-US"/>
        </w:rPr>
        <w:t>st</w:t>
      </w:r>
      <w:r w:rsidR="00932C9E" w:rsidRPr="009801A3">
        <w:rPr>
          <w:i/>
          <w:iCs/>
          <w:lang w:val="en-US"/>
        </w:rPr>
        <w:t xml:space="preserve"> century Caspian Sea level decline estimated from CMIP6 projections.</w:t>
      </w:r>
    </w:p>
    <w:p w14:paraId="0B939D90" w14:textId="59664968" w:rsidR="006F4992" w:rsidRPr="004770D4" w:rsidRDefault="006F4992" w:rsidP="00AA0497">
      <w:pPr>
        <w:pStyle w:val="Titre3"/>
        <w:numPr>
          <w:ilvl w:val="0"/>
          <w:numId w:val="8"/>
        </w:numPr>
        <w:rPr>
          <w:lang w:val="en-US"/>
        </w:rPr>
      </w:pPr>
      <w:bookmarkStart w:id="23" w:name="_Toc183015094"/>
      <w:r w:rsidRPr="004770D4">
        <w:rPr>
          <w:lang w:val="en-US"/>
        </w:rPr>
        <w:t>Location and physical hazards</w:t>
      </w:r>
      <w:bookmarkEnd w:id="23"/>
    </w:p>
    <w:p w14:paraId="39104600" w14:textId="5436F25C" w:rsidR="006F4992" w:rsidRPr="00367C0B" w:rsidRDefault="006F4992" w:rsidP="002A1E48">
      <w:pPr>
        <w:rPr>
          <w:lang w:val="en-US"/>
        </w:rPr>
      </w:pPr>
      <w:r w:rsidRPr="00367C0B">
        <w:rPr>
          <w:lang w:val="en-US"/>
        </w:rPr>
        <w:t xml:space="preserve">The analysis of exposure to physical hazards was performed on </w:t>
      </w:r>
      <w:r w:rsidR="009D7718" w:rsidRPr="00367C0B">
        <w:rPr>
          <w:lang w:val="en-US"/>
        </w:rPr>
        <w:t>5</w:t>
      </w:r>
      <w:r w:rsidRPr="00367C0B">
        <w:rPr>
          <w:lang w:val="en-US"/>
        </w:rPr>
        <w:t xml:space="preserve"> different assets, chose</w:t>
      </w:r>
      <w:r w:rsidR="00A75C9C" w:rsidRPr="00367C0B">
        <w:rPr>
          <w:lang w:val="en-US"/>
        </w:rPr>
        <w:t>n</w:t>
      </w:r>
      <w:r w:rsidRPr="00367C0B">
        <w:rPr>
          <w:lang w:val="en-US"/>
        </w:rPr>
        <w:t xml:space="preserve"> by </w:t>
      </w:r>
      <w:r w:rsidR="009D7718" w:rsidRPr="00367C0B">
        <w:rPr>
          <w:lang w:val="en-US"/>
        </w:rPr>
        <w:t>ASCO</w:t>
      </w:r>
      <w:r w:rsidRPr="00367C0B">
        <w:rPr>
          <w:lang w:val="en-US"/>
        </w:rPr>
        <w:t xml:space="preserve">, as presented in the table and map below. For each indicator and each point of the grid, the value displayed in EY CAP is computed by averaging the projections of several climate models for a given combination of {geography x scenario x horizon} and corresponds </w:t>
      </w:r>
      <w:r w:rsidRPr="00367C0B">
        <w:rPr>
          <w:lang w:val="en-US"/>
        </w:rPr>
        <w:lastRenderedPageBreak/>
        <w:t xml:space="preserve">as such to the “median” value of the indicator for the given combination. The reason to use the median rather than the mean for climate indicators is that the mean can be heavily influenced by outliers or extreme values in the data set, while the median value is less sensitive to outliers and provides a better representation of the typical value in the datasets. To get a better understanding of </w:t>
      </w:r>
      <w:r w:rsidR="009022C2" w:rsidRPr="00367C0B">
        <w:rPr>
          <w:lang w:val="en-US"/>
        </w:rPr>
        <w:t>the values’ distribution</w:t>
      </w:r>
      <w:r w:rsidRPr="00367C0B">
        <w:rPr>
          <w:lang w:val="en-US"/>
        </w:rPr>
        <w:t xml:space="preserve"> and to account for model variability, the minimum, maximum, 10</w:t>
      </w:r>
      <w:r w:rsidRPr="00367C0B">
        <w:rPr>
          <w:vertAlign w:val="superscript"/>
          <w:lang w:val="en-US"/>
        </w:rPr>
        <w:t>th</w:t>
      </w:r>
      <w:r w:rsidRPr="00367C0B">
        <w:rPr>
          <w:lang w:val="en-US"/>
        </w:rPr>
        <w:t>, 90</w:t>
      </w:r>
      <w:r w:rsidRPr="00367C0B">
        <w:rPr>
          <w:vertAlign w:val="superscript"/>
          <w:lang w:val="en-US"/>
        </w:rPr>
        <w:t>th</w:t>
      </w:r>
      <w:r w:rsidR="009E149A" w:rsidRPr="00367C0B">
        <w:rPr>
          <w:lang w:val="en-US"/>
        </w:rPr>
        <w:t xml:space="preserve"> </w:t>
      </w:r>
      <w:r w:rsidRPr="00367C0B">
        <w:rPr>
          <w:lang w:val="en-US"/>
        </w:rPr>
        <w:t xml:space="preserve">and </w:t>
      </w:r>
      <w:r w:rsidR="002A348D" w:rsidRPr="00367C0B">
        <w:rPr>
          <w:lang w:val="en-US"/>
        </w:rPr>
        <w:t>50</w:t>
      </w:r>
      <w:r w:rsidR="0043144E" w:rsidRPr="00367C0B">
        <w:rPr>
          <w:vertAlign w:val="superscript"/>
          <w:lang w:val="en-US"/>
        </w:rPr>
        <w:t>th</w:t>
      </w:r>
      <w:r w:rsidR="0043144E" w:rsidRPr="00367C0B">
        <w:rPr>
          <w:lang w:val="en-US"/>
        </w:rPr>
        <w:t xml:space="preserve"> (</w:t>
      </w:r>
      <w:r w:rsidRPr="00367C0B">
        <w:rPr>
          <w:lang w:val="en-US"/>
        </w:rPr>
        <w:t>median</w:t>
      </w:r>
      <w:r w:rsidR="0043144E" w:rsidRPr="00367C0B">
        <w:rPr>
          <w:lang w:val="en-US"/>
        </w:rPr>
        <w:t>)</w:t>
      </w:r>
      <w:r w:rsidRPr="00367C0B">
        <w:rPr>
          <w:lang w:val="en-US"/>
        </w:rPr>
        <w:t xml:space="preserve"> of the indicator values across all climate models are computed. This way, EY CAP provides insights on the indicator distribution at a given grid point across the selected climate models, allowing a better understanding of the underlying uncertainty of the </w:t>
      </w:r>
      <w:r w:rsidR="00540AB9" w:rsidRPr="00367C0B">
        <w:rPr>
          <w:lang w:val="en-US"/>
        </w:rPr>
        <w:t xml:space="preserve">indicator </w:t>
      </w:r>
      <w:r w:rsidRPr="00367C0B">
        <w:rPr>
          <w:lang w:val="en-US"/>
        </w:rPr>
        <w:t xml:space="preserve">value provided. </w:t>
      </w:r>
    </w:p>
    <w:p w14:paraId="405A39AE" w14:textId="77777777" w:rsidR="006F4992" w:rsidRPr="00367C0B" w:rsidRDefault="006F4992" w:rsidP="006F4992">
      <w:pPr>
        <w:rPr>
          <w:lang w:val="en-US"/>
        </w:rPr>
      </w:pPr>
    </w:p>
    <w:p w14:paraId="60638D38" w14:textId="665B7EDF" w:rsidR="006F4992" w:rsidRPr="00BA0950" w:rsidRDefault="00BA0950" w:rsidP="00F91719">
      <w:pPr>
        <w:pStyle w:val="Lgende"/>
      </w:pPr>
      <w:r w:rsidRPr="006F71F0">
        <w:t xml:space="preserve">Table </w:t>
      </w:r>
      <w:r w:rsidRPr="006F71F0">
        <w:fldChar w:fldCharType="begin"/>
      </w:r>
      <w:r w:rsidRPr="006F71F0">
        <w:instrText xml:space="preserve"> SEQ Table \* ARABIC </w:instrText>
      </w:r>
      <w:r w:rsidRPr="006F71F0">
        <w:fldChar w:fldCharType="separate"/>
      </w:r>
      <w:r w:rsidR="009B31C6">
        <w:rPr>
          <w:noProof/>
        </w:rPr>
        <w:t>1</w:t>
      </w:r>
      <w:r w:rsidRPr="006F71F0">
        <w:fldChar w:fldCharType="end"/>
      </w:r>
      <w:r w:rsidRPr="006F71F0">
        <w:t>: List of asse</w:t>
      </w:r>
      <w:r w:rsidR="009B4044" w:rsidRPr="006F71F0">
        <w:t>t</w:t>
      </w:r>
      <w:r w:rsidRPr="006F71F0">
        <w:t>s included in the analysis</w:t>
      </w:r>
    </w:p>
    <w:tbl>
      <w:tblPr>
        <w:tblStyle w:val="Grilledutableau"/>
        <w:tblW w:w="10916" w:type="dxa"/>
        <w:tblInd w:w="-998" w:type="dxa"/>
        <w:tblLook w:val="04A0" w:firstRow="1" w:lastRow="0" w:firstColumn="1" w:lastColumn="0" w:noHBand="0" w:noVBand="1"/>
      </w:tblPr>
      <w:tblGrid>
        <w:gridCol w:w="3638"/>
        <w:gridCol w:w="3639"/>
        <w:gridCol w:w="3639"/>
      </w:tblGrid>
      <w:tr w:rsidR="006F4992" w:rsidRPr="00367C0B" w14:paraId="2691757D" w14:textId="7AF04BCE" w:rsidTr="00A33486">
        <w:tc>
          <w:tcPr>
            <w:tcW w:w="3638" w:type="dxa"/>
            <w:shd w:val="clear" w:color="auto" w:fill="5B9BD5" w:themeFill="accent5"/>
            <w:vAlign w:val="bottom"/>
          </w:tcPr>
          <w:p w14:paraId="662D8258" w14:textId="77777777" w:rsidR="006F4992" w:rsidRPr="00367C0B" w:rsidRDefault="006F4992">
            <w:pPr>
              <w:jc w:val="center"/>
              <w:rPr>
                <w:b/>
                <w:lang w:val="en-US"/>
              </w:rPr>
            </w:pPr>
            <w:r w:rsidRPr="00367C0B">
              <w:rPr>
                <w:rFonts w:eastAsia="Times New Roman" w:cs="Calibri"/>
                <w:b/>
                <w:color w:val="000000"/>
                <w:lang w:val="en-US" w:eastAsia="fr-FR"/>
              </w:rPr>
              <w:t>Asset Name</w:t>
            </w:r>
          </w:p>
        </w:tc>
        <w:tc>
          <w:tcPr>
            <w:tcW w:w="3639" w:type="dxa"/>
            <w:shd w:val="clear" w:color="auto" w:fill="5B9BD5" w:themeFill="accent5"/>
          </w:tcPr>
          <w:p w14:paraId="7AEE6479" w14:textId="77777777" w:rsidR="006F4992" w:rsidRPr="00367C0B" w:rsidRDefault="006F4992">
            <w:pPr>
              <w:jc w:val="center"/>
              <w:rPr>
                <w:lang w:val="en-US"/>
              </w:rPr>
            </w:pPr>
            <w:r w:rsidRPr="00367C0B">
              <w:rPr>
                <w:rFonts w:eastAsia="Times New Roman" w:cs="Calibri"/>
                <w:b/>
                <w:color w:val="000000"/>
                <w:lang w:val="en-US" w:eastAsia="fr-FR"/>
              </w:rPr>
              <w:t>Asset Type</w:t>
            </w:r>
          </w:p>
        </w:tc>
        <w:tc>
          <w:tcPr>
            <w:tcW w:w="3639" w:type="dxa"/>
            <w:shd w:val="clear" w:color="auto" w:fill="5B9BD5" w:themeFill="accent5"/>
          </w:tcPr>
          <w:p w14:paraId="40556C30" w14:textId="1E3DD851" w:rsidR="004014D7" w:rsidRDefault="004014D7">
            <w:pPr>
              <w:jc w:val="center"/>
              <w:rPr>
                <w:rFonts w:eastAsia="Times New Roman" w:cs="Calibri"/>
                <w:b/>
                <w:color w:val="000000"/>
                <w:lang w:val="en-US" w:eastAsia="fr-FR"/>
              </w:rPr>
            </w:pPr>
            <w:r>
              <w:rPr>
                <w:rFonts w:eastAsia="Times New Roman" w:cs="Calibri"/>
                <w:b/>
                <w:color w:val="000000"/>
                <w:lang w:val="en-US" w:eastAsia="fr-FR"/>
              </w:rPr>
              <w:t>GPS Coordinates</w:t>
            </w:r>
            <w:r w:rsidR="001E7D4A">
              <w:rPr>
                <w:rFonts w:eastAsia="Times New Roman" w:cs="Calibri"/>
                <w:b/>
                <w:color w:val="000000"/>
                <w:lang w:val="en-US" w:eastAsia="fr-FR"/>
              </w:rPr>
              <w:t xml:space="preserve"> (Lat/Long)</w:t>
            </w:r>
          </w:p>
        </w:tc>
      </w:tr>
      <w:tr w:rsidR="006F4992" w:rsidRPr="00367C0B" w14:paraId="49FD945B" w14:textId="386557E3" w:rsidTr="0057601C">
        <w:trPr>
          <w:trHeight w:val="283"/>
        </w:trPr>
        <w:tc>
          <w:tcPr>
            <w:tcW w:w="3638" w:type="dxa"/>
            <w:vAlign w:val="center"/>
          </w:tcPr>
          <w:p w14:paraId="3554F5E2" w14:textId="6983E96A" w:rsidR="006F4992" w:rsidRPr="00367C0B" w:rsidRDefault="00C83956" w:rsidP="007251C4">
            <w:pPr>
              <w:jc w:val="left"/>
              <w:rPr>
                <w:lang w:val="en-US"/>
              </w:rPr>
            </w:pPr>
            <w:r w:rsidRPr="00367C0B">
              <w:rPr>
                <w:lang w:val="en-US"/>
              </w:rPr>
              <w:t>Sangachal</w:t>
            </w:r>
            <w:r w:rsidR="00D85086" w:rsidRPr="00367C0B">
              <w:rPr>
                <w:lang w:val="en-US"/>
              </w:rPr>
              <w:t xml:space="preserve"> Terminal</w:t>
            </w:r>
          </w:p>
        </w:tc>
        <w:tc>
          <w:tcPr>
            <w:tcW w:w="3639" w:type="dxa"/>
            <w:vAlign w:val="center"/>
          </w:tcPr>
          <w:p w14:paraId="17699ECB" w14:textId="220836A9" w:rsidR="006F4992" w:rsidRPr="00367C0B" w:rsidRDefault="00797EF9">
            <w:pPr>
              <w:jc w:val="center"/>
              <w:rPr>
                <w:lang w:val="en-US"/>
              </w:rPr>
            </w:pPr>
            <w:proofErr w:type="spellStart"/>
            <w:r w:rsidRPr="00367C0B">
              <w:rPr>
                <w:lang w:val="en-US"/>
              </w:rPr>
              <w:t>Oil&amp;gas</w:t>
            </w:r>
            <w:proofErr w:type="spellEnd"/>
            <w:r w:rsidRPr="00367C0B">
              <w:rPr>
                <w:lang w:val="en-US"/>
              </w:rPr>
              <w:t xml:space="preserve"> specialized port</w:t>
            </w:r>
          </w:p>
        </w:tc>
        <w:tc>
          <w:tcPr>
            <w:tcW w:w="3639" w:type="dxa"/>
            <w:vAlign w:val="center"/>
          </w:tcPr>
          <w:p w14:paraId="29A6918A" w14:textId="1B4B5C40" w:rsidR="004014D7" w:rsidRPr="00367C0B" w:rsidRDefault="001E7D4A">
            <w:pPr>
              <w:jc w:val="center"/>
              <w:rPr>
                <w:lang w:val="en-US"/>
              </w:rPr>
            </w:pPr>
            <w:r w:rsidRPr="001E7D4A">
              <w:rPr>
                <w:lang w:val="en-US"/>
              </w:rPr>
              <w:t>40,2012</w:t>
            </w:r>
            <w:r>
              <w:rPr>
                <w:lang w:val="en-US"/>
              </w:rPr>
              <w:t xml:space="preserve"> / </w:t>
            </w:r>
            <w:r w:rsidRPr="001E7D4A">
              <w:rPr>
                <w:lang w:val="en-US"/>
              </w:rPr>
              <w:t>49,4812</w:t>
            </w:r>
          </w:p>
        </w:tc>
      </w:tr>
      <w:tr w:rsidR="006F4992" w:rsidRPr="00367C0B" w14:paraId="6C67A6AB" w14:textId="51508C04" w:rsidTr="0057601C">
        <w:trPr>
          <w:trHeight w:val="283"/>
        </w:trPr>
        <w:tc>
          <w:tcPr>
            <w:tcW w:w="3638" w:type="dxa"/>
            <w:vAlign w:val="center"/>
          </w:tcPr>
          <w:p w14:paraId="20315342" w14:textId="1868E968" w:rsidR="006F4992" w:rsidRPr="00367C0B" w:rsidRDefault="006F71F0" w:rsidP="007251C4">
            <w:pPr>
              <w:jc w:val="left"/>
              <w:rPr>
                <w:lang w:val="en-US"/>
              </w:rPr>
            </w:pPr>
            <w:proofErr w:type="spellStart"/>
            <w:r w:rsidRPr="00367C0B">
              <w:rPr>
                <w:rFonts w:eastAsia="Times New Roman" w:cs="Calibri"/>
                <w:color w:val="000000"/>
                <w:lang w:val="en-US" w:eastAsia="fr-FR"/>
              </w:rPr>
              <w:t>Dubendi</w:t>
            </w:r>
            <w:proofErr w:type="spellEnd"/>
            <w:r w:rsidR="00D85086" w:rsidRPr="00367C0B">
              <w:rPr>
                <w:rFonts w:eastAsia="Times New Roman" w:cs="Calibri"/>
                <w:color w:val="000000"/>
                <w:lang w:val="en-US" w:eastAsia="fr-FR"/>
              </w:rPr>
              <w:t xml:space="preserve"> Terminal</w:t>
            </w:r>
          </w:p>
        </w:tc>
        <w:tc>
          <w:tcPr>
            <w:tcW w:w="3639" w:type="dxa"/>
            <w:vAlign w:val="center"/>
          </w:tcPr>
          <w:p w14:paraId="1F53C98B" w14:textId="131B41AE" w:rsidR="006F4992" w:rsidRPr="00367C0B" w:rsidRDefault="00797EF9">
            <w:pPr>
              <w:jc w:val="center"/>
              <w:rPr>
                <w:lang w:val="en-US"/>
              </w:rPr>
            </w:pPr>
            <w:proofErr w:type="spellStart"/>
            <w:r w:rsidRPr="00367C0B">
              <w:rPr>
                <w:lang w:val="en-US"/>
              </w:rPr>
              <w:t>Oil&amp;gas</w:t>
            </w:r>
            <w:proofErr w:type="spellEnd"/>
            <w:r w:rsidRPr="00367C0B">
              <w:rPr>
                <w:lang w:val="en-US"/>
              </w:rPr>
              <w:t xml:space="preserve"> specialized port</w:t>
            </w:r>
          </w:p>
        </w:tc>
        <w:tc>
          <w:tcPr>
            <w:tcW w:w="3639" w:type="dxa"/>
            <w:vAlign w:val="center"/>
          </w:tcPr>
          <w:p w14:paraId="51BE6BB0" w14:textId="567D6BEA" w:rsidR="004014D7" w:rsidRPr="00367C0B" w:rsidRDefault="00400E02">
            <w:pPr>
              <w:jc w:val="center"/>
              <w:rPr>
                <w:lang w:val="en-US"/>
              </w:rPr>
            </w:pPr>
            <w:r w:rsidRPr="00400E02">
              <w:rPr>
                <w:lang w:val="en-US"/>
              </w:rPr>
              <w:t>40,4148</w:t>
            </w:r>
            <w:r>
              <w:rPr>
                <w:lang w:val="en-US"/>
              </w:rPr>
              <w:t xml:space="preserve"> / </w:t>
            </w:r>
            <w:r w:rsidRPr="00400E02">
              <w:rPr>
                <w:lang w:val="en-US"/>
              </w:rPr>
              <w:t>50,3393</w:t>
            </w:r>
          </w:p>
        </w:tc>
      </w:tr>
      <w:tr w:rsidR="006F4992" w:rsidRPr="004014D7" w14:paraId="22D2D9E3" w14:textId="3CE4E36B" w:rsidTr="0057601C">
        <w:trPr>
          <w:trHeight w:val="283"/>
        </w:trPr>
        <w:tc>
          <w:tcPr>
            <w:tcW w:w="3638" w:type="dxa"/>
            <w:vAlign w:val="center"/>
          </w:tcPr>
          <w:p w14:paraId="5F71F1C5" w14:textId="445E574E" w:rsidR="006F4992" w:rsidRPr="00367C0B" w:rsidRDefault="002A7A4F" w:rsidP="007251C4">
            <w:pPr>
              <w:jc w:val="left"/>
              <w:rPr>
                <w:lang w:val="en-US"/>
              </w:rPr>
            </w:pPr>
            <w:proofErr w:type="spellStart"/>
            <w:r w:rsidRPr="00367C0B">
              <w:rPr>
                <w:rFonts w:eastAsia="Times New Roman" w:cs="Calibri"/>
                <w:color w:val="000000"/>
                <w:lang w:val="en-US" w:eastAsia="fr-FR"/>
              </w:rPr>
              <w:t>Z</w:t>
            </w:r>
            <w:r w:rsidR="006F71F0" w:rsidRPr="00367C0B">
              <w:rPr>
                <w:rFonts w:eastAsia="Times New Roman" w:cs="Calibri"/>
                <w:color w:val="000000"/>
                <w:lang w:val="en-US" w:eastAsia="fr-FR"/>
              </w:rPr>
              <w:t>y</w:t>
            </w:r>
            <w:r w:rsidRPr="00367C0B">
              <w:rPr>
                <w:rFonts w:eastAsia="Times New Roman" w:cs="Calibri"/>
                <w:color w:val="000000"/>
                <w:lang w:val="en-US" w:eastAsia="fr-FR"/>
              </w:rPr>
              <w:t>gh</w:t>
            </w:r>
            <w:proofErr w:type="spellEnd"/>
            <w:r w:rsidRPr="00367C0B">
              <w:rPr>
                <w:rFonts w:eastAsia="Times New Roman" w:cs="Calibri"/>
                <w:color w:val="000000"/>
                <w:lang w:val="en-US" w:eastAsia="fr-FR"/>
              </w:rPr>
              <w:t xml:space="preserve"> Ship</w:t>
            </w:r>
            <w:r w:rsidR="006F71F0" w:rsidRPr="00367C0B">
              <w:rPr>
                <w:rFonts w:eastAsia="Times New Roman" w:cs="Calibri"/>
                <w:color w:val="000000"/>
                <w:lang w:val="en-US" w:eastAsia="fr-FR"/>
              </w:rPr>
              <w:t>yard</w:t>
            </w:r>
          </w:p>
        </w:tc>
        <w:tc>
          <w:tcPr>
            <w:tcW w:w="3639" w:type="dxa"/>
            <w:vAlign w:val="center"/>
          </w:tcPr>
          <w:p w14:paraId="3154F1F4" w14:textId="2766B44D" w:rsidR="006F4992" w:rsidRPr="00367C0B" w:rsidRDefault="006F71F0">
            <w:pPr>
              <w:jc w:val="center"/>
              <w:rPr>
                <w:lang w:val="en-US"/>
              </w:rPr>
            </w:pPr>
            <w:r w:rsidRPr="00367C0B">
              <w:rPr>
                <w:lang w:val="en-US"/>
              </w:rPr>
              <w:t xml:space="preserve">Ship </w:t>
            </w:r>
            <w:r w:rsidR="005701A1" w:rsidRPr="00367C0B">
              <w:rPr>
                <w:lang w:val="en-US"/>
              </w:rPr>
              <w:t>Repair</w:t>
            </w:r>
            <w:r w:rsidRPr="00367C0B">
              <w:rPr>
                <w:lang w:val="en-US"/>
              </w:rPr>
              <w:t xml:space="preserve"> and construction yard</w:t>
            </w:r>
          </w:p>
        </w:tc>
        <w:tc>
          <w:tcPr>
            <w:tcW w:w="3639" w:type="dxa"/>
            <w:vAlign w:val="center"/>
          </w:tcPr>
          <w:p w14:paraId="6EE65B3F" w14:textId="4F5A1ED0" w:rsidR="004014D7" w:rsidRPr="00367C0B" w:rsidRDefault="00D02862">
            <w:pPr>
              <w:jc w:val="center"/>
              <w:rPr>
                <w:lang w:val="en-US"/>
              </w:rPr>
            </w:pPr>
            <w:r w:rsidRPr="00D02862">
              <w:rPr>
                <w:lang w:val="en-US"/>
              </w:rPr>
              <w:t>40,3522</w:t>
            </w:r>
            <w:r w:rsidR="00B6551E">
              <w:rPr>
                <w:lang w:val="en-US"/>
              </w:rPr>
              <w:t xml:space="preserve"> / </w:t>
            </w:r>
            <w:r w:rsidRPr="00D02862">
              <w:rPr>
                <w:lang w:val="en-US"/>
              </w:rPr>
              <w:t>49,9502</w:t>
            </w:r>
          </w:p>
        </w:tc>
      </w:tr>
      <w:tr w:rsidR="006F4992" w:rsidRPr="00367C0B" w14:paraId="7D4568E8" w14:textId="58D85022" w:rsidTr="0057601C">
        <w:trPr>
          <w:trHeight w:val="283"/>
        </w:trPr>
        <w:tc>
          <w:tcPr>
            <w:tcW w:w="3638" w:type="dxa"/>
            <w:vAlign w:val="center"/>
          </w:tcPr>
          <w:p w14:paraId="0DFD8E71" w14:textId="57022822" w:rsidR="006F4992" w:rsidRPr="00367C0B" w:rsidRDefault="00A55CC8" w:rsidP="007251C4">
            <w:pPr>
              <w:jc w:val="left"/>
              <w:rPr>
                <w:lang w:val="en-US"/>
              </w:rPr>
            </w:pPr>
            <w:r w:rsidRPr="00367C0B">
              <w:rPr>
                <w:rFonts w:eastAsia="Times New Roman" w:cs="Calibri"/>
                <w:color w:val="000000"/>
                <w:lang w:val="en-US" w:eastAsia="fr-FR"/>
              </w:rPr>
              <w:t>Aktau port</w:t>
            </w:r>
          </w:p>
        </w:tc>
        <w:tc>
          <w:tcPr>
            <w:tcW w:w="3639" w:type="dxa"/>
            <w:vAlign w:val="center"/>
          </w:tcPr>
          <w:p w14:paraId="534E48A3" w14:textId="2CFD6E2A" w:rsidR="006F4992" w:rsidRPr="00367C0B" w:rsidRDefault="0035086A">
            <w:pPr>
              <w:jc w:val="center"/>
              <w:rPr>
                <w:lang w:val="en-US"/>
              </w:rPr>
            </w:pPr>
            <w:r w:rsidRPr="00367C0B">
              <w:rPr>
                <w:lang w:val="en-US"/>
              </w:rPr>
              <w:t xml:space="preserve">Commercial </w:t>
            </w:r>
            <w:r w:rsidR="00797EF9" w:rsidRPr="00367C0B">
              <w:rPr>
                <w:lang w:val="en-US"/>
              </w:rPr>
              <w:t>Port</w:t>
            </w:r>
            <w:r w:rsidRPr="00367C0B">
              <w:rPr>
                <w:lang w:val="en-US"/>
              </w:rPr>
              <w:t xml:space="preserve"> (</w:t>
            </w:r>
            <w:r w:rsidR="00C83956" w:rsidRPr="00367C0B">
              <w:rPr>
                <w:lang w:val="en-US"/>
              </w:rPr>
              <w:t>outside ASCO assets)</w:t>
            </w:r>
          </w:p>
        </w:tc>
        <w:tc>
          <w:tcPr>
            <w:tcW w:w="3639" w:type="dxa"/>
            <w:vAlign w:val="center"/>
          </w:tcPr>
          <w:p w14:paraId="2759362A" w14:textId="41FC4257" w:rsidR="004014D7" w:rsidRPr="00367C0B" w:rsidRDefault="005C170C">
            <w:pPr>
              <w:jc w:val="center"/>
              <w:rPr>
                <w:lang w:val="en-US"/>
              </w:rPr>
            </w:pPr>
            <w:r w:rsidRPr="005C170C">
              <w:rPr>
                <w:lang w:val="en-US"/>
              </w:rPr>
              <w:t>43,5975</w:t>
            </w:r>
            <w:r>
              <w:rPr>
                <w:lang w:val="en-US"/>
              </w:rPr>
              <w:t xml:space="preserve"> / </w:t>
            </w:r>
            <w:r w:rsidRPr="005C170C">
              <w:rPr>
                <w:lang w:val="en-US"/>
              </w:rPr>
              <w:t>51,1835</w:t>
            </w:r>
          </w:p>
        </w:tc>
      </w:tr>
      <w:tr w:rsidR="006F4992" w:rsidRPr="00367C0B" w14:paraId="2963A653" w14:textId="2F39ECC5" w:rsidTr="0057601C">
        <w:trPr>
          <w:trHeight w:val="283"/>
        </w:trPr>
        <w:tc>
          <w:tcPr>
            <w:tcW w:w="3638" w:type="dxa"/>
            <w:vAlign w:val="center"/>
          </w:tcPr>
          <w:p w14:paraId="6AD6885C" w14:textId="448C7298" w:rsidR="006F4992" w:rsidRPr="00367C0B" w:rsidRDefault="00A55CC8" w:rsidP="007251C4">
            <w:pPr>
              <w:jc w:val="left"/>
              <w:rPr>
                <w:lang w:val="en-US"/>
              </w:rPr>
            </w:pPr>
            <w:r w:rsidRPr="00367C0B">
              <w:rPr>
                <w:rFonts w:eastAsia="Times New Roman" w:cs="Calibri"/>
                <w:color w:val="000000"/>
                <w:lang w:val="en-US" w:eastAsia="fr-FR"/>
              </w:rPr>
              <w:t>Turkmenistan Port</w:t>
            </w:r>
          </w:p>
        </w:tc>
        <w:tc>
          <w:tcPr>
            <w:tcW w:w="3639" w:type="dxa"/>
            <w:vAlign w:val="center"/>
          </w:tcPr>
          <w:p w14:paraId="433A29D5" w14:textId="11781302" w:rsidR="006F4992" w:rsidRPr="00367C0B" w:rsidRDefault="00C83956">
            <w:pPr>
              <w:jc w:val="center"/>
              <w:rPr>
                <w:lang w:val="en-US"/>
              </w:rPr>
            </w:pPr>
            <w:r w:rsidRPr="00367C0B">
              <w:rPr>
                <w:lang w:val="en-US"/>
              </w:rPr>
              <w:t>Commercial Port (outside ASCO assets)</w:t>
            </w:r>
          </w:p>
        </w:tc>
        <w:tc>
          <w:tcPr>
            <w:tcW w:w="3639" w:type="dxa"/>
            <w:vAlign w:val="center"/>
          </w:tcPr>
          <w:p w14:paraId="283C69AC" w14:textId="25000D4A" w:rsidR="004014D7" w:rsidRPr="00367C0B" w:rsidRDefault="00AD73A1">
            <w:pPr>
              <w:jc w:val="center"/>
              <w:rPr>
                <w:lang w:val="en-US"/>
              </w:rPr>
            </w:pPr>
            <w:r w:rsidRPr="00AD73A1">
              <w:rPr>
                <w:lang w:val="en-US"/>
              </w:rPr>
              <w:t>39,9843</w:t>
            </w:r>
            <w:r>
              <w:rPr>
                <w:lang w:val="en-US"/>
              </w:rPr>
              <w:t xml:space="preserve"> / </w:t>
            </w:r>
            <w:r w:rsidRPr="00AD73A1">
              <w:rPr>
                <w:lang w:val="en-US"/>
              </w:rPr>
              <w:t>53,0280</w:t>
            </w:r>
          </w:p>
        </w:tc>
      </w:tr>
    </w:tbl>
    <w:p w14:paraId="1D69D8D8" w14:textId="77777777" w:rsidR="006F4992" w:rsidRPr="00367C0B" w:rsidRDefault="006F4992" w:rsidP="006F4992">
      <w:pPr>
        <w:jc w:val="center"/>
        <w:rPr>
          <w:b/>
          <w:lang w:val="en-US"/>
        </w:rPr>
      </w:pPr>
    </w:p>
    <w:p w14:paraId="746F2BA9" w14:textId="5DC277B0" w:rsidR="00BA0950" w:rsidRPr="00BA0950" w:rsidRDefault="00BA0950" w:rsidP="00F91719">
      <w:pPr>
        <w:pStyle w:val="Lgende"/>
      </w:pPr>
      <w:bookmarkStart w:id="24" w:name="_Toc173914785"/>
      <w:r w:rsidRPr="00C24658">
        <w:t xml:space="preserve">Figure </w:t>
      </w:r>
      <w:r w:rsidR="00784108" w:rsidRPr="00C24658">
        <w:fldChar w:fldCharType="begin"/>
      </w:r>
      <w:r w:rsidR="00784108" w:rsidRPr="00C24658">
        <w:instrText xml:space="preserve"> SEQ Figure \* ARABIC </w:instrText>
      </w:r>
      <w:r w:rsidR="00784108" w:rsidRPr="00C24658">
        <w:fldChar w:fldCharType="separate"/>
      </w:r>
      <w:r w:rsidR="00227941">
        <w:rPr>
          <w:noProof/>
        </w:rPr>
        <w:t>3</w:t>
      </w:r>
      <w:r w:rsidR="00784108" w:rsidRPr="00C24658">
        <w:fldChar w:fldCharType="end"/>
      </w:r>
      <w:r w:rsidRPr="00C24658">
        <w:t xml:space="preserve">: </w:t>
      </w:r>
      <w:r w:rsidR="003B6E80" w:rsidRPr="00C24658">
        <w:t xml:space="preserve">Location </w:t>
      </w:r>
      <w:r w:rsidRPr="00C24658">
        <w:t xml:space="preserve">of </w:t>
      </w:r>
      <w:r w:rsidR="003B6E80" w:rsidRPr="00C24658">
        <w:t xml:space="preserve">assets </w:t>
      </w:r>
      <w:r w:rsidRPr="00C24658">
        <w:t>included in the analysis</w:t>
      </w:r>
      <w:bookmarkEnd w:id="24"/>
    </w:p>
    <w:p w14:paraId="13B68BE7" w14:textId="1F4D10BF" w:rsidR="006F4992" w:rsidRPr="00367C0B" w:rsidRDefault="006F4992" w:rsidP="006F4992">
      <w:pPr>
        <w:jc w:val="center"/>
        <w:rPr>
          <w:lang w:val="en-US"/>
        </w:rPr>
      </w:pPr>
      <w:r w:rsidRPr="00367C0B">
        <w:rPr>
          <w:noProof/>
          <w:lang w:val="en-US"/>
        </w:rPr>
        <w:drawing>
          <wp:inline distT="0" distB="0" distL="0" distR="0" wp14:anchorId="79BE3BA9" wp14:editId="7AF5F586">
            <wp:extent cx="4553527" cy="4243762"/>
            <wp:effectExtent l="0" t="0" r="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4">
                      <a:extLst>
                        <a:ext uri="{28A0092B-C50C-407E-A947-70E740481C1C}">
                          <a14:useLocalDpi xmlns:a14="http://schemas.microsoft.com/office/drawing/2010/main" val="0"/>
                        </a:ext>
                      </a:extLst>
                    </a:blip>
                    <a:stretch>
                      <a:fillRect/>
                    </a:stretch>
                  </pic:blipFill>
                  <pic:spPr>
                    <a:xfrm>
                      <a:off x="0" y="0"/>
                      <a:ext cx="4559817" cy="4249624"/>
                    </a:xfrm>
                    <a:prstGeom prst="rect">
                      <a:avLst/>
                    </a:prstGeom>
                  </pic:spPr>
                </pic:pic>
              </a:graphicData>
            </a:graphic>
          </wp:inline>
        </w:drawing>
      </w:r>
    </w:p>
    <w:p w14:paraId="4C536BA2" w14:textId="7DCC3039" w:rsidR="00784108" w:rsidRDefault="00784108" w:rsidP="00784108">
      <w:pPr>
        <w:pStyle w:val="Lgende"/>
      </w:pPr>
      <w:r>
        <w:lastRenderedPageBreak/>
        <w:t xml:space="preserve">Figure </w:t>
      </w:r>
      <w:r>
        <w:fldChar w:fldCharType="begin"/>
      </w:r>
      <w:r>
        <w:instrText xml:space="preserve"> SEQ Figure \* ARABIC </w:instrText>
      </w:r>
      <w:r>
        <w:fldChar w:fldCharType="separate"/>
      </w:r>
      <w:r w:rsidR="00227941">
        <w:rPr>
          <w:noProof/>
        </w:rPr>
        <w:t>4</w:t>
      </w:r>
      <w:r>
        <w:fldChar w:fldCharType="end"/>
      </w:r>
      <w:r>
        <w:t xml:space="preserve"> – Location of ASCO's assets included in the analysis</w:t>
      </w:r>
    </w:p>
    <w:p w14:paraId="5D21D869" w14:textId="25873CD5" w:rsidR="006F4992" w:rsidRPr="00367C0B" w:rsidRDefault="000D73AE" w:rsidP="006F4992">
      <w:pPr>
        <w:jc w:val="center"/>
        <w:rPr>
          <w:lang w:val="en-US"/>
        </w:rPr>
      </w:pPr>
      <w:r w:rsidRPr="00367C0B">
        <w:rPr>
          <w:noProof/>
          <w:lang w:val="en-US"/>
        </w:rPr>
        <w:drawing>
          <wp:inline distT="0" distB="0" distL="0" distR="0" wp14:anchorId="50356E27" wp14:editId="32A2F493">
            <wp:extent cx="4614176" cy="2887420"/>
            <wp:effectExtent l="0" t="0" r="0" b="8255"/>
            <wp:docPr id="1892571373" name="Picture 1"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571373" name="Picture 1" descr="A map of a city&#10;&#10;Description automatically generated"/>
                    <pic:cNvPicPr/>
                  </pic:nvPicPr>
                  <pic:blipFill>
                    <a:blip r:embed="rId15"/>
                    <a:stretch>
                      <a:fillRect/>
                    </a:stretch>
                  </pic:blipFill>
                  <pic:spPr>
                    <a:xfrm>
                      <a:off x="0" y="0"/>
                      <a:ext cx="4667690" cy="2920908"/>
                    </a:xfrm>
                    <a:prstGeom prst="rect">
                      <a:avLst/>
                    </a:prstGeom>
                  </pic:spPr>
                </pic:pic>
              </a:graphicData>
            </a:graphic>
          </wp:inline>
        </w:drawing>
      </w:r>
    </w:p>
    <w:p w14:paraId="69495AE3" w14:textId="648B37FD" w:rsidR="00171AA4" w:rsidRPr="00367C0B" w:rsidRDefault="00171AA4" w:rsidP="00B65D26">
      <w:pPr>
        <w:rPr>
          <w:lang w:val="en-US"/>
        </w:rPr>
      </w:pPr>
      <w:r w:rsidRPr="00367C0B">
        <w:rPr>
          <w:lang w:val="en-US"/>
        </w:rPr>
        <w:t xml:space="preserve">Additionally, </w:t>
      </w:r>
      <w:r w:rsidR="000D0B0C">
        <w:rPr>
          <w:lang w:val="en-US"/>
        </w:rPr>
        <w:t>as a</w:t>
      </w:r>
      <w:r w:rsidR="000D0B0C" w:rsidRPr="00367C0B">
        <w:rPr>
          <w:lang w:val="en-US"/>
        </w:rPr>
        <w:t xml:space="preserve"> </w:t>
      </w:r>
      <w:r w:rsidRPr="00367C0B">
        <w:rPr>
          <w:lang w:val="en-US"/>
        </w:rPr>
        <w:t xml:space="preserve">request </w:t>
      </w:r>
      <w:r w:rsidR="000D0B0C">
        <w:rPr>
          <w:lang w:val="en-US"/>
        </w:rPr>
        <w:t>from</w:t>
      </w:r>
      <w:r w:rsidR="000D0B0C" w:rsidRPr="00367C0B">
        <w:rPr>
          <w:lang w:val="en-US"/>
        </w:rPr>
        <w:t xml:space="preserve"> </w:t>
      </w:r>
      <w:r w:rsidRPr="00367C0B">
        <w:rPr>
          <w:lang w:val="en-US"/>
        </w:rPr>
        <w:t xml:space="preserve">the client, offshore platforms </w:t>
      </w:r>
      <w:r w:rsidR="00DA7BB6" w:rsidRPr="00367C0B">
        <w:rPr>
          <w:lang w:val="en-US"/>
        </w:rPr>
        <w:t xml:space="preserve">have been included as </w:t>
      </w:r>
      <w:r w:rsidR="00803B3D" w:rsidRPr="00367C0B">
        <w:rPr>
          <w:lang w:val="en-US"/>
        </w:rPr>
        <w:t>a general</w:t>
      </w:r>
      <w:r w:rsidR="00DA7BB6" w:rsidRPr="00367C0B">
        <w:rPr>
          <w:lang w:val="en-US"/>
        </w:rPr>
        <w:t xml:space="preserve"> asset</w:t>
      </w:r>
      <w:r w:rsidR="00C649F1">
        <w:rPr>
          <w:lang w:val="en-US"/>
        </w:rPr>
        <w:t xml:space="preserve">. </w:t>
      </w:r>
      <w:r w:rsidR="00056775" w:rsidRPr="00367C0B">
        <w:rPr>
          <w:lang w:val="en-US"/>
        </w:rPr>
        <w:t xml:space="preserve"> </w:t>
      </w:r>
      <w:r w:rsidR="005D0369">
        <w:rPr>
          <w:lang w:val="en-US"/>
        </w:rPr>
        <w:t>Q</w:t>
      </w:r>
      <w:r w:rsidR="00056775" w:rsidRPr="00367C0B">
        <w:rPr>
          <w:lang w:val="en-US"/>
        </w:rPr>
        <w:t>ualitative analysis of climate physical ris</w:t>
      </w:r>
      <w:r w:rsidR="002907DC" w:rsidRPr="00367C0B">
        <w:rPr>
          <w:lang w:val="en-US"/>
        </w:rPr>
        <w:t>ks</w:t>
      </w:r>
      <w:r w:rsidR="005D0369">
        <w:rPr>
          <w:lang w:val="en-US"/>
        </w:rPr>
        <w:t xml:space="preserve"> will be performed</w:t>
      </w:r>
      <w:r w:rsidR="00D609F4" w:rsidRPr="00367C0B">
        <w:rPr>
          <w:lang w:val="en-US"/>
        </w:rPr>
        <w:t xml:space="preserve">, mainly by </w:t>
      </w:r>
      <w:r w:rsidR="00EC7B74" w:rsidRPr="00367C0B">
        <w:rPr>
          <w:lang w:val="en-US"/>
        </w:rPr>
        <w:t>desktop review</w:t>
      </w:r>
      <w:r w:rsidR="005D0369">
        <w:rPr>
          <w:lang w:val="en-US"/>
        </w:rPr>
        <w:t>, but the scope will not include quantitative</w:t>
      </w:r>
      <w:r w:rsidR="000A08A6">
        <w:rPr>
          <w:lang w:val="en-US"/>
        </w:rPr>
        <w:t xml:space="preserve"> analysis.</w:t>
      </w:r>
    </w:p>
    <w:p w14:paraId="61071A76" w14:textId="5C624FDC" w:rsidR="002A1E48" w:rsidRPr="00367C0B" w:rsidRDefault="001644FC" w:rsidP="00B65D26">
      <w:pPr>
        <w:rPr>
          <w:lang w:val="en-US"/>
        </w:rPr>
      </w:pPr>
      <w:r>
        <w:rPr>
          <w:lang w:val="en-US"/>
        </w:rPr>
        <w:t xml:space="preserve">Initial results from our EY CAP tool and discussion with ASCO representatives regarding </w:t>
      </w:r>
      <w:r w:rsidR="00C24658" w:rsidRPr="00367C0B">
        <w:rPr>
          <w:lang w:val="en-US"/>
        </w:rPr>
        <w:t xml:space="preserve">Azerbaijan and Caspian Sea </w:t>
      </w:r>
      <w:r w:rsidR="0052393F" w:rsidRPr="00367C0B">
        <w:rPr>
          <w:lang w:val="en-US"/>
        </w:rPr>
        <w:t xml:space="preserve">climate and sectoral practices led </w:t>
      </w:r>
      <w:r>
        <w:rPr>
          <w:lang w:val="en-US"/>
        </w:rPr>
        <w:t>to</w:t>
      </w:r>
      <w:r w:rsidR="0052393F" w:rsidRPr="00367C0B">
        <w:rPr>
          <w:lang w:val="en-US"/>
        </w:rPr>
        <w:t xml:space="preserve"> the following </w:t>
      </w:r>
      <w:r>
        <w:rPr>
          <w:lang w:val="en-US"/>
        </w:rPr>
        <w:t xml:space="preserve">shortlist of </w:t>
      </w:r>
      <w:r w:rsidR="0052393F" w:rsidRPr="00367C0B">
        <w:rPr>
          <w:lang w:val="en-US"/>
        </w:rPr>
        <w:t>risks</w:t>
      </w:r>
      <w:r w:rsidR="00F30B6E" w:rsidRPr="00367C0B">
        <w:rPr>
          <w:lang w:val="en-US"/>
        </w:rPr>
        <w:t xml:space="preserve"> for</w:t>
      </w:r>
      <w:r>
        <w:rPr>
          <w:lang w:val="en-US"/>
        </w:rPr>
        <w:t xml:space="preserve"> deep dive</w:t>
      </w:r>
      <w:r w:rsidR="00F30B6E" w:rsidRPr="00367C0B">
        <w:rPr>
          <w:lang w:val="en-US"/>
        </w:rPr>
        <w:t xml:space="preserve"> climate risk exposure assessment: </w:t>
      </w:r>
      <w:r w:rsidR="00127586" w:rsidRPr="00367C0B">
        <w:rPr>
          <w:lang w:val="en-US"/>
        </w:rPr>
        <w:t xml:space="preserve">Sea level change, </w:t>
      </w:r>
      <w:r w:rsidR="00F30B6E" w:rsidRPr="00367C0B">
        <w:rPr>
          <w:lang w:val="en-US"/>
        </w:rPr>
        <w:t>flood</w:t>
      </w:r>
      <w:r w:rsidR="00127586" w:rsidRPr="00367C0B">
        <w:rPr>
          <w:lang w:val="en-US"/>
        </w:rPr>
        <w:t>, high temperature, heat and extreme weather.</w:t>
      </w:r>
      <w:r w:rsidR="00442D31" w:rsidRPr="00367C0B">
        <w:rPr>
          <w:lang w:val="en-US"/>
        </w:rPr>
        <w:t xml:space="preserve"> </w:t>
      </w:r>
      <w:r w:rsidR="00AA7876" w:rsidRPr="00367C0B">
        <w:rPr>
          <w:lang w:val="en-US"/>
        </w:rPr>
        <w:t>Sea level change</w:t>
      </w:r>
      <w:r w:rsidR="003B2DB6" w:rsidRPr="00367C0B">
        <w:rPr>
          <w:lang w:val="en-US"/>
        </w:rPr>
        <w:t xml:space="preserve"> is a particularly important climate risk as </w:t>
      </w:r>
      <w:r w:rsidR="003557C2" w:rsidRPr="00367C0B">
        <w:rPr>
          <w:lang w:val="en-US"/>
        </w:rPr>
        <w:t xml:space="preserve">the Caspian Sea </w:t>
      </w:r>
      <w:r w:rsidR="00187D98">
        <w:rPr>
          <w:lang w:val="en-US"/>
        </w:rPr>
        <w:t>l</w:t>
      </w:r>
      <w:r w:rsidR="003557C2" w:rsidRPr="00367C0B">
        <w:rPr>
          <w:lang w:val="en-US"/>
        </w:rPr>
        <w:t xml:space="preserve">evel has currently a </w:t>
      </w:r>
      <w:r w:rsidR="00D06C91" w:rsidRPr="00367C0B">
        <w:rPr>
          <w:lang w:val="en-US"/>
        </w:rPr>
        <w:t>decreasing</w:t>
      </w:r>
      <w:r w:rsidR="003557C2" w:rsidRPr="00367C0B">
        <w:rPr>
          <w:lang w:val="en-US"/>
        </w:rPr>
        <w:t xml:space="preserve"> trend and is threatening </w:t>
      </w:r>
      <w:r w:rsidR="00D06C91" w:rsidRPr="00367C0B">
        <w:rPr>
          <w:lang w:val="en-US"/>
        </w:rPr>
        <w:t xml:space="preserve">economic activity around the </w:t>
      </w:r>
      <w:r w:rsidR="0029330A" w:rsidRPr="00367C0B">
        <w:rPr>
          <w:lang w:val="en-US"/>
        </w:rPr>
        <w:t>basin</w:t>
      </w:r>
      <w:r w:rsidR="00D06C91" w:rsidRPr="00367C0B">
        <w:rPr>
          <w:lang w:val="en-US"/>
        </w:rPr>
        <w:t xml:space="preserve">. </w:t>
      </w:r>
    </w:p>
    <w:p w14:paraId="3DC01130" w14:textId="77777777" w:rsidR="00EB2230" w:rsidRPr="00367C0B" w:rsidRDefault="00EB2230" w:rsidP="00B65D26">
      <w:pPr>
        <w:rPr>
          <w:lang w:val="en-US"/>
        </w:rPr>
      </w:pPr>
    </w:p>
    <w:p w14:paraId="112DBFB6" w14:textId="77777777" w:rsidR="002A1E48" w:rsidRDefault="002A1E48" w:rsidP="00B65D26">
      <w:pPr>
        <w:rPr>
          <w:lang w:val="en-US"/>
        </w:rPr>
      </w:pPr>
    </w:p>
    <w:p w14:paraId="680F30C6" w14:textId="50B14BE6" w:rsidR="00301C15" w:rsidRDefault="00301C15" w:rsidP="00830A76">
      <w:pPr>
        <w:pStyle w:val="Titre3"/>
        <w:numPr>
          <w:ilvl w:val="0"/>
          <w:numId w:val="8"/>
        </w:numPr>
        <w:rPr>
          <w:lang w:val="en-US"/>
        </w:rPr>
      </w:pPr>
      <w:r>
        <w:rPr>
          <w:lang w:val="en-US"/>
        </w:rPr>
        <w:t>Limitations</w:t>
      </w:r>
    </w:p>
    <w:p w14:paraId="3F402193" w14:textId="77777777" w:rsidR="00E46476" w:rsidRPr="00360BAB" w:rsidRDefault="00E46476" w:rsidP="00830A76">
      <w:pPr>
        <w:pStyle w:val="EYHeading3"/>
        <w:numPr>
          <w:ilvl w:val="0"/>
          <w:numId w:val="0"/>
        </w:numPr>
      </w:pPr>
      <w:r>
        <w:t>Restrictions on report use</w:t>
      </w:r>
    </w:p>
    <w:p w14:paraId="1A54C84A" w14:textId="4C0837E4" w:rsidR="00E46476" w:rsidRPr="00830A76" w:rsidRDefault="00E46476" w:rsidP="00E46476">
      <w:pPr>
        <w:rPr>
          <w:lang w:val="en-US"/>
        </w:rPr>
      </w:pPr>
      <w:r w:rsidRPr="00830A76">
        <w:rPr>
          <w:lang w:val="en-US"/>
        </w:rPr>
        <w:t xml:space="preserve">This report may be relied upon by </w:t>
      </w:r>
      <w:r w:rsidR="00A721C8">
        <w:rPr>
          <w:lang w:val="en-US"/>
        </w:rPr>
        <w:t>the EBRD</w:t>
      </w:r>
      <w:r w:rsidRPr="00830A76">
        <w:rPr>
          <w:lang w:val="en-US"/>
        </w:rPr>
        <w:t xml:space="preserve"> pursuant to the engagement agreement with EY. It should not be relied upon for any other purpose. </w:t>
      </w:r>
    </w:p>
    <w:p w14:paraId="7A359F96" w14:textId="1A2E4397" w:rsidR="00E46476" w:rsidRPr="00830A76" w:rsidRDefault="00E46476" w:rsidP="00E46476">
      <w:pPr>
        <w:rPr>
          <w:lang w:val="en-US"/>
        </w:rPr>
      </w:pPr>
      <w:r w:rsidRPr="00830A76">
        <w:rPr>
          <w:lang w:val="en-US"/>
        </w:rPr>
        <w:t>EY disclaims all liability to any party other than</w:t>
      </w:r>
      <w:r w:rsidR="00A721C8">
        <w:rPr>
          <w:lang w:val="en-US"/>
        </w:rPr>
        <w:t xml:space="preserve"> the EBRD</w:t>
      </w:r>
      <w:r w:rsidRPr="00830A76">
        <w:rPr>
          <w:lang w:val="en-US"/>
        </w:rPr>
        <w:t xml:space="preserve"> for all costs, loss, damage and liability that the third party may suffer or incur arising from or relating to or in any way connected with the provision of the deliverables to the third party without our prior written consent. If others choose to rely in any way on the confirmation they do so entirely at their own risk. If </w:t>
      </w:r>
      <w:r w:rsidR="00A721C8">
        <w:rPr>
          <w:lang w:val="en-US"/>
        </w:rPr>
        <w:t>the EBRD</w:t>
      </w:r>
      <w:r w:rsidRPr="00830A76">
        <w:rPr>
          <w:lang w:val="en-US"/>
        </w:rPr>
        <w:t xml:space="preserve"> wishes to provide copies of our report to a third party, then our prior written consent must be obtained.</w:t>
      </w:r>
    </w:p>
    <w:p w14:paraId="003F88C4" w14:textId="77777777" w:rsidR="00E46476" w:rsidRPr="00830A76" w:rsidRDefault="00E46476" w:rsidP="00E46476">
      <w:pPr>
        <w:rPr>
          <w:lang w:val="en-US"/>
        </w:rPr>
      </w:pPr>
    </w:p>
    <w:p w14:paraId="206E78CF" w14:textId="77777777" w:rsidR="00E46476" w:rsidRPr="00360BAB" w:rsidRDefault="00E46476" w:rsidP="00830A76">
      <w:pPr>
        <w:pStyle w:val="EYHeading3"/>
        <w:numPr>
          <w:ilvl w:val="0"/>
          <w:numId w:val="0"/>
        </w:numPr>
      </w:pPr>
      <w:r>
        <w:lastRenderedPageBreak/>
        <w:t>Basis of our work</w:t>
      </w:r>
    </w:p>
    <w:p w14:paraId="491D5A1E" w14:textId="5753EEAF" w:rsidR="00E46476" w:rsidRPr="00830A76" w:rsidRDefault="00E46476" w:rsidP="00E46476">
      <w:pPr>
        <w:rPr>
          <w:lang w:val="en-US"/>
        </w:rPr>
      </w:pPr>
      <w:r w:rsidRPr="00830A76">
        <w:rPr>
          <w:lang w:val="en-US"/>
        </w:rPr>
        <w:t xml:space="preserve">EY has performed research and analysis using information and data made available by </w:t>
      </w:r>
      <w:r w:rsidR="00A721C8" w:rsidRPr="00830A76">
        <w:rPr>
          <w:lang w:val="en-US"/>
        </w:rPr>
        <w:t xml:space="preserve">the EBRD and </w:t>
      </w:r>
      <w:r w:rsidRPr="00830A76">
        <w:rPr>
          <w:lang w:val="en-US"/>
        </w:rPr>
        <w:t>ASCO and information and data from a range of publicly available documents and reports.</w:t>
      </w:r>
    </w:p>
    <w:p w14:paraId="3D4BA319" w14:textId="77777777" w:rsidR="00E46476" w:rsidRDefault="00E46476" w:rsidP="00E46476">
      <w:pPr>
        <w:rPr>
          <w:lang w:val="en-US"/>
        </w:rPr>
      </w:pPr>
      <w:r w:rsidRPr="00830A76">
        <w:rPr>
          <w:lang w:val="en-US"/>
        </w:rPr>
        <w:t>We have not independently verified, or accept any responsibility or liability for independently verifying, any such information nor do we make any representation as to the accuracy or completeness of the information. We accept no liability for any loss or damage, which may result from your reliance on any research, analyses or information so supplied.</w:t>
      </w:r>
    </w:p>
    <w:p w14:paraId="264AD7B3" w14:textId="77777777" w:rsidR="00B4034F" w:rsidRPr="00A00C6C" w:rsidRDefault="00B4034F" w:rsidP="00B4034F">
      <w:pPr>
        <w:rPr>
          <w:lang w:val="en-US"/>
        </w:rPr>
      </w:pPr>
      <w:r w:rsidRPr="00A00C6C">
        <w:rPr>
          <w:lang w:val="en-US"/>
        </w:rPr>
        <w:t>Any commercial decisions taken by the EBRD and ASCO are not within the scope of our duty of care and in making such decisions you should take into account the limitations of the scope of our work and other factors, commercial and otherwise, of which you should be aware of from the sources other than our work.</w:t>
      </w:r>
    </w:p>
    <w:p w14:paraId="2EBB00BA" w14:textId="49E53846" w:rsidR="000E2C71" w:rsidRDefault="000E2C71" w:rsidP="00E46476">
      <w:pPr>
        <w:rPr>
          <w:rFonts w:cs="Arial"/>
          <w:lang w:val="en-US"/>
        </w:rPr>
      </w:pPr>
      <w:r>
        <w:rPr>
          <w:lang w:val="en-US"/>
        </w:rPr>
        <w:t xml:space="preserve">The client’s </w:t>
      </w:r>
      <w:r w:rsidRPr="00265926">
        <w:rPr>
          <w:rFonts w:cs="Arial"/>
          <w:lang w:val="en-US"/>
        </w:rPr>
        <w:t>management shall be fully and solely responsible for applying independent business judgment with respect to the services and work products provided by us, to make implementation decisions, if any, and to determine further courses of action with respect to any matters addressed in any advice, recommendations, services, reports or other work products or deliverables.</w:t>
      </w:r>
    </w:p>
    <w:p w14:paraId="103F7F56" w14:textId="6F04B1C6" w:rsidR="00F21974" w:rsidRPr="00830A76" w:rsidRDefault="00F21974" w:rsidP="00E46476">
      <w:pPr>
        <w:rPr>
          <w:lang w:val="en-US"/>
        </w:rPr>
      </w:pPr>
      <w:r w:rsidRPr="00265926">
        <w:rPr>
          <w:rFonts w:cs="Arial"/>
          <w:lang w:val="en-US"/>
        </w:rPr>
        <w:t>The nature and content of any advice we provided have necessarily reflected the specific scope and limitations of our engagement, the amount and accuracy of information provided to us and the timescale within which the advice was required.</w:t>
      </w:r>
    </w:p>
    <w:p w14:paraId="19BCDB8A" w14:textId="77777777" w:rsidR="00E46476" w:rsidRPr="00830A76" w:rsidRDefault="00E46476" w:rsidP="00E46476">
      <w:pPr>
        <w:rPr>
          <w:b/>
          <w:color w:val="808080"/>
          <w:sz w:val="32"/>
          <w:lang w:val="en-US"/>
        </w:rPr>
      </w:pPr>
      <w:r w:rsidRPr="00830A76">
        <w:rPr>
          <w:b/>
          <w:color w:val="808080"/>
          <w:sz w:val="32"/>
          <w:lang w:val="en-US"/>
        </w:rPr>
        <w:br w:type="page"/>
      </w:r>
    </w:p>
    <w:p w14:paraId="0E77630F" w14:textId="6FCE098A" w:rsidR="002A1E48" w:rsidRPr="00522B4D" w:rsidRDefault="002A1E48" w:rsidP="00B65D26">
      <w:pPr>
        <w:rPr>
          <w:lang w:val="en-US"/>
        </w:rPr>
        <w:sectPr w:rsidR="002A1E48" w:rsidRPr="00522B4D" w:rsidSect="001A0563">
          <w:headerReference w:type="default" r:id="rId16"/>
          <w:footerReference w:type="default" r:id="rId17"/>
          <w:pgSz w:w="11906" w:h="16838"/>
          <w:pgMar w:top="1417" w:right="1417" w:bottom="1417" w:left="1417" w:header="708" w:footer="397" w:gutter="0"/>
          <w:cols w:space="708"/>
          <w:docGrid w:linePitch="360"/>
        </w:sectPr>
      </w:pPr>
    </w:p>
    <w:p w14:paraId="2E79B758" w14:textId="64D96E07" w:rsidR="00F1010F" w:rsidRPr="000C1615" w:rsidRDefault="00085A4C" w:rsidP="00AA0497">
      <w:pPr>
        <w:pStyle w:val="Titre2"/>
        <w:numPr>
          <w:ilvl w:val="0"/>
          <w:numId w:val="7"/>
        </w:numPr>
        <w:rPr>
          <w:lang w:val="en-US"/>
        </w:rPr>
      </w:pPr>
      <w:bookmarkStart w:id="25" w:name="_Toc183015095"/>
      <w:r w:rsidRPr="000C1615">
        <w:rPr>
          <w:lang w:val="en-US"/>
        </w:rPr>
        <w:lastRenderedPageBreak/>
        <w:t xml:space="preserve">Physical climate-related risks universe for </w:t>
      </w:r>
      <w:r w:rsidR="002B2369">
        <w:rPr>
          <w:lang w:val="en-US"/>
        </w:rPr>
        <w:t>ASCO</w:t>
      </w:r>
      <w:bookmarkEnd w:id="25"/>
      <w:r w:rsidRPr="000C1615">
        <w:rPr>
          <w:lang w:val="en-US"/>
        </w:rPr>
        <w:t xml:space="preserve"> </w:t>
      </w:r>
    </w:p>
    <w:p w14:paraId="35CFE6A0" w14:textId="77777777" w:rsidR="00F1010F" w:rsidRPr="00FC75FA" w:rsidRDefault="00F1010F" w:rsidP="00F1010F">
      <w:pPr>
        <w:pStyle w:val="Soussoustitre"/>
        <w:numPr>
          <w:ilvl w:val="0"/>
          <w:numId w:val="0"/>
        </w:numPr>
        <w:ind w:left="1800" w:hanging="720"/>
        <w:rPr>
          <w:rFonts w:eastAsia="Calibri" w:cs="Arial"/>
          <w:smallCaps/>
          <w:color w:val="auto"/>
          <w:sz w:val="18"/>
          <w:szCs w:val="18"/>
        </w:rPr>
      </w:pPr>
    </w:p>
    <w:p w14:paraId="3C137412" w14:textId="77F31635" w:rsidR="002A1E48" w:rsidRPr="0094119F" w:rsidRDefault="0094119F" w:rsidP="00F91719">
      <w:pPr>
        <w:pStyle w:val="Lgende"/>
      </w:pPr>
      <w:r w:rsidRPr="0094119F">
        <w:t xml:space="preserve">Table </w:t>
      </w:r>
      <w:r>
        <w:fldChar w:fldCharType="begin"/>
      </w:r>
      <w:r>
        <w:instrText xml:space="preserve"> SEQ Table \* ARABIC </w:instrText>
      </w:r>
      <w:r>
        <w:fldChar w:fldCharType="separate"/>
      </w:r>
      <w:r w:rsidR="009B31C6">
        <w:rPr>
          <w:noProof/>
        </w:rPr>
        <w:t>2</w:t>
      </w:r>
      <w:r>
        <w:fldChar w:fldCharType="end"/>
      </w:r>
      <w:r w:rsidRPr="0094119F">
        <w:t>: List of indicators relevant for the climate change analysis</w:t>
      </w:r>
    </w:p>
    <w:tbl>
      <w:tblPr>
        <w:tblW w:w="1346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1643"/>
        <w:gridCol w:w="2070"/>
        <w:gridCol w:w="1284"/>
        <w:gridCol w:w="3149"/>
        <w:gridCol w:w="797"/>
        <w:gridCol w:w="4518"/>
      </w:tblGrid>
      <w:tr w:rsidR="00DA06C5" w:rsidRPr="00367C0B" w14:paraId="6907EF1E" w14:textId="77777777" w:rsidTr="00215277">
        <w:trPr>
          <w:trHeight w:val="433"/>
        </w:trPr>
        <w:tc>
          <w:tcPr>
            <w:tcW w:w="1643" w:type="dxa"/>
            <w:shd w:val="clear" w:color="auto" w:fill="6AADE4"/>
            <w:tcMar>
              <w:top w:w="15" w:type="dxa"/>
              <w:left w:w="15" w:type="dxa"/>
              <w:bottom w:w="0" w:type="dxa"/>
              <w:right w:w="15" w:type="dxa"/>
            </w:tcMar>
            <w:vAlign w:val="center"/>
            <w:hideMark/>
          </w:tcPr>
          <w:p w14:paraId="51589F98" w14:textId="77777777" w:rsidR="002A1E48" w:rsidRPr="00367C0B" w:rsidRDefault="002A1E48" w:rsidP="004770D4">
            <w:pPr>
              <w:spacing w:after="0" w:line="240" w:lineRule="auto"/>
              <w:jc w:val="center"/>
              <w:rPr>
                <w:rFonts w:eastAsiaTheme="minorEastAsia" w:cs="Arial"/>
                <w:b/>
                <w:sz w:val="20"/>
                <w:szCs w:val="20"/>
                <w:lang w:val="en-US"/>
              </w:rPr>
            </w:pPr>
            <w:r w:rsidRPr="00FC75FA">
              <w:rPr>
                <w:rFonts w:eastAsiaTheme="minorEastAsia" w:cs="Arial"/>
                <w:b/>
                <w:sz w:val="20"/>
                <w:szCs w:val="20"/>
                <w:lang w:val="en-US"/>
              </w:rPr>
              <w:t>Peril</w:t>
            </w:r>
          </w:p>
        </w:tc>
        <w:tc>
          <w:tcPr>
            <w:tcW w:w="2070" w:type="dxa"/>
            <w:shd w:val="clear" w:color="auto" w:fill="6AADE4"/>
            <w:tcMar>
              <w:top w:w="15" w:type="dxa"/>
              <w:left w:w="15" w:type="dxa"/>
              <w:bottom w:w="0" w:type="dxa"/>
              <w:right w:w="15" w:type="dxa"/>
            </w:tcMar>
            <w:vAlign w:val="center"/>
            <w:hideMark/>
          </w:tcPr>
          <w:p w14:paraId="4FEF67E1" w14:textId="77777777" w:rsidR="002A1E48" w:rsidRPr="00367C0B" w:rsidRDefault="002A1E48" w:rsidP="004770D4">
            <w:pPr>
              <w:spacing w:after="0" w:line="240" w:lineRule="auto"/>
              <w:jc w:val="center"/>
              <w:rPr>
                <w:rFonts w:eastAsiaTheme="minorEastAsia" w:cs="Arial"/>
                <w:b/>
                <w:sz w:val="20"/>
                <w:szCs w:val="20"/>
                <w:lang w:val="en-US"/>
              </w:rPr>
            </w:pPr>
            <w:proofErr w:type="spellStart"/>
            <w:r w:rsidRPr="00FC75FA">
              <w:rPr>
                <w:rFonts w:eastAsiaTheme="minorEastAsia" w:cs="Arial"/>
                <w:b/>
                <w:sz w:val="20"/>
                <w:szCs w:val="20"/>
                <w:lang w:val="en-US"/>
              </w:rPr>
              <w:t>Subperil</w:t>
            </w:r>
            <w:proofErr w:type="spellEnd"/>
          </w:p>
        </w:tc>
        <w:tc>
          <w:tcPr>
            <w:tcW w:w="1284" w:type="dxa"/>
            <w:shd w:val="clear" w:color="auto" w:fill="6AADE4"/>
            <w:tcMar>
              <w:top w:w="15" w:type="dxa"/>
              <w:left w:w="15" w:type="dxa"/>
              <w:bottom w:w="0" w:type="dxa"/>
              <w:right w:w="15" w:type="dxa"/>
            </w:tcMar>
            <w:vAlign w:val="center"/>
            <w:hideMark/>
          </w:tcPr>
          <w:p w14:paraId="2E70FE87" w14:textId="77777777" w:rsidR="002A1E48" w:rsidRPr="00367C0B" w:rsidRDefault="002A1E48" w:rsidP="004770D4">
            <w:pPr>
              <w:spacing w:after="0" w:line="240" w:lineRule="auto"/>
              <w:jc w:val="center"/>
              <w:rPr>
                <w:rFonts w:eastAsiaTheme="minorEastAsia" w:cs="Arial"/>
                <w:b/>
                <w:sz w:val="20"/>
                <w:szCs w:val="20"/>
                <w:lang w:val="en-US"/>
              </w:rPr>
            </w:pPr>
            <w:r w:rsidRPr="00FC75FA">
              <w:rPr>
                <w:rFonts w:eastAsiaTheme="minorEastAsia" w:cs="Arial"/>
                <w:b/>
                <w:sz w:val="20"/>
                <w:szCs w:val="20"/>
                <w:lang w:val="en-US"/>
              </w:rPr>
              <w:t>Hazard type</w:t>
            </w:r>
          </w:p>
        </w:tc>
        <w:tc>
          <w:tcPr>
            <w:tcW w:w="3149" w:type="dxa"/>
            <w:shd w:val="clear" w:color="auto" w:fill="6AADE4"/>
            <w:tcMar>
              <w:top w:w="15" w:type="dxa"/>
              <w:left w:w="15" w:type="dxa"/>
              <w:bottom w:w="0" w:type="dxa"/>
              <w:right w:w="15" w:type="dxa"/>
            </w:tcMar>
            <w:vAlign w:val="center"/>
            <w:hideMark/>
          </w:tcPr>
          <w:p w14:paraId="3FE14813" w14:textId="77777777" w:rsidR="002A1E48" w:rsidRPr="00367C0B" w:rsidRDefault="002A1E48" w:rsidP="004770D4">
            <w:pPr>
              <w:spacing w:after="0" w:line="240" w:lineRule="auto"/>
              <w:jc w:val="center"/>
              <w:rPr>
                <w:rFonts w:eastAsiaTheme="minorEastAsia" w:cs="Arial"/>
                <w:b/>
                <w:sz w:val="20"/>
                <w:szCs w:val="20"/>
                <w:lang w:val="en-US"/>
              </w:rPr>
            </w:pPr>
            <w:r w:rsidRPr="00FC75FA">
              <w:rPr>
                <w:rFonts w:eastAsiaTheme="minorEastAsia" w:cs="Arial"/>
                <w:b/>
                <w:sz w:val="20"/>
                <w:szCs w:val="20"/>
                <w:lang w:val="en-US"/>
              </w:rPr>
              <w:t>Indicator Long Name</w:t>
            </w:r>
          </w:p>
        </w:tc>
        <w:tc>
          <w:tcPr>
            <w:tcW w:w="797" w:type="dxa"/>
            <w:shd w:val="clear" w:color="auto" w:fill="6AADE4"/>
            <w:tcMar>
              <w:top w:w="15" w:type="dxa"/>
              <w:left w:w="15" w:type="dxa"/>
              <w:bottom w:w="0" w:type="dxa"/>
              <w:right w:w="15" w:type="dxa"/>
            </w:tcMar>
            <w:vAlign w:val="center"/>
            <w:hideMark/>
          </w:tcPr>
          <w:p w14:paraId="4096E23C" w14:textId="77777777" w:rsidR="002A1E48" w:rsidRPr="00367C0B" w:rsidRDefault="002A1E48" w:rsidP="004770D4">
            <w:pPr>
              <w:spacing w:after="0" w:line="240" w:lineRule="auto"/>
              <w:jc w:val="center"/>
              <w:rPr>
                <w:rFonts w:eastAsiaTheme="minorEastAsia" w:cs="Arial"/>
                <w:b/>
                <w:sz w:val="20"/>
                <w:szCs w:val="20"/>
                <w:lang w:val="en-US"/>
              </w:rPr>
            </w:pPr>
            <w:r w:rsidRPr="00FC75FA">
              <w:rPr>
                <w:rFonts w:eastAsiaTheme="minorEastAsia" w:cs="Arial"/>
                <w:b/>
                <w:sz w:val="20"/>
                <w:szCs w:val="20"/>
                <w:lang w:val="en-US"/>
              </w:rPr>
              <w:t>Unit</w:t>
            </w:r>
          </w:p>
        </w:tc>
        <w:tc>
          <w:tcPr>
            <w:tcW w:w="4518" w:type="dxa"/>
            <w:shd w:val="clear" w:color="auto" w:fill="6AADE4"/>
            <w:tcMar>
              <w:top w:w="15" w:type="dxa"/>
              <w:left w:w="15" w:type="dxa"/>
              <w:bottom w:w="0" w:type="dxa"/>
              <w:right w:w="15" w:type="dxa"/>
            </w:tcMar>
            <w:vAlign w:val="center"/>
            <w:hideMark/>
          </w:tcPr>
          <w:p w14:paraId="7771EFC2" w14:textId="77777777" w:rsidR="002A1E48" w:rsidRPr="00367C0B" w:rsidRDefault="002A1E48" w:rsidP="004770D4">
            <w:pPr>
              <w:spacing w:after="0" w:line="240" w:lineRule="auto"/>
              <w:jc w:val="center"/>
              <w:rPr>
                <w:rFonts w:eastAsiaTheme="minorEastAsia" w:cs="Arial"/>
                <w:b/>
                <w:sz w:val="20"/>
                <w:szCs w:val="20"/>
                <w:lang w:val="en-US"/>
              </w:rPr>
            </w:pPr>
            <w:r w:rsidRPr="00FC75FA">
              <w:rPr>
                <w:rFonts w:eastAsiaTheme="minorEastAsia" w:cs="Arial"/>
                <w:b/>
                <w:sz w:val="20"/>
                <w:szCs w:val="20"/>
                <w:lang w:val="en-US"/>
              </w:rPr>
              <w:t>Description</w:t>
            </w:r>
          </w:p>
        </w:tc>
      </w:tr>
      <w:tr w:rsidR="00203F10" w:rsidRPr="00FA7359" w14:paraId="741DD38E" w14:textId="77777777">
        <w:trPr>
          <w:trHeight w:val="404"/>
        </w:trPr>
        <w:tc>
          <w:tcPr>
            <w:tcW w:w="3713" w:type="dxa"/>
            <w:gridSpan w:val="2"/>
            <w:shd w:val="clear" w:color="auto" w:fill="auto"/>
            <w:tcMar>
              <w:top w:w="15" w:type="dxa"/>
              <w:left w:w="15" w:type="dxa"/>
              <w:bottom w:w="0" w:type="dxa"/>
              <w:right w:w="15" w:type="dxa"/>
            </w:tcMar>
            <w:vAlign w:val="center"/>
          </w:tcPr>
          <w:p w14:paraId="44EC1DA1" w14:textId="62E27708" w:rsidR="00203F10" w:rsidRPr="00AE506E" w:rsidRDefault="00203F10" w:rsidP="00203F10">
            <w:pPr>
              <w:spacing w:after="0" w:line="240" w:lineRule="auto"/>
              <w:jc w:val="center"/>
              <w:rPr>
                <w:rFonts w:eastAsiaTheme="minorEastAsia" w:cs="Arial"/>
                <w:b/>
                <w:sz w:val="20"/>
                <w:szCs w:val="20"/>
                <w:lang w:val="en-US"/>
              </w:rPr>
            </w:pPr>
            <w:r w:rsidRPr="00AE506E">
              <w:rPr>
                <w:rFonts w:eastAsiaTheme="minorEastAsia" w:cs="Arial"/>
                <w:b/>
                <w:sz w:val="20"/>
                <w:szCs w:val="20"/>
                <w:lang w:val="en-US"/>
              </w:rPr>
              <w:t>Sea level change</w:t>
            </w:r>
          </w:p>
        </w:tc>
        <w:tc>
          <w:tcPr>
            <w:tcW w:w="1284" w:type="dxa"/>
            <w:shd w:val="clear" w:color="auto" w:fill="auto"/>
            <w:tcMar>
              <w:top w:w="10" w:type="dxa"/>
              <w:left w:w="10" w:type="dxa"/>
              <w:bottom w:w="0" w:type="dxa"/>
              <w:right w:w="10" w:type="dxa"/>
            </w:tcMar>
            <w:vAlign w:val="center"/>
          </w:tcPr>
          <w:p w14:paraId="31397218" w14:textId="653EBEB1" w:rsidR="00203F10" w:rsidRPr="00203F10" w:rsidRDefault="00203F10" w:rsidP="00203F10">
            <w:pPr>
              <w:spacing w:after="0" w:line="240" w:lineRule="auto"/>
              <w:jc w:val="center"/>
              <w:rPr>
                <w:rFonts w:eastAsiaTheme="minorEastAsia" w:cs="Arial"/>
                <w:sz w:val="20"/>
                <w:szCs w:val="20"/>
                <w:lang w:val="en-US"/>
              </w:rPr>
            </w:pPr>
            <w:r w:rsidRPr="00203F10">
              <w:rPr>
                <w:rFonts w:eastAsiaTheme="minorEastAsia" w:cs="Arial"/>
                <w:sz w:val="20"/>
                <w:szCs w:val="20"/>
                <w:lang w:val="en-US"/>
              </w:rPr>
              <w:t>Chronic</w:t>
            </w:r>
          </w:p>
        </w:tc>
        <w:tc>
          <w:tcPr>
            <w:tcW w:w="3149" w:type="dxa"/>
            <w:shd w:val="clear" w:color="auto" w:fill="auto"/>
            <w:tcMar>
              <w:top w:w="15" w:type="dxa"/>
              <w:left w:w="15" w:type="dxa"/>
              <w:bottom w:w="0" w:type="dxa"/>
              <w:right w:w="15" w:type="dxa"/>
            </w:tcMar>
            <w:vAlign w:val="center"/>
          </w:tcPr>
          <w:p w14:paraId="03DADCF0" w14:textId="332675F3" w:rsidR="00203F10" w:rsidRPr="00203F10" w:rsidRDefault="00203F10" w:rsidP="00203F10">
            <w:pPr>
              <w:spacing w:after="0" w:line="240" w:lineRule="auto"/>
              <w:rPr>
                <w:rFonts w:eastAsiaTheme="minorEastAsia" w:cs="Arial"/>
                <w:sz w:val="20"/>
                <w:szCs w:val="20"/>
                <w:lang w:val="en-US"/>
              </w:rPr>
            </w:pPr>
            <w:r w:rsidRPr="00203F10">
              <w:rPr>
                <w:rFonts w:eastAsiaTheme="minorEastAsia" w:cs="Arial"/>
                <w:sz w:val="20"/>
                <w:szCs w:val="20"/>
                <w:lang w:val="en-US"/>
              </w:rPr>
              <w:t>Sea level rise</w:t>
            </w:r>
          </w:p>
        </w:tc>
        <w:tc>
          <w:tcPr>
            <w:tcW w:w="797" w:type="dxa"/>
            <w:shd w:val="clear" w:color="auto" w:fill="auto"/>
            <w:tcMar>
              <w:top w:w="15" w:type="dxa"/>
              <w:left w:w="15" w:type="dxa"/>
              <w:bottom w:w="0" w:type="dxa"/>
              <w:right w:w="15" w:type="dxa"/>
            </w:tcMar>
            <w:vAlign w:val="center"/>
          </w:tcPr>
          <w:p w14:paraId="7E5A8AF9" w14:textId="02EE9A32" w:rsidR="00203F10" w:rsidRPr="00203F10" w:rsidRDefault="00203F10" w:rsidP="00203F10">
            <w:pPr>
              <w:spacing w:after="0" w:line="240" w:lineRule="auto"/>
              <w:jc w:val="center"/>
              <w:rPr>
                <w:rFonts w:eastAsiaTheme="minorEastAsia" w:cs="Arial"/>
                <w:sz w:val="20"/>
                <w:szCs w:val="20"/>
                <w:lang w:val="en-US"/>
              </w:rPr>
            </w:pPr>
            <w:r w:rsidRPr="00203F10">
              <w:rPr>
                <w:rFonts w:eastAsiaTheme="minorEastAsia" w:cs="Arial"/>
                <w:sz w:val="20"/>
                <w:szCs w:val="20"/>
                <w:lang w:val="en-US"/>
              </w:rPr>
              <w:t>m</w:t>
            </w:r>
          </w:p>
        </w:tc>
        <w:tc>
          <w:tcPr>
            <w:tcW w:w="4518" w:type="dxa"/>
            <w:shd w:val="clear" w:color="auto" w:fill="auto"/>
            <w:tcMar>
              <w:top w:w="15" w:type="dxa"/>
              <w:left w:w="15" w:type="dxa"/>
              <w:bottom w:w="0" w:type="dxa"/>
              <w:right w:w="15" w:type="dxa"/>
            </w:tcMar>
            <w:vAlign w:val="center"/>
          </w:tcPr>
          <w:p w14:paraId="72925D9A" w14:textId="69518EAF" w:rsidR="00203F10" w:rsidRPr="00203F10" w:rsidRDefault="00203F10" w:rsidP="00203F10">
            <w:pPr>
              <w:spacing w:after="0" w:line="240" w:lineRule="auto"/>
              <w:rPr>
                <w:rFonts w:eastAsiaTheme="minorEastAsia" w:cs="Arial"/>
                <w:sz w:val="20"/>
                <w:szCs w:val="20"/>
                <w:lang w:val="en-US"/>
              </w:rPr>
            </w:pPr>
            <w:r w:rsidRPr="00203F10">
              <w:rPr>
                <w:rFonts w:eastAsiaTheme="minorEastAsia" w:cs="Arial"/>
                <w:sz w:val="20"/>
                <w:szCs w:val="20"/>
                <w:lang w:val="en-US"/>
              </w:rPr>
              <w:t xml:space="preserve">Mean local sea level </w:t>
            </w:r>
            <w:r>
              <w:rPr>
                <w:rFonts w:eastAsiaTheme="minorEastAsia" w:cs="Arial"/>
                <w:sz w:val="20"/>
                <w:szCs w:val="20"/>
                <w:lang w:val="en-US"/>
              </w:rPr>
              <w:t>change</w:t>
            </w:r>
            <w:r w:rsidRPr="00203F10">
              <w:rPr>
                <w:rFonts w:eastAsiaTheme="minorEastAsia" w:cs="Arial"/>
                <w:sz w:val="20"/>
                <w:szCs w:val="20"/>
                <w:lang w:val="en-US"/>
              </w:rPr>
              <w:t xml:space="preserve"> compared to the reference period baseline</w:t>
            </w:r>
          </w:p>
        </w:tc>
      </w:tr>
      <w:tr w:rsidR="00203F10" w:rsidRPr="00FA7359" w14:paraId="674CFB6D" w14:textId="77777777" w:rsidTr="00215277">
        <w:trPr>
          <w:trHeight w:val="404"/>
        </w:trPr>
        <w:tc>
          <w:tcPr>
            <w:tcW w:w="1643" w:type="dxa"/>
            <w:vMerge w:val="restart"/>
            <w:shd w:val="clear" w:color="auto" w:fill="auto"/>
            <w:tcMar>
              <w:top w:w="15" w:type="dxa"/>
              <w:left w:w="15" w:type="dxa"/>
              <w:bottom w:w="0" w:type="dxa"/>
              <w:right w:w="15" w:type="dxa"/>
            </w:tcMar>
            <w:vAlign w:val="center"/>
            <w:hideMark/>
          </w:tcPr>
          <w:p w14:paraId="784CE7EC" w14:textId="77777777" w:rsidR="00203F10" w:rsidRPr="00367C0B" w:rsidRDefault="00203F10" w:rsidP="00203F10">
            <w:pPr>
              <w:spacing w:after="0" w:line="240" w:lineRule="auto"/>
              <w:jc w:val="center"/>
              <w:rPr>
                <w:rFonts w:eastAsiaTheme="minorEastAsia" w:cs="Arial"/>
                <w:b/>
                <w:sz w:val="20"/>
                <w:szCs w:val="20"/>
                <w:lang w:val="en-US"/>
              </w:rPr>
            </w:pPr>
            <w:r w:rsidRPr="00FC75FA">
              <w:rPr>
                <w:rFonts w:eastAsiaTheme="minorEastAsia" w:cs="Arial"/>
                <w:b/>
                <w:sz w:val="20"/>
                <w:szCs w:val="20"/>
                <w:lang w:val="en-US"/>
              </w:rPr>
              <w:t>Flood</w:t>
            </w:r>
          </w:p>
        </w:tc>
        <w:tc>
          <w:tcPr>
            <w:tcW w:w="2070" w:type="dxa"/>
            <w:shd w:val="clear" w:color="auto" w:fill="auto"/>
            <w:tcMar>
              <w:top w:w="15" w:type="dxa"/>
              <w:left w:w="15" w:type="dxa"/>
              <w:bottom w:w="0" w:type="dxa"/>
              <w:right w:w="15" w:type="dxa"/>
            </w:tcMar>
            <w:vAlign w:val="center"/>
            <w:hideMark/>
          </w:tcPr>
          <w:p w14:paraId="396A450B" w14:textId="77777777" w:rsidR="00203F10" w:rsidRPr="00367C0B" w:rsidRDefault="00203F10" w:rsidP="00203F10">
            <w:pPr>
              <w:spacing w:after="0" w:line="240" w:lineRule="auto"/>
              <w:jc w:val="center"/>
              <w:rPr>
                <w:rFonts w:eastAsiaTheme="minorEastAsia" w:cs="Arial"/>
                <w:sz w:val="20"/>
                <w:szCs w:val="20"/>
                <w:lang w:val="en-US"/>
              </w:rPr>
            </w:pPr>
            <w:r w:rsidRPr="00FC75FA">
              <w:rPr>
                <w:rFonts w:eastAsiaTheme="minorEastAsia" w:cs="Arial"/>
                <w:sz w:val="20"/>
                <w:szCs w:val="20"/>
                <w:lang w:val="en-US"/>
              </w:rPr>
              <w:t>Riverine flooding</w:t>
            </w:r>
          </w:p>
        </w:tc>
        <w:tc>
          <w:tcPr>
            <w:tcW w:w="1284" w:type="dxa"/>
            <w:shd w:val="clear" w:color="auto" w:fill="auto"/>
            <w:tcMar>
              <w:top w:w="10" w:type="dxa"/>
              <w:left w:w="10" w:type="dxa"/>
              <w:bottom w:w="0" w:type="dxa"/>
              <w:right w:w="10" w:type="dxa"/>
            </w:tcMar>
            <w:vAlign w:val="center"/>
            <w:hideMark/>
          </w:tcPr>
          <w:p w14:paraId="3CE777A9" w14:textId="77777777" w:rsidR="00203F10" w:rsidRPr="00367C0B" w:rsidRDefault="00203F10" w:rsidP="00203F10">
            <w:pPr>
              <w:spacing w:after="0" w:line="240" w:lineRule="auto"/>
              <w:jc w:val="center"/>
              <w:rPr>
                <w:rFonts w:eastAsiaTheme="minorEastAsia" w:cs="Arial"/>
                <w:sz w:val="20"/>
                <w:szCs w:val="20"/>
                <w:lang w:val="en-US"/>
              </w:rPr>
            </w:pPr>
            <w:r w:rsidRPr="00FC75FA">
              <w:rPr>
                <w:rFonts w:eastAsiaTheme="minorEastAsia" w:cs="Arial"/>
                <w:sz w:val="20"/>
                <w:szCs w:val="20"/>
                <w:lang w:val="en-US"/>
              </w:rPr>
              <w:t>Acute</w:t>
            </w:r>
          </w:p>
        </w:tc>
        <w:tc>
          <w:tcPr>
            <w:tcW w:w="3149" w:type="dxa"/>
            <w:shd w:val="clear" w:color="auto" w:fill="auto"/>
            <w:tcMar>
              <w:top w:w="15" w:type="dxa"/>
              <w:left w:w="15" w:type="dxa"/>
              <w:bottom w:w="0" w:type="dxa"/>
              <w:right w:w="15" w:type="dxa"/>
            </w:tcMar>
            <w:vAlign w:val="center"/>
            <w:hideMark/>
          </w:tcPr>
          <w:p w14:paraId="16E65EDF" w14:textId="1055C803" w:rsidR="00203F10" w:rsidRPr="00FC75FA" w:rsidRDefault="00952E5B" w:rsidP="00203F10">
            <w:pPr>
              <w:spacing w:after="0" w:line="240" w:lineRule="auto"/>
              <w:rPr>
                <w:rFonts w:eastAsiaTheme="minorEastAsia" w:cs="Arial"/>
                <w:sz w:val="20"/>
                <w:szCs w:val="20"/>
                <w:lang w:val="en-US"/>
              </w:rPr>
            </w:pPr>
            <w:r>
              <w:rPr>
                <w:rFonts w:eastAsiaTheme="minorEastAsia" w:cs="Arial"/>
                <w:sz w:val="20"/>
                <w:szCs w:val="20"/>
                <w:lang w:val="en-US"/>
              </w:rPr>
              <w:t>Fluvial</w:t>
            </w:r>
            <w:r w:rsidR="00203F10" w:rsidRPr="00FC75FA">
              <w:rPr>
                <w:rFonts w:eastAsiaTheme="minorEastAsia" w:cs="Arial"/>
                <w:sz w:val="20"/>
                <w:szCs w:val="20"/>
                <w:lang w:val="en-US"/>
              </w:rPr>
              <w:t xml:space="preserve"> flooding (100-year return period)</w:t>
            </w:r>
          </w:p>
        </w:tc>
        <w:tc>
          <w:tcPr>
            <w:tcW w:w="797" w:type="dxa"/>
            <w:shd w:val="clear" w:color="auto" w:fill="auto"/>
            <w:tcMar>
              <w:top w:w="15" w:type="dxa"/>
              <w:left w:w="15" w:type="dxa"/>
              <w:bottom w:w="0" w:type="dxa"/>
              <w:right w:w="15" w:type="dxa"/>
            </w:tcMar>
            <w:vAlign w:val="center"/>
            <w:hideMark/>
          </w:tcPr>
          <w:p w14:paraId="1ED247A3" w14:textId="77777777" w:rsidR="00203F10" w:rsidRPr="00367C0B" w:rsidRDefault="00203F10" w:rsidP="00203F10">
            <w:pPr>
              <w:spacing w:after="0" w:line="240" w:lineRule="auto"/>
              <w:jc w:val="center"/>
              <w:rPr>
                <w:rFonts w:eastAsiaTheme="minorEastAsia" w:cs="Arial"/>
                <w:sz w:val="20"/>
                <w:szCs w:val="20"/>
                <w:lang w:val="en-US"/>
              </w:rPr>
            </w:pPr>
            <w:r w:rsidRPr="00FC75FA">
              <w:rPr>
                <w:rFonts w:eastAsiaTheme="minorEastAsia" w:cs="Arial"/>
                <w:sz w:val="20"/>
                <w:szCs w:val="20"/>
                <w:lang w:val="en-US"/>
              </w:rPr>
              <w:t>m</w:t>
            </w:r>
          </w:p>
        </w:tc>
        <w:tc>
          <w:tcPr>
            <w:tcW w:w="4518" w:type="dxa"/>
            <w:shd w:val="clear" w:color="auto" w:fill="auto"/>
            <w:tcMar>
              <w:top w:w="15" w:type="dxa"/>
              <w:left w:w="15" w:type="dxa"/>
              <w:bottom w:w="0" w:type="dxa"/>
              <w:right w:w="15" w:type="dxa"/>
            </w:tcMar>
            <w:vAlign w:val="center"/>
            <w:hideMark/>
          </w:tcPr>
          <w:p w14:paraId="0412FBA7" w14:textId="77777777" w:rsidR="00203F10" w:rsidRPr="00FC75FA" w:rsidRDefault="00203F10" w:rsidP="00203F10">
            <w:pPr>
              <w:spacing w:after="0" w:line="240" w:lineRule="auto"/>
              <w:rPr>
                <w:rFonts w:eastAsiaTheme="minorEastAsia" w:cs="Arial"/>
                <w:sz w:val="20"/>
                <w:szCs w:val="20"/>
                <w:lang w:val="en-US"/>
              </w:rPr>
            </w:pPr>
            <w:r w:rsidRPr="00FC75FA">
              <w:rPr>
                <w:rFonts w:eastAsiaTheme="minorEastAsia" w:cs="Arial"/>
                <w:sz w:val="20"/>
                <w:szCs w:val="20"/>
                <w:lang w:val="en-US"/>
              </w:rPr>
              <w:t>Average riverine flooding elevation related to a 100-year frequency event</w:t>
            </w:r>
          </w:p>
        </w:tc>
      </w:tr>
      <w:tr w:rsidR="00CC6E5F" w:rsidRPr="00FA7359" w14:paraId="6DF83BAB" w14:textId="77777777" w:rsidTr="005C170C">
        <w:trPr>
          <w:trHeight w:val="404"/>
        </w:trPr>
        <w:tc>
          <w:tcPr>
            <w:tcW w:w="0" w:type="auto"/>
            <w:vMerge/>
            <w:vAlign w:val="center"/>
            <w:hideMark/>
          </w:tcPr>
          <w:p w14:paraId="0F566290" w14:textId="77777777" w:rsidR="00203F10" w:rsidRPr="00FC75FA" w:rsidRDefault="00203F10" w:rsidP="00203F10">
            <w:pPr>
              <w:spacing w:after="0" w:line="240" w:lineRule="auto"/>
              <w:jc w:val="center"/>
              <w:rPr>
                <w:rFonts w:eastAsiaTheme="minorEastAsia" w:cs="Arial"/>
                <w:b/>
                <w:sz w:val="20"/>
                <w:szCs w:val="20"/>
                <w:lang w:val="en-US"/>
              </w:rPr>
            </w:pPr>
          </w:p>
        </w:tc>
        <w:tc>
          <w:tcPr>
            <w:tcW w:w="2070" w:type="dxa"/>
            <w:shd w:val="clear" w:color="auto" w:fill="auto"/>
            <w:tcMar>
              <w:top w:w="15" w:type="dxa"/>
              <w:left w:w="15" w:type="dxa"/>
              <w:bottom w:w="0" w:type="dxa"/>
              <w:right w:w="15" w:type="dxa"/>
            </w:tcMar>
            <w:vAlign w:val="center"/>
            <w:hideMark/>
          </w:tcPr>
          <w:p w14:paraId="000FD940" w14:textId="77777777" w:rsidR="00203F10" w:rsidRPr="00367C0B" w:rsidRDefault="00203F10" w:rsidP="00203F10">
            <w:pPr>
              <w:spacing w:after="0" w:line="240" w:lineRule="auto"/>
              <w:jc w:val="center"/>
              <w:rPr>
                <w:rFonts w:eastAsiaTheme="minorEastAsia" w:cs="Arial"/>
                <w:sz w:val="20"/>
                <w:szCs w:val="20"/>
                <w:lang w:val="en-US"/>
              </w:rPr>
            </w:pPr>
            <w:r w:rsidRPr="00FC75FA">
              <w:rPr>
                <w:rFonts w:eastAsiaTheme="minorEastAsia" w:cs="Arial"/>
                <w:sz w:val="20"/>
                <w:szCs w:val="20"/>
                <w:lang w:val="en-US"/>
              </w:rPr>
              <w:t>Coastal flooding</w:t>
            </w:r>
          </w:p>
        </w:tc>
        <w:tc>
          <w:tcPr>
            <w:tcW w:w="1284" w:type="dxa"/>
            <w:shd w:val="clear" w:color="auto" w:fill="auto"/>
            <w:tcMar>
              <w:top w:w="10" w:type="dxa"/>
              <w:left w:w="10" w:type="dxa"/>
              <w:bottom w:w="0" w:type="dxa"/>
              <w:right w:w="10" w:type="dxa"/>
            </w:tcMar>
            <w:vAlign w:val="center"/>
            <w:hideMark/>
          </w:tcPr>
          <w:p w14:paraId="7B0E22CB" w14:textId="77777777" w:rsidR="00203F10" w:rsidRPr="00367C0B" w:rsidRDefault="00203F10" w:rsidP="00203F10">
            <w:pPr>
              <w:spacing w:after="0" w:line="240" w:lineRule="auto"/>
              <w:jc w:val="center"/>
              <w:rPr>
                <w:rFonts w:eastAsiaTheme="minorEastAsia" w:cs="Arial"/>
                <w:sz w:val="20"/>
                <w:szCs w:val="20"/>
                <w:lang w:val="en-US"/>
              </w:rPr>
            </w:pPr>
            <w:r w:rsidRPr="00FC75FA">
              <w:rPr>
                <w:rFonts w:eastAsiaTheme="minorEastAsia" w:cs="Arial"/>
                <w:sz w:val="20"/>
                <w:szCs w:val="20"/>
                <w:lang w:val="en-US"/>
              </w:rPr>
              <w:t>Acute</w:t>
            </w:r>
          </w:p>
        </w:tc>
        <w:tc>
          <w:tcPr>
            <w:tcW w:w="3149" w:type="dxa"/>
            <w:shd w:val="clear" w:color="auto" w:fill="auto"/>
            <w:tcMar>
              <w:top w:w="15" w:type="dxa"/>
              <w:left w:w="15" w:type="dxa"/>
              <w:bottom w:w="0" w:type="dxa"/>
              <w:right w:w="15" w:type="dxa"/>
            </w:tcMar>
            <w:vAlign w:val="center"/>
            <w:hideMark/>
          </w:tcPr>
          <w:p w14:paraId="6859CEF0" w14:textId="61FDE2EC" w:rsidR="00203F10" w:rsidRPr="00FC75FA" w:rsidRDefault="00952E5B" w:rsidP="00203F10">
            <w:pPr>
              <w:spacing w:after="0" w:line="240" w:lineRule="auto"/>
              <w:rPr>
                <w:rFonts w:eastAsiaTheme="minorEastAsia" w:cs="Arial"/>
                <w:sz w:val="20"/>
                <w:szCs w:val="20"/>
                <w:lang w:val="en-US"/>
              </w:rPr>
            </w:pPr>
            <w:r>
              <w:rPr>
                <w:rFonts w:eastAsiaTheme="minorEastAsia" w:cs="Arial"/>
                <w:sz w:val="20"/>
                <w:szCs w:val="20"/>
                <w:lang w:val="en-US"/>
              </w:rPr>
              <w:t>Tidal</w:t>
            </w:r>
            <w:r w:rsidR="00203F10" w:rsidRPr="00FC75FA">
              <w:rPr>
                <w:rFonts w:eastAsiaTheme="minorEastAsia" w:cs="Arial"/>
                <w:sz w:val="20"/>
                <w:szCs w:val="20"/>
                <w:lang w:val="en-US"/>
              </w:rPr>
              <w:t xml:space="preserve"> flooding (100-year return period)</w:t>
            </w:r>
          </w:p>
        </w:tc>
        <w:tc>
          <w:tcPr>
            <w:tcW w:w="797" w:type="dxa"/>
            <w:shd w:val="clear" w:color="auto" w:fill="auto"/>
            <w:tcMar>
              <w:top w:w="15" w:type="dxa"/>
              <w:left w:w="15" w:type="dxa"/>
              <w:bottom w:w="0" w:type="dxa"/>
              <w:right w:w="15" w:type="dxa"/>
            </w:tcMar>
            <w:vAlign w:val="center"/>
            <w:hideMark/>
          </w:tcPr>
          <w:p w14:paraId="5864CB24" w14:textId="77777777" w:rsidR="00203F10" w:rsidRPr="00367C0B" w:rsidRDefault="00203F10" w:rsidP="00203F10">
            <w:pPr>
              <w:spacing w:after="0" w:line="240" w:lineRule="auto"/>
              <w:jc w:val="center"/>
              <w:rPr>
                <w:rFonts w:eastAsiaTheme="minorEastAsia" w:cs="Arial"/>
                <w:sz w:val="20"/>
                <w:szCs w:val="20"/>
                <w:lang w:val="en-US"/>
              </w:rPr>
            </w:pPr>
            <w:r w:rsidRPr="00FC75FA">
              <w:rPr>
                <w:rFonts w:eastAsiaTheme="minorEastAsia" w:cs="Arial"/>
                <w:sz w:val="20"/>
                <w:szCs w:val="20"/>
                <w:lang w:val="en-US"/>
              </w:rPr>
              <w:t>m</w:t>
            </w:r>
          </w:p>
        </w:tc>
        <w:tc>
          <w:tcPr>
            <w:tcW w:w="4518" w:type="dxa"/>
            <w:shd w:val="clear" w:color="auto" w:fill="auto"/>
            <w:tcMar>
              <w:top w:w="15" w:type="dxa"/>
              <w:left w:w="15" w:type="dxa"/>
              <w:bottom w:w="0" w:type="dxa"/>
              <w:right w:w="15" w:type="dxa"/>
            </w:tcMar>
            <w:vAlign w:val="center"/>
            <w:hideMark/>
          </w:tcPr>
          <w:p w14:paraId="2DD20AE2" w14:textId="77777777" w:rsidR="00203F10" w:rsidRPr="00FC75FA" w:rsidRDefault="00203F10" w:rsidP="00203F10">
            <w:pPr>
              <w:spacing w:after="0" w:line="240" w:lineRule="auto"/>
              <w:rPr>
                <w:rFonts w:eastAsiaTheme="minorEastAsia" w:cs="Arial"/>
                <w:sz w:val="20"/>
                <w:szCs w:val="20"/>
                <w:lang w:val="en-US"/>
              </w:rPr>
            </w:pPr>
            <w:r w:rsidRPr="00FC75FA">
              <w:rPr>
                <w:rFonts w:eastAsiaTheme="minorEastAsia" w:cs="Arial"/>
                <w:sz w:val="20"/>
                <w:szCs w:val="20"/>
                <w:lang w:val="en-US"/>
              </w:rPr>
              <w:t>Average coastal flooding elevation related to a 100-year frequency event</w:t>
            </w:r>
          </w:p>
        </w:tc>
      </w:tr>
      <w:tr w:rsidR="00203F10" w:rsidRPr="00FA7359" w14:paraId="30A08E0E" w14:textId="77777777" w:rsidTr="00215277">
        <w:trPr>
          <w:trHeight w:val="311"/>
        </w:trPr>
        <w:tc>
          <w:tcPr>
            <w:tcW w:w="0" w:type="auto"/>
            <w:vMerge/>
            <w:vAlign w:val="center"/>
            <w:hideMark/>
          </w:tcPr>
          <w:p w14:paraId="6715F878" w14:textId="77777777" w:rsidR="00203F10" w:rsidRPr="00FC75FA" w:rsidRDefault="00203F10" w:rsidP="00203F10">
            <w:pPr>
              <w:spacing w:after="0" w:line="240" w:lineRule="auto"/>
              <w:jc w:val="center"/>
              <w:rPr>
                <w:rFonts w:eastAsiaTheme="minorEastAsia" w:cs="Arial"/>
                <w:b/>
                <w:sz w:val="20"/>
                <w:szCs w:val="20"/>
                <w:lang w:val="en-US"/>
              </w:rPr>
            </w:pPr>
          </w:p>
        </w:tc>
        <w:tc>
          <w:tcPr>
            <w:tcW w:w="2070" w:type="dxa"/>
            <w:shd w:val="clear" w:color="auto" w:fill="auto"/>
            <w:tcMar>
              <w:top w:w="15" w:type="dxa"/>
              <w:left w:w="15" w:type="dxa"/>
              <w:bottom w:w="0" w:type="dxa"/>
              <w:right w:w="15" w:type="dxa"/>
            </w:tcMar>
            <w:vAlign w:val="center"/>
            <w:hideMark/>
          </w:tcPr>
          <w:p w14:paraId="50E9FC6B" w14:textId="77777777" w:rsidR="00203F10" w:rsidRPr="00367C0B" w:rsidRDefault="00203F10" w:rsidP="00203F10">
            <w:pPr>
              <w:spacing w:after="0" w:line="240" w:lineRule="auto"/>
              <w:jc w:val="center"/>
              <w:rPr>
                <w:rFonts w:eastAsiaTheme="minorEastAsia" w:cs="Arial"/>
                <w:sz w:val="20"/>
                <w:szCs w:val="20"/>
                <w:lang w:val="en-US"/>
              </w:rPr>
            </w:pPr>
            <w:r w:rsidRPr="00FC75FA">
              <w:rPr>
                <w:rFonts w:eastAsiaTheme="minorEastAsia" w:cs="Arial"/>
                <w:sz w:val="20"/>
                <w:szCs w:val="20"/>
                <w:lang w:val="en-US"/>
              </w:rPr>
              <w:t>Surface water flooding</w:t>
            </w:r>
          </w:p>
        </w:tc>
        <w:tc>
          <w:tcPr>
            <w:tcW w:w="1284" w:type="dxa"/>
            <w:shd w:val="clear" w:color="auto" w:fill="auto"/>
            <w:tcMar>
              <w:top w:w="10" w:type="dxa"/>
              <w:left w:w="10" w:type="dxa"/>
              <w:bottom w:w="0" w:type="dxa"/>
              <w:right w:w="10" w:type="dxa"/>
            </w:tcMar>
            <w:vAlign w:val="center"/>
            <w:hideMark/>
          </w:tcPr>
          <w:p w14:paraId="3B857322" w14:textId="77777777" w:rsidR="00203F10" w:rsidRPr="00367C0B" w:rsidRDefault="00203F10" w:rsidP="00203F10">
            <w:pPr>
              <w:spacing w:after="0" w:line="240" w:lineRule="auto"/>
              <w:jc w:val="center"/>
              <w:rPr>
                <w:rFonts w:eastAsiaTheme="minorEastAsia" w:cs="Arial"/>
                <w:sz w:val="20"/>
                <w:szCs w:val="20"/>
                <w:lang w:val="en-US"/>
              </w:rPr>
            </w:pPr>
            <w:r w:rsidRPr="00FC75FA">
              <w:rPr>
                <w:rFonts w:eastAsiaTheme="minorEastAsia" w:cs="Arial"/>
                <w:sz w:val="20"/>
                <w:szCs w:val="20"/>
                <w:lang w:val="en-US"/>
              </w:rPr>
              <w:t>Acute</w:t>
            </w:r>
          </w:p>
        </w:tc>
        <w:tc>
          <w:tcPr>
            <w:tcW w:w="3149" w:type="dxa"/>
            <w:shd w:val="clear" w:color="auto" w:fill="auto"/>
            <w:tcMar>
              <w:top w:w="15" w:type="dxa"/>
              <w:left w:w="15" w:type="dxa"/>
              <w:bottom w:w="0" w:type="dxa"/>
              <w:right w:w="15" w:type="dxa"/>
            </w:tcMar>
            <w:vAlign w:val="center"/>
            <w:hideMark/>
          </w:tcPr>
          <w:p w14:paraId="099EA62A" w14:textId="77777777" w:rsidR="00203F10" w:rsidRPr="00FC75FA" w:rsidRDefault="00203F10" w:rsidP="00203F10">
            <w:pPr>
              <w:spacing w:after="0" w:line="240" w:lineRule="auto"/>
              <w:rPr>
                <w:rFonts w:eastAsiaTheme="minorEastAsia" w:cs="Arial"/>
                <w:sz w:val="20"/>
                <w:szCs w:val="20"/>
                <w:lang w:val="en-US"/>
              </w:rPr>
            </w:pPr>
            <w:r w:rsidRPr="00FC75FA">
              <w:rPr>
                <w:rFonts w:eastAsiaTheme="minorEastAsia" w:cs="Arial"/>
                <w:sz w:val="20"/>
                <w:szCs w:val="20"/>
                <w:lang w:val="en-US"/>
              </w:rPr>
              <w:t>Pluvial flooding (100-year return period)</w:t>
            </w:r>
          </w:p>
        </w:tc>
        <w:tc>
          <w:tcPr>
            <w:tcW w:w="797" w:type="dxa"/>
            <w:shd w:val="clear" w:color="auto" w:fill="auto"/>
            <w:tcMar>
              <w:top w:w="15" w:type="dxa"/>
              <w:left w:w="15" w:type="dxa"/>
              <w:bottom w:w="0" w:type="dxa"/>
              <w:right w:w="15" w:type="dxa"/>
            </w:tcMar>
            <w:vAlign w:val="center"/>
            <w:hideMark/>
          </w:tcPr>
          <w:p w14:paraId="26593F53" w14:textId="77777777" w:rsidR="00203F10" w:rsidRPr="00367C0B" w:rsidRDefault="00203F10" w:rsidP="00203F10">
            <w:pPr>
              <w:spacing w:after="0" w:line="240" w:lineRule="auto"/>
              <w:jc w:val="center"/>
              <w:rPr>
                <w:rFonts w:eastAsiaTheme="minorEastAsia" w:cs="Arial"/>
                <w:sz w:val="20"/>
                <w:szCs w:val="20"/>
                <w:lang w:val="en-US"/>
              </w:rPr>
            </w:pPr>
            <w:r w:rsidRPr="00FC75FA">
              <w:rPr>
                <w:rFonts w:eastAsiaTheme="minorEastAsia" w:cs="Arial"/>
                <w:sz w:val="20"/>
                <w:szCs w:val="20"/>
                <w:lang w:val="en-US"/>
              </w:rPr>
              <w:t>m</w:t>
            </w:r>
          </w:p>
        </w:tc>
        <w:tc>
          <w:tcPr>
            <w:tcW w:w="4518" w:type="dxa"/>
            <w:shd w:val="clear" w:color="auto" w:fill="auto"/>
            <w:tcMar>
              <w:top w:w="15" w:type="dxa"/>
              <w:left w:w="15" w:type="dxa"/>
              <w:bottom w:w="0" w:type="dxa"/>
              <w:right w:w="15" w:type="dxa"/>
            </w:tcMar>
            <w:vAlign w:val="center"/>
            <w:hideMark/>
          </w:tcPr>
          <w:p w14:paraId="48DF111E" w14:textId="77777777" w:rsidR="00203F10" w:rsidRPr="00FC75FA" w:rsidRDefault="00203F10" w:rsidP="00203F10">
            <w:pPr>
              <w:spacing w:after="0" w:line="240" w:lineRule="auto"/>
              <w:rPr>
                <w:rFonts w:eastAsiaTheme="minorEastAsia" w:cs="Arial"/>
                <w:sz w:val="20"/>
                <w:szCs w:val="20"/>
                <w:lang w:val="en-US"/>
              </w:rPr>
            </w:pPr>
            <w:r w:rsidRPr="00FC75FA">
              <w:rPr>
                <w:rFonts w:eastAsiaTheme="minorEastAsia" w:cs="Arial"/>
                <w:sz w:val="20"/>
                <w:szCs w:val="20"/>
                <w:lang w:val="en-US"/>
              </w:rPr>
              <w:t>Average pluvial flooding elevation related to a 100-year frequency event</w:t>
            </w:r>
          </w:p>
        </w:tc>
      </w:tr>
      <w:tr w:rsidR="00203F10" w:rsidRPr="00367C0B" w14:paraId="570904A4" w14:textId="77777777" w:rsidTr="00215277">
        <w:trPr>
          <w:trHeight w:val="404"/>
        </w:trPr>
        <w:tc>
          <w:tcPr>
            <w:tcW w:w="1643" w:type="dxa"/>
            <w:vMerge w:val="restart"/>
            <w:shd w:val="clear" w:color="auto" w:fill="auto"/>
            <w:tcMar>
              <w:top w:w="15" w:type="dxa"/>
              <w:left w:w="15" w:type="dxa"/>
              <w:bottom w:w="0" w:type="dxa"/>
              <w:right w:w="15" w:type="dxa"/>
            </w:tcMar>
            <w:vAlign w:val="center"/>
            <w:hideMark/>
          </w:tcPr>
          <w:p w14:paraId="65D2FBD8" w14:textId="6ADAE9E0" w:rsidR="00203F10" w:rsidRPr="00367C0B" w:rsidRDefault="00203F10" w:rsidP="00203F10">
            <w:pPr>
              <w:spacing w:after="0" w:line="240" w:lineRule="auto"/>
              <w:jc w:val="center"/>
              <w:rPr>
                <w:rFonts w:eastAsiaTheme="minorEastAsia" w:cs="Arial"/>
                <w:b/>
                <w:sz w:val="20"/>
                <w:szCs w:val="20"/>
                <w:lang w:val="en-US"/>
              </w:rPr>
            </w:pPr>
            <w:r>
              <w:rPr>
                <w:rFonts w:eastAsiaTheme="minorEastAsia" w:cs="Arial"/>
                <w:b/>
                <w:sz w:val="20"/>
                <w:szCs w:val="20"/>
                <w:lang w:val="en-US"/>
              </w:rPr>
              <w:t>Temperature</w:t>
            </w:r>
          </w:p>
        </w:tc>
        <w:tc>
          <w:tcPr>
            <w:tcW w:w="2070" w:type="dxa"/>
            <w:shd w:val="clear" w:color="auto" w:fill="auto"/>
            <w:tcMar>
              <w:top w:w="15" w:type="dxa"/>
              <w:left w:w="15" w:type="dxa"/>
              <w:bottom w:w="0" w:type="dxa"/>
              <w:right w:w="15" w:type="dxa"/>
            </w:tcMar>
            <w:vAlign w:val="center"/>
            <w:hideMark/>
          </w:tcPr>
          <w:p w14:paraId="6A1482BB" w14:textId="7DD669AC" w:rsidR="00203F10" w:rsidRPr="00367C0B" w:rsidRDefault="00203F10" w:rsidP="00203F10">
            <w:pPr>
              <w:spacing w:after="0" w:line="240" w:lineRule="auto"/>
              <w:jc w:val="center"/>
              <w:rPr>
                <w:rFonts w:eastAsiaTheme="minorEastAsia" w:cs="Arial"/>
                <w:sz w:val="20"/>
                <w:szCs w:val="20"/>
                <w:lang w:val="en-US"/>
              </w:rPr>
            </w:pPr>
            <w:r w:rsidRPr="00367C0B">
              <w:rPr>
                <w:rFonts w:eastAsiaTheme="minorEastAsia" w:cs="Arial"/>
                <w:sz w:val="20"/>
                <w:szCs w:val="20"/>
                <w:lang w:val="en-US"/>
              </w:rPr>
              <w:t>Average temperature</w:t>
            </w:r>
          </w:p>
        </w:tc>
        <w:tc>
          <w:tcPr>
            <w:tcW w:w="1284" w:type="dxa"/>
            <w:shd w:val="clear" w:color="auto" w:fill="auto"/>
            <w:tcMar>
              <w:top w:w="10" w:type="dxa"/>
              <w:left w:w="10" w:type="dxa"/>
              <w:bottom w:w="0" w:type="dxa"/>
              <w:right w:w="10" w:type="dxa"/>
            </w:tcMar>
            <w:vAlign w:val="center"/>
            <w:hideMark/>
          </w:tcPr>
          <w:p w14:paraId="2FE8240A" w14:textId="2E695E4A" w:rsidR="00203F10" w:rsidRPr="00367C0B" w:rsidRDefault="00203F10" w:rsidP="00203F10">
            <w:pPr>
              <w:spacing w:after="0" w:line="240" w:lineRule="auto"/>
              <w:jc w:val="center"/>
              <w:rPr>
                <w:rFonts w:eastAsiaTheme="minorEastAsia" w:cs="Arial"/>
                <w:sz w:val="20"/>
                <w:szCs w:val="20"/>
                <w:lang w:val="en-US"/>
              </w:rPr>
            </w:pPr>
            <w:r>
              <w:rPr>
                <w:rFonts w:eastAsiaTheme="minorEastAsia" w:cs="Arial"/>
                <w:sz w:val="20"/>
                <w:szCs w:val="20"/>
                <w:lang w:val="en-US"/>
              </w:rPr>
              <w:t>Chronic</w:t>
            </w:r>
          </w:p>
        </w:tc>
        <w:tc>
          <w:tcPr>
            <w:tcW w:w="3149" w:type="dxa"/>
            <w:shd w:val="clear" w:color="auto" w:fill="auto"/>
            <w:tcMar>
              <w:top w:w="15" w:type="dxa"/>
              <w:left w:w="15" w:type="dxa"/>
              <w:bottom w:w="0" w:type="dxa"/>
              <w:right w:w="15" w:type="dxa"/>
            </w:tcMar>
            <w:vAlign w:val="center"/>
            <w:hideMark/>
          </w:tcPr>
          <w:p w14:paraId="77BB60E1" w14:textId="3210E078" w:rsidR="00203F10" w:rsidRPr="00FC75FA" w:rsidRDefault="00203F10" w:rsidP="00203F10">
            <w:pPr>
              <w:spacing w:after="0" w:line="240" w:lineRule="auto"/>
              <w:rPr>
                <w:rFonts w:eastAsiaTheme="minorEastAsia" w:cs="Arial"/>
                <w:sz w:val="20"/>
                <w:szCs w:val="20"/>
                <w:lang w:val="en-US"/>
              </w:rPr>
            </w:pPr>
            <w:r>
              <w:rPr>
                <w:rFonts w:eastAsiaTheme="minorEastAsia" w:cs="Arial"/>
                <w:sz w:val="20"/>
                <w:szCs w:val="20"/>
                <w:lang w:val="en-US"/>
              </w:rPr>
              <w:t>Air surface temperature</w:t>
            </w:r>
          </w:p>
        </w:tc>
        <w:tc>
          <w:tcPr>
            <w:tcW w:w="797" w:type="dxa"/>
            <w:shd w:val="clear" w:color="auto" w:fill="auto"/>
            <w:tcMar>
              <w:top w:w="15" w:type="dxa"/>
              <w:left w:w="15" w:type="dxa"/>
              <w:bottom w:w="0" w:type="dxa"/>
              <w:right w:w="15" w:type="dxa"/>
            </w:tcMar>
            <w:vAlign w:val="center"/>
            <w:hideMark/>
          </w:tcPr>
          <w:p w14:paraId="6A80A25A" w14:textId="574D62F2" w:rsidR="00203F10" w:rsidRPr="00367C0B" w:rsidRDefault="00203F10" w:rsidP="00203F10">
            <w:pPr>
              <w:spacing w:after="0" w:line="240" w:lineRule="auto"/>
              <w:jc w:val="center"/>
              <w:rPr>
                <w:rFonts w:eastAsiaTheme="minorEastAsia" w:cs="Arial"/>
                <w:sz w:val="20"/>
                <w:szCs w:val="20"/>
                <w:lang w:val="en-US"/>
              </w:rPr>
            </w:pPr>
            <w:r w:rsidRPr="00367C0B">
              <w:rPr>
                <w:rFonts w:eastAsiaTheme="minorEastAsia" w:cs="Arial"/>
                <w:sz w:val="20"/>
                <w:szCs w:val="20"/>
                <w:lang w:val="en-US"/>
              </w:rPr>
              <w:t>°C</w:t>
            </w:r>
          </w:p>
        </w:tc>
        <w:tc>
          <w:tcPr>
            <w:tcW w:w="4518" w:type="dxa"/>
            <w:shd w:val="clear" w:color="auto" w:fill="auto"/>
            <w:tcMar>
              <w:top w:w="15" w:type="dxa"/>
              <w:left w:w="15" w:type="dxa"/>
              <w:bottom w:w="0" w:type="dxa"/>
              <w:right w:w="15" w:type="dxa"/>
            </w:tcMar>
            <w:vAlign w:val="center"/>
            <w:hideMark/>
          </w:tcPr>
          <w:p w14:paraId="63E15865" w14:textId="4901D8A5" w:rsidR="00203F10" w:rsidRPr="00FC75FA" w:rsidRDefault="00203F10" w:rsidP="00203F10">
            <w:pPr>
              <w:spacing w:after="0" w:line="240" w:lineRule="auto"/>
              <w:rPr>
                <w:rFonts w:eastAsiaTheme="minorEastAsia" w:cs="Arial"/>
                <w:sz w:val="20"/>
                <w:szCs w:val="20"/>
                <w:lang w:val="en-US"/>
              </w:rPr>
            </w:pPr>
            <w:r>
              <w:rPr>
                <w:rFonts w:eastAsiaTheme="minorEastAsia" w:cs="Arial"/>
                <w:sz w:val="20"/>
                <w:szCs w:val="20"/>
                <w:lang w:val="en-US"/>
              </w:rPr>
              <w:t>Air surface temperature</w:t>
            </w:r>
          </w:p>
        </w:tc>
      </w:tr>
      <w:tr w:rsidR="00203F10" w:rsidRPr="00367C0B" w14:paraId="5A9E7EF9" w14:textId="77777777" w:rsidTr="00215277">
        <w:trPr>
          <w:trHeight w:val="379"/>
        </w:trPr>
        <w:tc>
          <w:tcPr>
            <w:tcW w:w="0" w:type="auto"/>
            <w:vMerge/>
            <w:vAlign w:val="center"/>
            <w:hideMark/>
          </w:tcPr>
          <w:p w14:paraId="1003DB47" w14:textId="77777777" w:rsidR="00203F10" w:rsidRPr="00FC75FA" w:rsidRDefault="00203F10" w:rsidP="00203F10">
            <w:pPr>
              <w:spacing w:after="0" w:line="240" w:lineRule="auto"/>
              <w:jc w:val="center"/>
              <w:rPr>
                <w:rFonts w:eastAsiaTheme="minorEastAsia" w:cs="Arial"/>
                <w:sz w:val="20"/>
                <w:szCs w:val="20"/>
                <w:lang w:val="en-US"/>
              </w:rPr>
            </w:pPr>
          </w:p>
        </w:tc>
        <w:tc>
          <w:tcPr>
            <w:tcW w:w="0" w:type="auto"/>
            <w:shd w:val="clear" w:color="auto" w:fill="auto"/>
            <w:vAlign w:val="center"/>
            <w:hideMark/>
          </w:tcPr>
          <w:p w14:paraId="7EFFE225" w14:textId="4BAB491C" w:rsidR="00203F10" w:rsidRPr="00FC75FA" w:rsidRDefault="00203F10" w:rsidP="00203F10">
            <w:pPr>
              <w:spacing w:after="0" w:line="240" w:lineRule="auto"/>
              <w:jc w:val="center"/>
              <w:rPr>
                <w:rFonts w:eastAsiaTheme="minorEastAsia" w:cs="Arial"/>
                <w:sz w:val="20"/>
                <w:szCs w:val="20"/>
                <w:lang w:val="en-US"/>
              </w:rPr>
            </w:pPr>
            <w:r>
              <w:rPr>
                <w:rFonts w:eastAsiaTheme="minorEastAsia" w:cs="Arial"/>
                <w:sz w:val="20"/>
                <w:szCs w:val="20"/>
                <w:lang w:val="en-US"/>
              </w:rPr>
              <w:t>Maximum temperature</w:t>
            </w:r>
          </w:p>
        </w:tc>
        <w:tc>
          <w:tcPr>
            <w:tcW w:w="1284" w:type="dxa"/>
            <w:shd w:val="clear" w:color="auto" w:fill="auto"/>
            <w:tcMar>
              <w:top w:w="10" w:type="dxa"/>
              <w:left w:w="10" w:type="dxa"/>
              <w:bottom w:w="0" w:type="dxa"/>
              <w:right w:w="10" w:type="dxa"/>
            </w:tcMar>
            <w:vAlign w:val="center"/>
            <w:hideMark/>
          </w:tcPr>
          <w:p w14:paraId="39939DDA" w14:textId="5E8717C3" w:rsidR="00203F10" w:rsidRPr="00367C0B" w:rsidRDefault="00203F10" w:rsidP="00203F10">
            <w:pPr>
              <w:spacing w:after="0" w:line="240" w:lineRule="auto"/>
              <w:jc w:val="center"/>
              <w:rPr>
                <w:rFonts w:eastAsiaTheme="minorEastAsia" w:cs="Arial"/>
                <w:sz w:val="20"/>
                <w:szCs w:val="20"/>
                <w:lang w:val="en-US"/>
              </w:rPr>
            </w:pPr>
            <w:r w:rsidRPr="00367C0B">
              <w:rPr>
                <w:rFonts w:eastAsiaTheme="minorEastAsia" w:cs="Arial"/>
                <w:sz w:val="20"/>
                <w:szCs w:val="20"/>
                <w:lang w:val="en-US"/>
              </w:rPr>
              <w:t>Chronic</w:t>
            </w:r>
          </w:p>
        </w:tc>
        <w:tc>
          <w:tcPr>
            <w:tcW w:w="3149" w:type="dxa"/>
            <w:shd w:val="clear" w:color="auto" w:fill="auto"/>
            <w:tcMar>
              <w:top w:w="15" w:type="dxa"/>
              <w:left w:w="15" w:type="dxa"/>
              <w:bottom w:w="0" w:type="dxa"/>
              <w:right w:w="15" w:type="dxa"/>
            </w:tcMar>
            <w:vAlign w:val="center"/>
            <w:hideMark/>
          </w:tcPr>
          <w:p w14:paraId="6F1B8A23" w14:textId="4AEFCACA" w:rsidR="00203F10" w:rsidRPr="00367C0B" w:rsidRDefault="00203F10" w:rsidP="00203F10">
            <w:pPr>
              <w:spacing w:after="0" w:line="240" w:lineRule="auto"/>
              <w:rPr>
                <w:rFonts w:eastAsiaTheme="minorEastAsia" w:cs="Arial"/>
                <w:sz w:val="20"/>
                <w:szCs w:val="20"/>
                <w:lang w:val="en-US"/>
              </w:rPr>
            </w:pPr>
            <w:r w:rsidRPr="00367C0B">
              <w:rPr>
                <w:rFonts w:eastAsiaTheme="minorEastAsia" w:cs="Arial"/>
                <w:sz w:val="20"/>
                <w:szCs w:val="20"/>
                <w:lang w:val="en-US"/>
              </w:rPr>
              <w:t>Annual maximum daily temperature</w:t>
            </w:r>
          </w:p>
        </w:tc>
        <w:tc>
          <w:tcPr>
            <w:tcW w:w="797" w:type="dxa"/>
            <w:shd w:val="clear" w:color="auto" w:fill="auto"/>
            <w:tcMar>
              <w:top w:w="15" w:type="dxa"/>
              <w:left w:w="15" w:type="dxa"/>
              <w:bottom w:w="0" w:type="dxa"/>
              <w:right w:w="15" w:type="dxa"/>
            </w:tcMar>
            <w:vAlign w:val="center"/>
            <w:hideMark/>
          </w:tcPr>
          <w:p w14:paraId="0E8F47AB" w14:textId="270E7397" w:rsidR="00203F10" w:rsidRPr="00367C0B" w:rsidRDefault="00203F10" w:rsidP="00203F10">
            <w:pPr>
              <w:spacing w:after="0" w:line="240" w:lineRule="auto"/>
              <w:jc w:val="center"/>
              <w:rPr>
                <w:rFonts w:eastAsiaTheme="minorEastAsia" w:cs="Arial"/>
                <w:sz w:val="20"/>
                <w:szCs w:val="20"/>
                <w:lang w:val="en-US"/>
              </w:rPr>
            </w:pPr>
            <w:r w:rsidRPr="00367C0B">
              <w:rPr>
                <w:rFonts w:eastAsiaTheme="minorEastAsia" w:cs="Arial"/>
                <w:sz w:val="20"/>
                <w:szCs w:val="20"/>
                <w:lang w:val="en-US"/>
              </w:rPr>
              <w:t>°C</w:t>
            </w:r>
          </w:p>
        </w:tc>
        <w:tc>
          <w:tcPr>
            <w:tcW w:w="4518" w:type="dxa"/>
            <w:shd w:val="clear" w:color="auto" w:fill="auto"/>
            <w:tcMar>
              <w:top w:w="15" w:type="dxa"/>
              <w:left w:w="15" w:type="dxa"/>
              <w:bottom w:w="0" w:type="dxa"/>
              <w:right w:w="15" w:type="dxa"/>
            </w:tcMar>
            <w:vAlign w:val="center"/>
            <w:hideMark/>
          </w:tcPr>
          <w:p w14:paraId="29BD34C7" w14:textId="62DB65D6" w:rsidR="00203F10" w:rsidRPr="00FC75FA" w:rsidRDefault="00203F10" w:rsidP="00203F10">
            <w:pPr>
              <w:spacing w:after="0" w:line="240" w:lineRule="auto"/>
              <w:rPr>
                <w:rFonts w:eastAsiaTheme="minorEastAsia" w:cs="Arial"/>
                <w:sz w:val="20"/>
                <w:szCs w:val="20"/>
                <w:lang w:val="en-US"/>
              </w:rPr>
            </w:pPr>
            <w:r w:rsidRPr="00367C0B">
              <w:rPr>
                <w:rFonts w:eastAsiaTheme="minorEastAsia" w:cs="Arial"/>
                <w:sz w:val="20"/>
                <w:szCs w:val="20"/>
                <w:lang w:val="en-US"/>
              </w:rPr>
              <w:t>Annual maximum daily temperature</w:t>
            </w:r>
          </w:p>
        </w:tc>
      </w:tr>
      <w:tr w:rsidR="00203F10" w:rsidRPr="00FA7359" w14:paraId="530092C3" w14:textId="77777777" w:rsidTr="00215277">
        <w:trPr>
          <w:trHeight w:val="213"/>
        </w:trPr>
        <w:tc>
          <w:tcPr>
            <w:tcW w:w="0" w:type="auto"/>
            <w:vMerge w:val="restart"/>
            <w:vAlign w:val="center"/>
          </w:tcPr>
          <w:p w14:paraId="593CAF8F" w14:textId="77777777" w:rsidR="00203F10" w:rsidRPr="00FC75FA" w:rsidRDefault="00203F10" w:rsidP="00203F10">
            <w:pPr>
              <w:spacing w:after="0" w:line="240" w:lineRule="auto"/>
              <w:jc w:val="center"/>
              <w:rPr>
                <w:rFonts w:eastAsiaTheme="minorEastAsia" w:cs="Arial"/>
                <w:b/>
                <w:sz w:val="20"/>
                <w:szCs w:val="20"/>
                <w:lang w:val="en-US"/>
              </w:rPr>
            </w:pPr>
            <w:r w:rsidRPr="00FC75FA">
              <w:rPr>
                <w:rFonts w:eastAsiaTheme="minorEastAsia" w:cs="Arial"/>
                <w:b/>
                <w:sz w:val="20"/>
                <w:szCs w:val="20"/>
                <w:lang w:val="en-US"/>
              </w:rPr>
              <w:t>Heat</w:t>
            </w:r>
          </w:p>
        </w:tc>
        <w:tc>
          <w:tcPr>
            <w:tcW w:w="2070" w:type="dxa"/>
            <w:vMerge w:val="restart"/>
            <w:shd w:val="clear" w:color="auto" w:fill="auto"/>
            <w:tcMar>
              <w:top w:w="15" w:type="dxa"/>
              <w:left w:w="15" w:type="dxa"/>
              <w:bottom w:w="0" w:type="dxa"/>
              <w:right w:w="15" w:type="dxa"/>
            </w:tcMar>
            <w:vAlign w:val="center"/>
          </w:tcPr>
          <w:p w14:paraId="0827F2D8" w14:textId="77777777" w:rsidR="00203F10" w:rsidRPr="00FC75FA" w:rsidRDefault="00203F10" w:rsidP="00203F10">
            <w:pPr>
              <w:spacing w:after="0" w:line="240" w:lineRule="auto"/>
              <w:jc w:val="center"/>
              <w:rPr>
                <w:rFonts w:eastAsiaTheme="minorEastAsia" w:cs="Arial"/>
                <w:sz w:val="20"/>
                <w:szCs w:val="20"/>
                <w:lang w:val="en-US"/>
              </w:rPr>
            </w:pPr>
            <w:r w:rsidRPr="00FC75FA">
              <w:rPr>
                <w:rFonts w:eastAsiaTheme="minorEastAsia" w:cs="Arial"/>
                <w:sz w:val="20"/>
                <w:szCs w:val="20"/>
                <w:lang w:val="en-US"/>
              </w:rPr>
              <w:t>Heat wave</w:t>
            </w:r>
          </w:p>
        </w:tc>
        <w:tc>
          <w:tcPr>
            <w:tcW w:w="1284" w:type="dxa"/>
            <w:shd w:val="clear" w:color="auto" w:fill="auto"/>
            <w:tcMar>
              <w:top w:w="10" w:type="dxa"/>
              <w:left w:w="10" w:type="dxa"/>
              <w:bottom w:w="0" w:type="dxa"/>
              <w:right w:w="10" w:type="dxa"/>
            </w:tcMar>
            <w:vAlign w:val="center"/>
          </w:tcPr>
          <w:p w14:paraId="7F9BFF8A" w14:textId="77777777" w:rsidR="00203F10" w:rsidRPr="00FC75FA" w:rsidRDefault="00203F10" w:rsidP="00203F10">
            <w:pPr>
              <w:spacing w:after="0" w:line="240" w:lineRule="auto"/>
              <w:jc w:val="center"/>
              <w:rPr>
                <w:rFonts w:eastAsiaTheme="minorEastAsia" w:cs="Arial"/>
                <w:sz w:val="20"/>
                <w:szCs w:val="20"/>
                <w:vertAlign w:val="superscript"/>
                <w:lang w:val="en-US"/>
              </w:rPr>
            </w:pPr>
            <w:r w:rsidRPr="00FC75FA">
              <w:rPr>
                <w:rFonts w:eastAsiaTheme="minorEastAsia" w:cs="Arial"/>
                <w:sz w:val="20"/>
                <w:szCs w:val="20"/>
                <w:lang w:val="en-US"/>
              </w:rPr>
              <w:t>Acute</w:t>
            </w:r>
          </w:p>
        </w:tc>
        <w:tc>
          <w:tcPr>
            <w:tcW w:w="3149" w:type="dxa"/>
            <w:shd w:val="clear" w:color="auto" w:fill="auto"/>
            <w:tcMar>
              <w:top w:w="15" w:type="dxa"/>
              <w:left w:w="15" w:type="dxa"/>
              <w:bottom w:w="0" w:type="dxa"/>
              <w:right w:w="15" w:type="dxa"/>
            </w:tcMar>
            <w:vAlign w:val="center"/>
          </w:tcPr>
          <w:p w14:paraId="1EA73E61" w14:textId="77777777" w:rsidR="00203F10" w:rsidRPr="00367C0B" w:rsidRDefault="00203F10" w:rsidP="00203F10">
            <w:pPr>
              <w:spacing w:after="0" w:line="240" w:lineRule="auto"/>
              <w:rPr>
                <w:rFonts w:eastAsiaTheme="minorEastAsia" w:cs="Arial"/>
                <w:sz w:val="20"/>
                <w:szCs w:val="20"/>
                <w:lang w:val="en-US"/>
              </w:rPr>
            </w:pPr>
            <w:r w:rsidRPr="00FC75FA">
              <w:rPr>
                <w:rFonts w:eastAsiaTheme="minorEastAsia" w:cs="Arial"/>
                <w:sz w:val="20"/>
                <w:szCs w:val="20"/>
                <w:lang w:val="en-US"/>
              </w:rPr>
              <w:t>Heat wave frequency</w:t>
            </w:r>
          </w:p>
        </w:tc>
        <w:tc>
          <w:tcPr>
            <w:tcW w:w="797" w:type="dxa"/>
            <w:shd w:val="clear" w:color="auto" w:fill="auto"/>
            <w:tcMar>
              <w:top w:w="15" w:type="dxa"/>
              <w:left w:w="15" w:type="dxa"/>
              <w:bottom w:w="0" w:type="dxa"/>
              <w:right w:w="15" w:type="dxa"/>
            </w:tcMar>
            <w:vAlign w:val="center"/>
          </w:tcPr>
          <w:p w14:paraId="1110E2C9" w14:textId="77777777" w:rsidR="00203F10" w:rsidRPr="00FC75FA" w:rsidRDefault="00203F10" w:rsidP="00203F10">
            <w:pPr>
              <w:spacing w:after="0" w:line="240" w:lineRule="auto"/>
              <w:jc w:val="center"/>
              <w:rPr>
                <w:rFonts w:eastAsiaTheme="minorEastAsia" w:cs="Arial"/>
                <w:sz w:val="20"/>
                <w:szCs w:val="20"/>
                <w:lang w:val="en-US"/>
              </w:rPr>
            </w:pPr>
            <w:r w:rsidRPr="00FC75FA">
              <w:rPr>
                <w:rFonts w:eastAsiaTheme="minorEastAsia" w:cs="Arial"/>
                <w:sz w:val="20"/>
                <w:szCs w:val="20"/>
                <w:lang w:val="en-US"/>
              </w:rPr>
              <w:t>Index</w:t>
            </w:r>
          </w:p>
        </w:tc>
        <w:tc>
          <w:tcPr>
            <w:tcW w:w="4518" w:type="dxa"/>
            <w:shd w:val="clear" w:color="auto" w:fill="auto"/>
            <w:tcMar>
              <w:top w:w="15" w:type="dxa"/>
              <w:left w:w="15" w:type="dxa"/>
              <w:bottom w:w="0" w:type="dxa"/>
              <w:right w:w="15" w:type="dxa"/>
            </w:tcMar>
            <w:vAlign w:val="center"/>
          </w:tcPr>
          <w:p w14:paraId="4FD900CD" w14:textId="4ED537C0" w:rsidR="00203F10" w:rsidRPr="00FC75FA" w:rsidRDefault="00203F10" w:rsidP="00203F10">
            <w:pPr>
              <w:spacing w:after="0" w:line="240" w:lineRule="auto"/>
              <w:rPr>
                <w:rFonts w:eastAsiaTheme="minorEastAsia" w:cs="Arial"/>
                <w:sz w:val="20"/>
                <w:szCs w:val="20"/>
                <w:lang w:val="en-US"/>
              </w:rPr>
            </w:pPr>
            <w:r w:rsidRPr="00FC75FA">
              <w:rPr>
                <w:rFonts w:eastAsiaTheme="minorEastAsia" w:cs="Arial"/>
                <w:sz w:val="20"/>
                <w:szCs w:val="20"/>
                <w:lang w:val="en-US"/>
              </w:rPr>
              <w:t xml:space="preserve">Number of heat wave events within a year. A heat wave occurs when daily minimum and maximum temperatures exceed 22 </w:t>
            </w:r>
            <w:r>
              <w:rPr>
                <w:rFonts w:eastAsiaTheme="minorEastAsia" w:cs="Arial"/>
                <w:sz w:val="20"/>
                <w:szCs w:val="20"/>
                <w:lang w:val="en-US"/>
              </w:rPr>
              <w:t>°C</w:t>
            </w:r>
            <w:r w:rsidRPr="00FC75FA">
              <w:rPr>
                <w:rFonts w:eastAsiaTheme="minorEastAsia" w:cs="Arial"/>
                <w:sz w:val="20"/>
                <w:szCs w:val="20"/>
                <w:lang w:val="en-US"/>
              </w:rPr>
              <w:t xml:space="preserve"> and 30 </w:t>
            </w:r>
            <w:r>
              <w:rPr>
                <w:rFonts w:eastAsiaTheme="minorEastAsia" w:cs="Arial"/>
                <w:sz w:val="20"/>
                <w:szCs w:val="20"/>
                <w:lang w:val="en-US"/>
              </w:rPr>
              <w:t>°C</w:t>
            </w:r>
            <w:r w:rsidRPr="00FC75FA">
              <w:rPr>
                <w:rFonts w:eastAsiaTheme="minorEastAsia" w:cs="Arial"/>
                <w:sz w:val="20"/>
                <w:szCs w:val="20"/>
                <w:lang w:val="en-US"/>
              </w:rPr>
              <w:t>, respectively, over at least 3 days.</w:t>
            </w:r>
          </w:p>
        </w:tc>
      </w:tr>
      <w:tr w:rsidR="00203F10" w:rsidRPr="00FA7359" w14:paraId="1080EB83" w14:textId="77777777" w:rsidTr="00215277">
        <w:trPr>
          <w:trHeight w:val="213"/>
        </w:trPr>
        <w:tc>
          <w:tcPr>
            <w:tcW w:w="0" w:type="auto"/>
            <w:vMerge/>
            <w:vAlign w:val="center"/>
          </w:tcPr>
          <w:p w14:paraId="580B17F5" w14:textId="77777777" w:rsidR="00203F10" w:rsidRPr="00FC75FA" w:rsidRDefault="00203F10" w:rsidP="00203F10">
            <w:pPr>
              <w:spacing w:after="0" w:line="240" w:lineRule="auto"/>
              <w:jc w:val="center"/>
              <w:rPr>
                <w:rFonts w:eastAsiaTheme="minorEastAsia" w:cs="Arial"/>
                <w:b/>
                <w:sz w:val="20"/>
                <w:szCs w:val="20"/>
                <w:lang w:val="en-US"/>
              </w:rPr>
            </w:pPr>
          </w:p>
        </w:tc>
        <w:tc>
          <w:tcPr>
            <w:tcW w:w="2070" w:type="dxa"/>
            <w:vMerge/>
            <w:shd w:val="clear" w:color="auto" w:fill="auto"/>
            <w:tcMar>
              <w:top w:w="15" w:type="dxa"/>
              <w:left w:w="15" w:type="dxa"/>
              <w:bottom w:w="0" w:type="dxa"/>
              <w:right w:w="15" w:type="dxa"/>
            </w:tcMar>
            <w:vAlign w:val="center"/>
          </w:tcPr>
          <w:p w14:paraId="3CA2F908" w14:textId="77777777" w:rsidR="00203F10" w:rsidRPr="00FC75FA" w:rsidRDefault="00203F10" w:rsidP="00203F10">
            <w:pPr>
              <w:spacing w:after="0" w:line="240" w:lineRule="auto"/>
              <w:jc w:val="center"/>
              <w:rPr>
                <w:rFonts w:eastAsiaTheme="minorEastAsia" w:cs="Arial"/>
                <w:sz w:val="20"/>
                <w:szCs w:val="20"/>
                <w:lang w:val="en-US"/>
              </w:rPr>
            </w:pPr>
          </w:p>
        </w:tc>
        <w:tc>
          <w:tcPr>
            <w:tcW w:w="1284" w:type="dxa"/>
            <w:shd w:val="clear" w:color="auto" w:fill="auto"/>
            <w:tcMar>
              <w:top w:w="10" w:type="dxa"/>
              <w:left w:w="10" w:type="dxa"/>
              <w:bottom w:w="0" w:type="dxa"/>
              <w:right w:w="10" w:type="dxa"/>
            </w:tcMar>
            <w:vAlign w:val="center"/>
          </w:tcPr>
          <w:p w14:paraId="53387861" w14:textId="77777777" w:rsidR="00203F10" w:rsidRPr="00FC75FA" w:rsidRDefault="00203F10" w:rsidP="00203F10">
            <w:pPr>
              <w:spacing w:after="0" w:line="240" w:lineRule="auto"/>
              <w:jc w:val="center"/>
              <w:rPr>
                <w:rFonts w:eastAsiaTheme="minorEastAsia" w:cs="Arial"/>
                <w:sz w:val="20"/>
                <w:szCs w:val="20"/>
                <w:vertAlign w:val="superscript"/>
                <w:lang w:val="en-US"/>
              </w:rPr>
            </w:pPr>
            <w:r w:rsidRPr="00FC75FA">
              <w:rPr>
                <w:rFonts w:eastAsiaTheme="minorEastAsia" w:cs="Arial"/>
                <w:sz w:val="20"/>
                <w:szCs w:val="20"/>
                <w:lang w:val="en-US"/>
              </w:rPr>
              <w:t>Acute</w:t>
            </w:r>
          </w:p>
        </w:tc>
        <w:tc>
          <w:tcPr>
            <w:tcW w:w="3149" w:type="dxa"/>
            <w:shd w:val="clear" w:color="auto" w:fill="auto"/>
            <w:tcMar>
              <w:top w:w="15" w:type="dxa"/>
              <w:left w:w="15" w:type="dxa"/>
              <w:bottom w:w="0" w:type="dxa"/>
              <w:right w:w="15" w:type="dxa"/>
            </w:tcMar>
            <w:vAlign w:val="center"/>
          </w:tcPr>
          <w:p w14:paraId="386EFE3A" w14:textId="77777777" w:rsidR="00203F10" w:rsidRPr="00367C0B" w:rsidRDefault="00203F10" w:rsidP="00203F10">
            <w:pPr>
              <w:spacing w:after="0" w:line="240" w:lineRule="auto"/>
              <w:rPr>
                <w:rFonts w:eastAsiaTheme="minorEastAsia" w:cs="Arial"/>
                <w:sz w:val="20"/>
                <w:szCs w:val="20"/>
                <w:lang w:val="en-US"/>
              </w:rPr>
            </w:pPr>
            <w:r w:rsidRPr="00FC75FA">
              <w:rPr>
                <w:rFonts w:eastAsiaTheme="minorEastAsia" w:cs="Arial"/>
                <w:sz w:val="20"/>
                <w:szCs w:val="20"/>
                <w:lang w:val="en-US"/>
              </w:rPr>
              <w:t>Heat wave maximum length</w:t>
            </w:r>
          </w:p>
        </w:tc>
        <w:tc>
          <w:tcPr>
            <w:tcW w:w="797" w:type="dxa"/>
            <w:shd w:val="clear" w:color="auto" w:fill="auto"/>
            <w:tcMar>
              <w:top w:w="15" w:type="dxa"/>
              <w:left w:w="15" w:type="dxa"/>
              <w:bottom w:w="0" w:type="dxa"/>
              <w:right w:w="15" w:type="dxa"/>
            </w:tcMar>
            <w:vAlign w:val="center"/>
          </w:tcPr>
          <w:p w14:paraId="151BBA82" w14:textId="77777777" w:rsidR="00203F10" w:rsidRPr="00FC75FA" w:rsidRDefault="00203F10" w:rsidP="00203F10">
            <w:pPr>
              <w:spacing w:after="0" w:line="240" w:lineRule="auto"/>
              <w:jc w:val="center"/>
              <w:rPr>
                <w:rFonts w:eastAsiaTheme="minorEastAsia" w:cs="Arial"/>
                <w:sz w:val="20"/>
                <w:szCs w:val="20"/>
                <w:lang w:val="en-US"/>
              </w:rPr>
            </w:pPr>
            <w:r w:rsidRPr="00FC75FA">
              <w:rPr>
                <w:rFonts w:eastAsiaTheme="minorEastAsia" w:cs="Arial"/>
                <w:sz w:val="20"/>
                <w:szCs w:val="20"/>
                <w:lang w:val="en-US"/>
              </w:rPr>
              <w:t>days</w:t>
            </w:r>
          </w:p>
        </w:tc>
        <w:tc>
          <w:tcPr>
            <w:tcW w:w="4518" w:type="dxa"/>
            <w:shd w:val="clear" w:color="auto" w:fill="auto"/>
            <w:tcMar>
              <w:top w:w="15" w:type="dxa"/>
              <w:left w:w="15" w:type="dxa"/>
              <w:bottom w:w="0" w:type="dxa"/>
              <w:right w:w="15" w:type="dxa"/>
            </w:tcMar>
            <w:vAlign w:val="center"/>
          </w:tcPr>
          <w:p w14:paraId="63CED2FC" w14:textId="18549ADD" w:rsidR="00203F10" w:rsidRPr="00FC75FA" w:rsidRDefault="00203F10" w:rsidP="00203F10">
            <w:pPr>
              <w:spacing w:after="0" w:line="240" w:lineRule="auto"/>
              <w:rPr>
                <w:rFonts w:eastAsiaTheme="minorEastAsia" w:cs="Arial"/>
                <w:sz w:val="20"/>
                <w:szCs w:val="20"/>
                <w:lang w:val="en-US"/>
              </w:rPr>
            </w:pPr>
            <w:r w:rsidRPr="00FC75FA">
              <w:rPr>
                <w:rFonts w:eastAsiaTheme="minorEastAsia" w:cs="Arial"/>
                <w:sz w:val="20"/>
                <w:szCs w:val="20"/>
                <w:lang w:val="en-US"/>
              </w:rPr>
              <w:t xml:space="preserve">Longest series of at least 3 consecutive days with daily minimum temperature above22 </w:t>
            </w:r>
            <w:r>
              <w:rPr>
                <w:rFonts w:eastAsiaTheme="minorEastAsia" w:cs="Arial"/>
                <w:sz w:val="20"/>
                <w:szCs w:val="20"/>
                <w:lang w:val="en-US"/>
              </w:rPr>
              <w:t>°C</w:t>
            </w:r>
            <w:r w:rsidRPr="00FC75FA">
              <w:rPr>
                <w:rFonts w:eastAsiaTheme="minorEastAsia" w:cs="Arial"/>
                <w:sz w:val="20"/>
                <w:szCs w:val="20"/>
                <w:lang w:val="en-US"/>
              </w:rPr>
              <w:t xml:space="preserve"> and daily maximum temperature above 30 </w:t>
            </w:r>
            <w:r>
              <w:rPr>
                <w:rFonts w:eastAsiaTheme="minorEastAsia" w:cs="Arial"/>
                <w:sz w:val="20"/>
                <w:szCs w:val="20"/>
                <w:lang w:val="en-US"/>
              </w:rPr>
              <w:t>°C</w:t>
            </w:r>
          </w:p>
        </w:tc>
      </w:tr>
      <w:tr w:rsidR="00203F10" w:rsidRPr="00FA7359" w14:paraId="0555B015" w14:textId="77777777" w:rsidTr="00215277">
        <w:trPr>
          <w:trHeight w:val="213"/>
        </w:trPr>
        <w:tc>
          <w:tcPr>
            <w:tcW w:w="0" w:type="auto"/>
            <w:vMerge/>
            <w:vAlign w:val="center"/>
          </w:tcPr>
          <w:p w14:paraId="3CD7AB86" w14:textId="77777777" w:rsidR="00203F10" w:rsidRPr="00FC75FA" w:rsidRDefault="00203F10" w:rsidP="00203F10">
            <w:pPr>
              <w:spacing w:after="0" w:line="240" w:lineRule="auto"/>
              <w:jc w:val="center"/>
              <w:rPr>
                <w:rFonts w:eastAsiaTheme="minorEastAsia" w:cs="Arial"/>
                <w:b/>
                <w:sz w:val="20"/>
                <w:szCs w:val="20"/>
                <w:lang w:val="en-US"/>
              </w:rPr>
            </w:pPr>
          </w:p>
        </w:tc>
        <w:tc>
          <w:tcPr>
            <w:tcW w:w="2070" w:type="dxa"/>
            <w:vMerge w:val="restart"/>
            <w:shd w:val="clear" w:color="auto" w:fill="auto"/>
            <w:tcMar>
              <w:top w:w="15" w:type="dxa"/>
              <w:left w:w="15" w:type="dxa"/>
              <w:bottom w:w="0" w:type="dxa"/>
              <w:right w:w="15" w:type="dxa"/>
            </w:tcMar>
            <w:vAlign w:val="center"/>
          </w:tcPr>
          <w:p w14:paraId="38DC1097" w14:textId="77777777" w:rsidR="00203F10" w:rsidRPr="00FC75FA" w:rsidRDefault="00203F10" w:rsidP="00203F10">
            <w:pPr>
              <w:spacing w:after="0" w:line="240" w:lineRule="auto"/>
              <w:jc w:val="center"/>
              <w:rPr>
                <w:rFonts w:eastAsiaTheme="minorEastAsia" w:cs="Arial"/>
                <w:sz w:val="20"/>
                <w:szCs w:val="20"/>
                <w:lang w:val="en-US"/>
              </w:rPr>
            </w:pPr>
            <w:r w:rsidRPr="00FC75FA">
              <w:rPr>
                <w:rFonts w:eastAsiaTheme="minorEastAsia" w:cs="Arial"/>
                <w:sz w:val="20"/>
                <w:szCs w:val="20"/>
                <w:lang w:val="en-US"/>
              </w:rPr>
              <w:t>Heat Stress</w:t>
            </w:r>
          </w:p>
        </w:tc>
        <w:tc>
          <w:tcPr>
            <w:tcW w:w="1284" w:type="dxa"/>
            <w:shd w:val="clear" w:color="auto" w:fill="auto"/>
            <w:tcMar>
              <w:top w:w="10" w:type="dxa"/>
              <w:left w:w="10" w:type="dxa"/>
              <w:bottom w:w="0" w:type="dxa"/>
              <w:right w:w="10" w:type="dxa"/>
            </w:tcMar>
            <w:vAlign w:val="center"/>
          </w:tcPr>
          <w:p w14:paraId="6D7553AF" w14:textId="77777777" w:rsidR="00203F10" w:rsidRPr="00FC75FA" w:rsidRDefault="00203F10" w:rsidP="00203F10">
            <w:pPr>
              <w:spacing w:after="0" w:line="240" w:lineRule="auto"/>
              <w:jc w:val="center"/>
              <w:rPr>
                <w:rFonts w:eastAsiaTheme="minorEastAsia" w:cs="Arial"/>
                <w:sz w:val="20"/>
                <w:szCs w:val="20"/>
                <w:vertAlign w:val="superscript"/>
                <w:lang w:val="en-US"/>
              </w:rPr>
            </w:pPr>
            <w:r w:rsidRPr="00FC75FA">
              <w:rPr>
                <w:rFonts w:eastAsiaTheme="minorEastAsia" w:cs="Arial"/>
                <w:sz w:val="20"/>
                <w:szCs w:val="20"/>
                <w:lang w:val="en-US"/>
              </w:rPr>
              <w:t>Acute</w:t>
            </w:r>
          </w:p>
        </w:tc>
        <w:tc>
          <w:tcPr>
            <w:tcW w:w="3149" w:type="dxa"/>
            <w:shd w:val="clear" w:color="auto" w:fill="auto"/>
            <w:tcMar>
              <w:top w:w="15" w:type="dxa"/>
              <w:left w:w="15" w:type="dxa"/>
              <w:bottom w:w="0" w:type="dxa"/>
              <w:right w:w="15" w:type="dxa"/>
            </w:tcMar>
            <w:vAlign w:val="center"/>
          </w:tcPr>
          <w:p w14:paraId="491850D1" w14:textId="77777777" w:rsidR="00203F10" w:rsidRPr="00FC75FA" w:rsidRDefault="00203F10" w:rsidP="00203F10">
            <w:pPr>
              <w:spacing w:after="0" w:line="240" w:lineRule="auto"/>
              <w:rPr>
                <w:rFonts w:eastAsiaTheme="minorEastAsia" w:cs="Arial"/>
                <w:sz w:val="20"/>
                <w:szCs w:val="20"/>
                <w:lang w:val="en-US"/>
              </w:rPr>
            </w:pPr>
            <w:r w:rsidRPr="00FC75FA">
              <w:rPr>
                <w:rFonts w:eastAsiaTheme="minorEastAsia" w:cs="Arial"/>
                <w:sz w:val="20"/>
                <w:szCs w:val="20"/>
                <w:lang w:val="en-US"/>
              </w:rPr>
              <w:t>Wet bulb global temperature (extreme threshold)</w:t>
            </w:r>
          </w:p>
        </w:tc>
        <w:tc>
          <w:tcPr>
            <w:tcW w:w="797" w:type="dxa"/>
            <w:shd w:val="clear" w:color="auto" w:fill="auto"/>
            <w:tcMar>
              <w:top w:w="15" w:type="dxa"/>
              <w:left w:w="15" w:type="dxa"/>
              <w:bottom w:w="0" w:type="dxa"/>
              <w:right w:w="15" w:type="dxa"/>
            </w:tcMar>
            <w:vAlign w:val="center"/>
          </w:tcPr>
          <w:p w14:paraId="44E13FA9" w14:textId="77777777" w:rsidR="00203F10" w:rsidRPr="00FC75FA" w:rsidRDefault="00203F10" w:rsidP="00203F10">
            <w:pPr>
              <w:spacing w:after="0" w:line="240" w:lineRule="auto"/>
              <w:jc w:val="center"/>
              <w:rPr>
                <w:rFonts w:eastAsiaTheme="minorEastAsia" w:cs="Arial"/>
                <w:sz w:val="20"/>
                <w:szCs w:val="20"/>
                <w:lang w:val="en-US"/>
              </w:rPr>
            </w:pPr>
            <w:r w:rsidRPr="00FC75FA">
              <w:rPr>
                <w:rFonts w:eastAsiaTheme="minorEastAsia" w:cs="Arial"/>
                <w:sz w:val="20"/>
                <w:szCs w:val="20"/>
                <w:lang w:val="en-US"/>
              </w:rPr>
              <w:t>days</w:t>
            </w:r>
          </w:p>
        </w:tc>
        <w:tc>
          <w:tcPr>
            <w:tcW w:w="4518" w:type="dxa"/>
            <w:shd w:val="clear" w:color="auto" w:fill="auto"/>
            <w:tcMar>
              <w:top w:w="15" w:type="dxa"/>
              <w:left w:w="15" w:type="dxa"/>
              <w:bottom w:w="0" w:type="dxa"/>
              <w:right w:w="15" w:type="dxa"/>
            </w:tcMar>
            <w:vAlign w:val="center"/>
          </w:tcPr>
          <w:p w14:paraId="10541927" w14:textId="77777777" w:rsidR="00203F10" w:rsidRPr="00FC75FA" w:rsidRDefault="00203F10" w:rsidP="00203F10">
            <w:pPr>
              <w:spacing w:after="0" w:line="240" w:lineRule="auto"/>
              <w:rPr>
                <w:rFonts w:eastAsiaTheme="minorEastAsia" w:cs="Arial"/>
                <w:sz w:val="20"/>
                <w:szCs w:val="20"/>
                <w:lang w:val="en-US"/>
              </w:rPr>
            </w:pPr>
            <w:r w:rsidRPr="00FC75FA">
              <w:rPr>
                <w:rFonts w:eastAsiaTheme="minorEastAsia" w:cs="Arial"/>
                <w:sz w:val="20"/>
                <w:szCs w:val="20"/>
                <w:lang w:val="en-US"/>
              </w:rPr>
              <w:t>Number of days per year with daily maximum WBGT&gt;32</w:t>
            </w:r>
          </w:p>
        </w:tc>
      </w:tr>
      <w:tr w:rsidR="00203F10" w:rsidRPr="00FA7359" w14:paraId="5CA66C19" w14:textId="77777777" w:rsidTr="00215277">
        <w:trPr>
          <w:trHeight w:val="213"/>
        </w:trPr>
        <w:tc>
          <w:tcPr>
            <w:tcW w:w="0" w:type="auto"/>
            <w:vMerge/>
            <w:vAlign w:val="center"/>
          </w:tcPr>
          <w:p w14:paraId="4350D0F9" w14:textId="77777777" w:rsidR="00203F10" w:rsidRPr="00FC75FA" w:rsidRDefault="00203F10" w:rsidP="00203F10">
            <w:pPr>
              <w:spacing w:after="0" w:line="240" w:lineRule="auto"/>
              <w:jc w:val="center"/>
              <w:rPr>
                <w:rFonts w:eastAsiaTheme="minorEastAsia" w:cs="Arial"/>
                <w:b/>
                <w:sz w:val="20"/>
                <w:szCs w:val="20"/>
                <w:lang w:val="en-US"/>
              </w:rPr>
            </w:pPr>
          </w:p>
        </w:tc>
        <w:tc>
          <w:tcPr>
            <w:tcW w:w="2070" w:type="dxa"/>
            <w:vMerge/>
            <w:shd w:val="clear" w:color="auto" w:fill="auto"/>
            <w:tcMar>
              <w:top w:w="15" w:type="dxa"/>
              <w:left w:w="15" w:type="dxa"/>
              <w:bottom w:w="0" w:type="dxa"/>
              <w:right w:w="15" w:type="dxa"/>
            </w:tcMar>
            <w:vAlign w:val="center"/>
          </w:tcPr>
          <w:p w14:paraId="0E6DB4E8" w14:textId="77777777" w:rsidR="00203F10" w:rsidRPr="00FC75FA" w:rsidRDefault="00203F10" w:rsidP="00203F10">
            <w:pPr>
              <w:spacing w:after="0" w:line="240" w:lineRule="auto"/>
              <w:jc w:val="center"/>
              <w:rPr>
                <w:rFonts w:eastAsiaTheme="minorEastAsia" w:cs="Arial"/>
                <w:sz w:val="20"/>
                <w:szCs w:val="20"/>
                <w:lang w:val="en-US"/>
              </w:rPr>
            </w:pPr>
          </w:p>
        </w:tc>
        <w:tc>
          <w:tcPr>
            <w:tcW w:w="1284" w:type="dxa"/>
            <w:shd w:val="clear" w:color="auto" w:fill="auto"/>
            <w:tcMar>
              <w:top w:w="10" w:type="dxa"/>
              <w:left w:w="10" w:type="dxa"/>
              <w:bottom w:w="0" w:type="dxa"/>
              <w:right w:w="10" w:type="dxa"/>
            </w:tcMar>
            <w:vAlign w:val="center"/>
          </w:tcPr>
          <w:p w14:paraId="21C1D098" w14:textId="77777777" w:rsidR="00203F10" w:rsidRPr="00FC75FA" w:rsidRDefault="00203F10" w:rsidP="00203F10">
            <w:pPr>
              <w:spacing w:after="0" w:line="240" w:lineRule="auto"/>
              <w:jc w:val="center"/>
              <w:rPr>
                <w:rFonts w:eastAsiaTheme="minorEastAsia" w:cs="Arial"/>
                <w:sz w:val="20"/>
                <w:szCs w:val="20"/>
                <w:vertAlign w:val="superscript"/>
                <w:lang w:val="en-US"/>
              </w:rPr>
            </w:pPr>
            <w:r w:rsidRPr="00FC75FA">
              <w:rPr>
                <w:rFonts w:eastAsiaTheme="minorEastAsia" w:cs="Arial"/>
                <w:sz w:val="20"/>
                <w:szCs w:val="20"/>
                <w:lang w:val="en-US"/>
              </w:rPr>
              <w:t>Acute</w:t>
            </w:r>
          </w:p>
        </w:tc>
        <w:tc>
          <w:tcPr>
            <w:tcW w:w="3149" w:type="dxa"/>
            <w:shd w:val="clear" w:color="auto" w:fill="auto"/>
            <w:tcMar>
              <w:top w:w="15" w:type="dxa"/>
              <w:left w:w="15" w:type="dxa"/>
              <w:bottom w:w="0" w:type="dxa"/>
              <w:right w:w="15" w:type="dxa"/>
            </w:tcMar>
            <w:vAlign w:val="center"/>
          </w:tcPr>
          <w:p w14:paraId="236C266C" w14:textId="77777777" w:rsidR="00203F10" w:rsidRPr="00FC75FA" w:rsidRDefault="00203F10" w:rsidP="00203F10">
            <w:pPr>
              <w:spacing w:after="0" w:line="240" w:lineRule="auto"/>
              <w:rPr>
                <w:rFonts w:eastAsiaTheme="minorEastAsia" w:cs="Arial"/>
                <w:sz w:val="20"/>
                <w:szCs w:val="20"/>
                <w:lang w:val="en-US"/>
              </w:rPr>
            </w:pPr>
            <w:r w:rsidRPr="00FC75FA">
              <w:rPr>
                <w:rFonts w:eastAsiaTheme="minorEastAsia" w:cs="Arial"/>
                <w:sz w:val="20"/>
                <w:szCs w:val="20"/>
                <w:lang w:val="en-US"/>
              </w:rPr>
              <w:t>Wet bulb global temperature (very high threshold)</w:t>
            </w:r>
          </w:p>
        </w:tc>
        <w:tc>
          <w:tcPr>
            <w:tcW w:w="797" w:type="dxa"/>
            <w:shd w:val="clear" w:color="auto" w:fill="auto"/>
            <w:tcMar>
              <w:top w:w="15" w:type="dxa"/>
              <w:left w:w="15" w:type="dxa"/>
              <w:bottom w:w="0" w:type="dxa"/>
              <w:right w:w="15" w:type="dxa"/>
            </w:tcMar>
            <w:vAlign w:val="center"/>
          </w:tcPr>
          <w:p w14:paraId="070AB07D" w14:textId="77777777" w:rsidR="00203F10" w:rsidRPr="00FC75FA" w:rsidRDefault="00203F10" w:rsidP="00203F10">
            <w:pPr>
              <w:spacing w:after="0" w:line="240" w:lineRule="auto"/>
              <w:jc w:val="center"/>
              <w:rPr>
                <w:rFonts w:eastAsiaTheme="minorEastAsia" w:cs="Arial"/>
                <w:sz w:val="20"/>
                <w:szCs w:val="20"/>
                <w:lang w:val="en-US"/>
              </w:rPr>
            </w:pPr>
            <w:r w:rsidRPr="00FC75FA">
              <w:rPr>
                <w:rFonts w:eastAsiaTheme="minorEastAsia" w:cs="Arial"/>
                <w:sz w:val="20"/>
                <w:szCs w:val="20"/>
                <w:lang w:val="en-US"/>
              </w:rPr>
              <w:t>days</w:t>
            </w:r>
          </w:p>
        </w:tc>
        <w:tc>
          <w:tcPr>
            <w:tcW w:w="4518" w:type="dxa"/>
            <w:shd w:val="clear" w:color="auto" w:fill="auto"/>
            <w:tcMar>
              <w:top w:w="15" w:type="dxa"/>
              <w:left w:w="15" w:type="dxa"/>
              <w:bottom w:w="0" w:type="dxa"/>
              <w:right w:w="15" w:type="dxa"/>
            </w:tcMar>
            <w:vAlign w:val="center"/>
          </w:tcPr>
          <w:p w14:paraId="4021682D" w14:textId="77777777" w:rsidR="00203F10" w:rsidRPr="00FC75FA" w:rsidRDefault="00203F10" w:rsidP="00203F10">
            <w:pPr>
              <w:spacing w:after="0" w:line="240" w:lineRule="auto"/>
              <w:rPr>
                <w:rFonts w:eastAsiaTheme="minorEastAsia" w:cs="Arial"/>
                <w:sz w:val="20"/>
                <w:szCs w:val="20"/>
                <w:lang w:val="en-US"/>
              </w:rPr>
            </w:pPr>
            <w:r w:rsidRPr="00FC75FA">
              <w:rPr>
                <w:rFonts w:eastAsiaTheme="minorEastAsia" w:cs="Arial"/>
                <w:sz w:val="20"/>
                <w:szCs w:val="20"/>
                <w:lang w:val="en-US"/>
              </w:rPr>
              <w:t>Number of days per year with daily maximum WBGT&gt;30</w:t>
            </w:r>
          </w:p>
        </w:tc>
      </w:tr>
      <w:tr w:rsidR="00203F10" w:rsidRPr="00FA7359" w14:paraId="320427FD" w14:textId="77777777" w:rsidTr="00215277">
        <w:trPr>
          <w:trHeight w:val="213"/>
        </w:trPr>
        <w:tc>
          <w:tcPr>
            <w:tcW w:w="0" w:type="auto"/>
            <w:vMerge/>
            <w:vAlign w:val="center"/>
          </w:tcPr>
          <w:p w14:paraId="778DEE8B" w14:textId="77777777" w:rsidR="00203F10" w:rsidRPr="00FC75FA" w:rsidRDefault="00203F10" w:rsidP="00203F10">
            <w:pPr>
              <w:spacing w:after="0" w:line="240" w:lineRule="auto"/>
              <w:jc w:val="center"/>
              <w:rPr>
                <w:rFonts w:eastAsiaTheme="minorEastAsia" w:cs="Arial"/>
                <w:b/>
                <w:sz w:val="20"/>
                <w:szCs w:val="20"/>
                <w:lang w:val="en-US"/>
              </w:rPr>
            </w:pPr>
          </w:p>
        </w:tc>
        <w:tc>
          <w:tcPr>
            <w:tcW w:w="2070" w:type="dxa"/>
            <w:vMerge/>
            <w:shd w:val="clear" w:color="auto" w:fill="auto"/>
            <w:tcMar>
              <w:top w:w="15" w:type="dxa"/>
              <w:left w:w="15" w:type="dxa"/>
              <w:bottom w:w="0" w:type="dxa"/>
              <w:right w:w="15" w:type="dxa"/>
            </w:tcMar>
            <w:vAlign w:val="center"/>
          </w:tcPr>
          <w:p w14:paraId="1B05472E" w14:textId="77777777" w:rsidR="00203F10" w:rsidRPr="00FC75FA" w:rsidRDefault="00203F10" w:rsidP="00203F10">
            <w:pPr>
              <w:spacing w:after="0" w:line="240" w:lineRule="auto"/>
              <w:jc w:val="center"/>
              <w:rPr>
                <w:rFonts w:eastAsiaTheme="minorEastAsia" w:cs="Arial"/>
                <w:sz w:val="20"/>
                <w:szCs w:val="20"/>
                <w:lang w:val="en-US"/>
              </w:rPr>
            </w:pPr>
          </w:p>
        </w:tc>
        <w:tc>
          <w:tcPr>
            <w:tcW w:w="1284" w:type="dxa"/>
            <w:shd w:val="clear" w:color="auto" w:fill="auto"/>
            <w:tcMar>
              <w:top w:w="10" w:type="dxa"/>
              <w:left w:w="10" w:type="dxa"/>
              <w:bottom w:w="0" w:type="dxa"/>
              <w:right w:w="10" w:type="dxa"/>
            </w:tcMar>
            <w:vAlign w:val="center"/>
          </w:tcPr>
          <w:p w14:paraId="34886CC7" w14:textId="77777777" w:rsidR="00203F10" w:rsidRPr="00FC75FA" w:rsidRDefault="00203F10" w:rsidP="00203F10">
            <w:pPr>
              <w:spacing w:after="0" w:line="240" w:lineRule="auto"/>
              <w:jc w:val="center"/>
              <w:rPr>
                <w:rFonts w:eastAsiaTheme="minorEastAsia" w:cs="Arial"/>
                <w:sz w:val="20"/>
                <w:szCs w:val="20"/>
                <w:vertAlign w:val="superscript"/>
                <w:lang w:val="en-US"/>
              </w:rPr>
            </w:pPr>
            <w:r w:rsidRPr="00FC75FA">
              <w:rPr>
                <w:rFonts w:eastAsiaTheme="minorEastAsia" w:cs="Arial"/>
                <w:sz w:val="20"/>
                <w:szCs w:val="20"/>
                <w:lang w:val="en-US"/>
              </w:rPr>
              <w:t>Acute</w:t>
            </w:r>
          </w:p>
        </w:tc>
        <w:tc>
          <w:tcPr>
            <w:tcW w:w="3149" w:type="dxa"/>
            <w:shd w:val="clear" w:color="auto" w:fill="auto"/>
            <w:tcMar>
              <w:top w:w="15" w:type="dxa"/>
              <w:left w:w="15" w:type="dxa"/>
              <w:bottom w:w="0" w:type="dxa"/>
              <w:right w:w="15" w:type="dxa"/>
            </w:tcMar>
            <w:vAlign w:val="center"/>
          </w:tcPr>
          <w:p w14:paraId="70C1E98E" w14:textId="77777777" w:rsidR="00203F10" w:rsidRPr="00FC75FA" w:rsidRDefault="00203F10" w:rsidP="00203F10">
            <w:pPr>
              <w:spacing w:after="0" w:line="240" w:lineRule="auto"/>
              <w:rPr>
                <w:rFonts w:eastAsiaTheme="minorEastAsia" w:cs="Arial"/>
                <w:sz w:val="20"/>
                <w:szCs w:val="20"/>
                <w:lang w:val="en-US"/>
              </w:rPr>
            </w:pPr>
            <w:r w:rsidRPr="00FC75FA">
              <w:rPr>
                <w:rFonts w:eastAsiaTheme="minorEastAsia" w:cs="Arial"/>
                <w:sz w:val="20"/>
                <w:szCs w:val="20"/>
                <w:lang w:val="en-US"/>
              </w:rPr>
              <w:t>Wet bulb global temperature (high threshold)</w:t>
            </w:r>
          </w:p>
        </w:tc>
        <w:tc>
          <w:tcPr>
            <w:tcW w:w="797" w:type="dxa"/>
            <w:shd w:val="clear" w:color="auto" w:fill="auto"/>
            <w:tcMar>
              <w:top w:w="15" w:type="dxa"/>
              <w:left w:w="15" w:type="dxa"/>
              <w:bottom w:w="0" w:type="dxa"/>
              <w:right w:w="15" w:type="dxa"/>
            </w:tcMar>
            <w:vAlign w:val="center"/>
          </w:tcPr>
          <w:p w14:paraId="5A29CF91" w14:textId="77777777" w:rsidR="00203F10" w:rsidRPr="00FC75FA" w:rsidRDefault="00203F10" w:rsidP="00203F10">
            <w:pPr>
              <w:spacing w:after="0" w:line="240" w:lineRule="auto"/>
              <w:jc w:val="center"/>
              <w:rPr>
                <w:rFonts w:eastAsiaTheme="minorEastAsia" w:cs="Arial"/>
                <w:sz w:val="20"/>
                <w:szCs w:val="20"/>
                <w:lang w:val="en-US"/>
              </w:rPr>
            </w:pPr>
            <w:r w:rsidRPr="00FC75FA">
              <w:rPr>
                <w:rFonts w:eastAsiaTheme="minorEastAsia" w:cs="Arial"/>
                <w:sz w:val="20"/>
                <w:szCs w:val="20"/>
                <w:lang w:val="en-US"/>
              </w:rPr>
              <w:t>days</w:t>
            </w:r>
          </w:p>
        </w:tc>
        <w:tc>
          <w:tcPr>
            <w:tcW w:w="4518" w:type="dxa"/>
            <w:shd w:val="clear" w:color="auto" w:fill="auto"/>
            <w:tcMar>
              <w:top w:w="15" w:type="dxa"/>
              <w:left w:w="15" w:type="dxa"/>
              <w:bottom w:w="0" w:type="dxa"/>
              <w:right w:w="15" w:type="dxa"/>
            </w:tcMar>
            <w:vAlign w:val="center"/>
          </w:tcPr>
          <w:p w14:paraId="110CC592" w14:textId="77777777" w:rsidR="00203F10" w:rsidRPr="00FC75FA" w:rsidRDefault="00203F10" w:rsidP="00203F10">
            <w:pPr>
              <w:spacing w:after="0" w:line="240" w:lineRule="auto"/>
              <w:rPr>
                <w:rFonts w:eastAsiaTheme="minorEastAsia" w:cs="Arial"/>
                <w:sz w:val="20"/>
                <w:szCs w:val="20"/>
                <w:lang w:val="en-US"/>
              </w:rPr>
            </w:pPr>
            <w:r w:rsidRPr="00FC75FA">
              <w:rPr>
                <w:rFonts w:eastAsiaTheme="minorEastAsia" w:cs="Arial"/>
                <w:sz w:val="20"/>
                <w:szCs w:val="20"/>
                <w:lang w:val="en-US"/>
              </w:rPr>
              <w:t>Number of days per year with daily maximum WBGT&gt;28</w:t>
            </w:r>
          </w:p>
        </w:tc>
      </w:tr>
      <w:tr w:rsidR="00203F10" w:rsidRPr="00FA7359" w14:paraId="522C97E6" w14:textId="77777777" w:rsidTr="00215277">
        <w:trPr>
          <w:trHeight w:val="213"/>
        </w:trPr>
        <w:tc>
          <w:tcPr>
            <w:tcW w:w="0" w:type="auto"/>
            <w:vMerge/>
            <w:vAlign w:val="center"/>
          </w:tcPr>
          <w:p w14:paraId="647EE65B" w14:textId="77777777" w:rsidR="00203F10" w:rsidRPr="00FC75FA" w:rsidRDefault="00203F10" w:rsidP="00203F10">
            <w:pPr>
              <w:spacing w:after="0" w:line="240" w:lineRule="auto"/>
              <w:jc w:val="center"/>
              <w:rPr>
                <w:rFonts w:eastAsiaTheme="minorEastAsia" w:cs="Arial"/>
                <w:b/>
                <w:sz w:val="20"/>
                <w:szCs w:val="20"/>
                <w:lang w:val="en-US"/>
              </w:rPr>
            </w:pPr>
          </w:p>
        </w:tc>
        <w:tc>
          <w:tcPr>
            <w:tcW w:w="2070" w:type="dxa"/>
            <w:vMerge/>
            <w:shd w:val="clear" w:color="auto" w:fill="auto"/>
            <w:tcMar>
              <w:top w:w="15" w:type="dxa"/>
              <w:left w:w="15" w:type="dxa"/>
              <w:bottom w:w="0" w:type="dxa"/>
              <w:right w:w="15" w:type="dxa"/>
            </w:tcMar>
            <w:vAlign w:val="center"/>
          </w:tcPr>
          <w:p w14:paraId="73581BE7" w14:textId="77777777" w:rsidR="00203F10" w:rsidRPr="00FC75FA" w:rsidRDefault="00203F10" w:rsidP="00203F10">
            <w:pPr>
              <w:spacing w:after="0" w:line="240" w:lineRule="auto"/>
              <w:jc w:val="center"/>
              <w:rPr>
                <w:rFonts w:eastAsiaTheme="minorEastAsia" w:cs="Arial"/>
                <w:sz w:val="20"/>
                <w:szCs w:val="20"/>
                <w:lang w:val="en-US"/>
              </w:rPr>
            </w:pPr>
          </w:p>
        </w:tc>
        <w:tc>
          <w:tcPr>
            <w:tcW w:w="1284" w:type="dxa"/>
            <w:shd w:val="clear" w:color="auto" w:fill="auto"/>
            <w:tcMar>
              <w:top w:w="10" w:type="dxa"/>
              <w:left w:w="10" w:type="dxa"/>
              <w:bottom w:w="0" w:type="dxa"/>
              <w:right w:w="10" w:type="dxa"/>
            </w:tcMar>
            <w:vAlign w:val="center"/>
          </w:tcPr>
          <w:p w14:paraId="16336DDF" w14:textId="77777777" w:rsidR="00203F10" w:rsidRPr="00FC75FA" w:rsidRDefault="00203F10" w:rsidP="00203F10">
            <w:pPr>
              <w:spacing w:after="0" w:line="240" w:lineRule="auto"/>
              <w:jc w:val="center"/>
              <w:rPr>
                <w:rFonts w:eastAsiaTheme="minorEastAsia" w:cs="Arial"/>
                <w:sz w:val="20"/>
                <w:szCs w:val="20"/>
                <w:vertAlign w:val="superscript"/>
                <w:lang w:val="en-US"/>
              </w:rPr>
            </w:pPr>
            <w:r w:rsidRPr="00FC75FA">
              <w:rPr>
                <w:rFonts w:eastAsiaTheme="minorEastAsia" w:cs="Arial"/>
                <w:sz w:val="20"/>
                <w:szCs w:val="20"/>
                <w:lang w:val="en-US"/>
              </w:rPr>
              <w:t>Chronic</w:t>
            </w:r>
          </w:p>
        </w:tc>
        <w:tc>
          <w:tcPr>
            <w:tcW w:w="3149" w:type="dxa"/>
            <w:shd w:val="clear" w:color="auto" w:fill="auto"/>
            <w:tcMar>
              <w:top w:w="15" w:type="dxa"/>
              <w:left w:w="15" w:type="dxa"/>
              <w:bottom w:w="0" w:type="dxa"/>
              <w:right w:w="15" w:type="dxa"/>
            </w:tcMar>
            <w:vAlign w:val="center"/>
          </w:tcPr>
          <w:p w14:paraId="4E0ACEB7" w14:textId="77777777" w:rsidR="00203F10" w:rsidRPr="00FC75FA" w:rsidRDefault="00203F10" w:rsidP="00203F10">
            <w:pPr>
              <w:spacing w:after="0" w:line="240" w:lineRule="auto"/>
              <w:rPr>
                <w:rFonts w:eastAsiaTheme="minorEastAsia" w:cs="Arial"/>
                <w:sz w:val="20"/>
                <w:szCs w:val="20"/>
                <w:lang w:val="en-US"/>
              </w:rPr>
            </w:pPr>
            <w:r w:rsidRPr="00FC75FA">
              <w:rPr>
                <w:rFonts w:eastAsiaTheme="minorEastAsia" w:cs="Arial"/>
                <w:sz w:val="20"/>
                <w:szCs w:val="20"/>
                <w:lang w:val="en-US"/>
              </w:rPr>
              <w:t>Annual THI (temperature humidity index) load</w:t>
            </w:r>
          </w:p>
        </w:tc>
        <w:tc>
          <w:tcPr>
            <w:tcW w:w="797" w:type="dxa"/>
            <w:shd w:val="clear" w:color="auto" w:fill="auto"/>
            <w:tcMar>
              <w:top w:w="15" w:type="dxa"/>
              <w:left w:w="15" w:type="dxa"/>
              <w:bottom w:w="0" w:type="dxa"/>
              <w:right w:w="15" w:type="dxa"/>
            </w:tcMar>
            <w:vAlign w:val="center"/>
          </w:tcPr>
          <w:p w14:paraId="0FA91FFF" w14:textId="77777777" w:rsidR="00203F10" w:rsidRPr="00367C0B" w:rsidRDefault="00203F10" w:rsidP="00203F10">
            <w:pPr>
              <w:spacing w:after="0" w:line="240" w:lineRule="auto"/>
              <w:jc w:val="center"/>
              <w:rPr>
                <w:rFonts w:eastAsiaTheme="minorEastAsia" w:cs="Arial"/>
                <w:sz w:val="20"/>
                <w:szCs w:val="20"/>
                <w:lang w:val="en-US"/>
              </w:rPr>
            </w:pPr>
            <w:r w:rsidRPr="00FC75FA">
              <w:rPr>
                <w:rFonts w:eastAsiaTheme="minorEastAsia" w:cs="Arial"/>
                <w:sz w:val="20"/>
                <w:szCs w:val="20"/>
                <w:lang w:val="en-US"/>
              </w:rPr>
              <w:t>°C</w:t>
            </w:r>
          </w:p>
        </w:tc>
        <w:tc>
          <w:tcPr>
            <w:tcW w:w="4518" w:type="dxa"/>
            <w:shd w:val="clear" w:color="auto" w:fill="auto"/>
            <w:tcMar>
              <w:top w:w="15" w:type="dxa"/>
              <w:left w:w="15" w:type="dxa"/>
              <w:bottom w:w="0" w:type="dxa"/>
              <w:right w:w="15" w:type="dxa"/>
            </w:tcMar>
            <w:vAlign w:val="center"/>
          </w:tcPr>
          <w:p w14:paraId="663D211F" w14:textId="5AEF7B19" w:rsidR="00203F10" w:rsidRPr="00FC75FA" w:rsidRDefault="00203F10" w:rsidP="00203F10">
            <w:pPr>
              <w:spacing w:after="0" w:line="240" w:lineRule="auto"/>
              <w:rPr>
                <w:rFonts w:eastAsiaTheme="minorEastAsia" w:cs="Arial"/>
                <w:sz w:val="20"/>
                <w:szCs w:val="20"/>
                <w:lang w:val="en-US"/>
              </w:rPr>
            </w:pPr>
            <w:r w:rsidRPr="00FC75FA">
              <w:rPr>
                <w:rFonts w:eastAsiaTheme="minorEastAsia" w:cs="Arial"/>
                <w:sz w:val="20"/>
                <w:szCs w:val="20"/>
                <w:lang w:val="en-US"/>
              </w:rPr>
              <w:t>Annual temperature humidity index cumulative load above 70°C (very high threshold for livestock heat stress)</w:t>
            </w:r>
          </w:p>
        </w:tc>
      </w:tr>
      <w:tr w:rsidR="00203F10" w:rsidRPr="00FA7359" w14:paraId="2D26CFF1" w14:textId="77777777" w:rsidTr="00215277">
        <w:trPr>
          <w:trHeight w:val="213"/>
        </w:trPr>
        <w:tc>
          <w:tcPr>
            <w:tcW w:w="0" w:type="auto"/>
            <w:vMerge/>
            <w:vAlign w:val="center"/>
          </w:tcPr>
          <w:p w14:paraId="13CC3324" w14:textId="77777777" w:rsidR="00203F10" w:rsidRPr="00FC75FA" w:rsidRDefault="00203F10" w:rsidP="00203F10">
            <w:pPr>
              <w:spacing w:after="0" w:line="240" w:lineRule="auto"/>
              <w:jc w:val="center"/>
              <w:rPr>
                <w:rFonts w:eastAsiaTheme="minorEastAsia" w:cs="Arial"/>
                <w:b/>
                <w:sz w:val="20"/>
                <w:szCs w:val="20"/>
                <w:lang w:val="en-US"/>
              </w:rPr>
            </w:pPr>
          </w:p>
        </w:tc>
        <w:tc>
          <w:tcPr>
            <w:tcW w:w="2070" w:type="dxa"/>
            <w:vMerge/>
            <w:shd w:val="clear" w:color="auto" w:fill="auto"/>
            <w:tcMar>
              <w:top w:w="15" w:type="dxa"/>
              <w:left w:w="15" w:type="dxa"/>
              <w:bottom w:w="0" w:type="dxa"/>
              <w:right w:w="15" w:type="dxa"/>
            </w:tcMar>
            <w:vAlign w:val="center"/>
          </w:tcPr>
          <w:p w14:paraId="1BD2A4BA" w14:textId="77777777" w:rsidR="00203F10" w:rsidRPr="00FC75FA" w:rsidRDefault="00203F10" w:rsidP="00203F10">
            <w:pPr>
              <w:spacing w:after="0" w:line="240" w:lineRule="auto"/>
              <w:jc w:val="center"/>
              <w:rPr>
                <w:rFonts w:eastAsiaTheme="minorEastAsia" w:cs="Arial"/>
                <w:sz w:val="20"/>
                <w:szCs w:val="20"/>
                <w:lang w:val="en-US"/>
              </w:rPr>
            </w:pPr>
          </w:p>
        </w:tc>
        <w:tc>
          <w:tcPr>
            <w:tcW w:w="1284" w:type="dxa"/>
            <w:shd w:val="clear" w:color="auto" w:fill="auto"/>
            <w:tcMar>
              <w:top w:w="10" w:type="dxa"/>
              <w:left w:w="10" w:type="dxa"/>
              <w:bottom w:w="0" w:type="dxa"/>
              <w:right w:w="10" w:type="dxa"/>
            </w:tcMar>
            <w:vAlign w:val="center"/>
          </w:tcPr>
          <w:p w14:paraId="7B063355" w14:textId="77777777" w:rsidR="00203F10" w:rsidRPr="00FC75FA" w:rsidRDefault="00203F10" w:rsidP="00203F10">
            <w:pPr>
              <w:spacing w:after="0" w:line="240" w:lineRule="auto"/>
              <w:jc w:val="center"/>
              <w:rPr>
                <w:rFonts w:eastAsiaTheme="minorEastAsia" w:cs="Arial"/>
                <w:sz w:val="20"/>
                <w:szCs w:val="20"/>
                <w:vertAlign w:val="superscript"/>
                <w:lang w:val="en-US"/>
              </w:rPr>
            </w:pPr>
            <w:r w:rsidRPr="00FC75FA">
              <w:rPr>
                <w:rFonts w:eastAsiaTheme="minorEastAsia" w:cs="Arial"/>
                <w:sz w:val="20"/>
                <w:szCs w:val="20"/>
                <w:lang w:val="en-US"/>
              </w:rPr>
              <w:t>Acute</w:t>
            </w:r>
          </w:p>
        </w:tc>
        <w:tc>
          <w:tcPr>
            <w:tcW w:w="3149" w:type="dxa"/>
            <w:shd w:val="clear" w:color="auto" w:fill="auto"/>
            <w:tcMar>
              <w:top w:w="15" w:type="dxa"/>
              <w:left w:w="15" w:type="dxa"/>
              <w:bottom w:w="0" w:type="dxa"/>
              <w:right w:w="15" w:type="dxa"/>
            </w:tcMar>
            <w:vAlign w:val="center"/>
          </w:tcPr>
          <w:p w14:paraId="37EC33D3" w14:textId="77777777" w:rsidR="00203F10" w:rsidRPr="00FC75FA" w:rsidRDefault="00203F10" w:rsidP="00203F10">
            <w:pPr>
              <w:spacing w:after="0" w:line="240" w:lineRule="auto"/>
              <w:rPr>
                <w:rFonts w:eastAsiaTheme="minorEastAsia" w:cs="Arial"/>
                <w:sz w:val="20"/>
                <w:szCs w:val="20"/>
                <w:lang w:val="en-US"/>
              </w:rPr>
            </w:pPr>
            <w:r w:rsidRPr="00FC75FA">
              <w:rPr>
                <w:rFonts w:eastAsiaTheme="minorEastAsia" w:cs="Arial"/>
                <w:sz w:val="20"/>
                <w:szCs w:val="20"/>
                <w:lang w:val="en-US"/>
              </w:rPr>
              <w:t>Annual maximum of THI (temperature humidity index)</w:t>
            </w:r>
          </w:p>
        </w:tc>
        <w:tc>
          <w:tcPr>
            <w:tcW w:w="797" w:type="dxa"/>
            <w:shd w:val="clear" w:color="auto" w:fill="auto"/>
            <w:tcMar>
              <w:top w:w="15" w:type="dxa"/>
              <w:left w:w="15" w:type="dxa"/>
              <w:bottom w:w="0" w:type="dxa"/>
              <w:right w:w="15" w:type="dxa"/>
            </w:tcMar>
            <w:vAlign w:val="center"/>
          </w:tcPr>
          <w:p w14:paraId="7B8CE783" w14:textId="77777777" w:rsidR="00203F10" w:rsidRPr="00367C0B" w:rsidRDefault="00203F10" w:rsidP="00203F10">
            <w:pPr>
              <w:spacing w:after="0" w:line="240" w:lineRule="auto"/>
              <w:jc w:val="center"/>
              <w:rPr>
                <w:rFonts w:eastAsiaTheme="minorEastAsia" w:cs="Arial"/>
                <w:sz w:val="20"/>
                <w:szCs w:val="20"/>
                <w:lang w:val="en-US"/>
              </w:rPr>
            </w:pPr>
            <w:r w:rsidRPr="00FC75FA">
              <w:rPr>
                <w:rFonts w:eastAsiaTheme="minorEastAsia" w:cs="Arial"/>
                <w:sz w:val="20"/>
                <w:szCs w:val="20"/>
                <w:lang w:val="en-US"/>
              </w:rPr>
              <w:t>°C</w:t>
            </w:r>
          </w:p>
        </w:tc>
        <w:tc>
          <w:tcPr>
            <w:tcW w:w="4518" w:type="dxa"/>
            <w:shd w:val="clear" w:color="auto" w:fill="auto"/>
            <w:tcMar>
              <w:top w:w="15" w:type="dxa"/>
              <w:left w:w="15" w:type="dxa"/>
              <w:bottom w:w="0" w:type="dxa"/>
              <w:right w:w="15" w:type="dxa"/>
            </w:tcMar>
            <w:vAlign w:val="center"/>
          </w:tcPr>
          <w:p w14:paraId="679A7FD4" w14:textId="77777777" w:rsidR="00203F10" w:rsidRPr="00FC75FA" w:rsidRDefault="00203F10" w:rsidP="00203F10">
            <w:pPr>
              <w:spacing w:after="0" w:line="240" w:lineRule="auto"/>
              <w:rPr>
                <w:rFonts w:eastAsiaTheme="minorEastAsia" w:cs="Arial"/>
                <w:sz w:val="20"/>
                <w:szCs w:val="20"/>
                <w:lang w:val="en-US"/>
              </w:rPr>
            </w:pPr>
            <w:r w:rsidRPr="00FC75FA">
              <w:rPr>
                <w:rFonts w:eastAsiaTheme="minorEastAsia" w:cs="Arial"/>
                <w:sz w:val="20"/>
                <w:szCs w:val="20"/>
                <w:lang w:val="en-US"/>
              </w:rPr>
              <w:t>Annual maximum of daily temperature humidity index</w:t>
            </w:r>
          </w:p>
        </w:tc>
      </w:tr>
      <w:tr w:rsidR="00203F10" w:rsidRPr="00FA7359" w14:paraId="6978565C" w14:textId="77777777" w:rsidTr="00215277">
        <w:trPr>
          <w:trHeight w:val="213"/>
        </w:trPr>
        <w:tc>
          <w:tcPr>
            <w:tcW w:w="0" w:type="auto"/>
            <w:vMerge w:val="restart"/>
            <w:vAlign w:val="center"/>
          </w:tcPr>
          <w:p w14:paraId="4594DAE8" w14:textId="74DFA5A8" w:rsidR="00203F10" w:rsidRPr="00FC75FA" w:rsidRDefault="00203F10" w:rsidP="00203F10">
            <w:pPr>
              <w:spacing w:after="0" w:line="240" w:lineRule="auto"/>
              <w:jc w:val="center"/>
              <w:rPr>
                <w:rFonts w:eastAsiaTheme="minorEastAsia" w:cs="Arial"/>
                <w:b/>
                <w:sz w:val="20"/>
                <w:szCs w:val="20"/>
                <w:lang w:val="en-US"/>
              </w:rPr>
            </w:pPr>
            <w:r>
              <w:rPr>
                <w:rFonts w:eastAsiaTheme="minorEastAsia" w:cs="Arial"/>
                <w:b/>
                <w:sz w:val="20"/>
                <w:szCs w:val="20"/>
                <w:lang w:val="en-US"/>
              </w:rPr>
              <w:t>Extreme Weather</w:t>
            </w:r>
          </w:p>
        </w:tc>
        <w:tc>
          <w:tcPr>
            <w:tcW w:w="2070" w:type="dxa"/>
            <w:shd w:val="clear" w:color="auto" w:fill="auto"/>
            <w:tcMar>
              <w:top w:w="15" w:type="dxa"/>
              <w:left w:w="15" w:type="dxa"/>
              <w:bottom w:w="0" w:type="dxa"/>
              <w:right w:w="15" w:type="dxa"/>
            </w:tcMar>
            <w:vAlign w:val="center"/>
          </w:tcPr>
          <w:p w14:paraId="7A9EC567" w14:textId="4DD9F2FE" w:rsidR="00203F10" w:rsidRPr="00FC75FA" w:rsidRDefault="00203F10" w:rsidP="00203F10">
            <w:pPr>
              <w:spacing w:after="0" w:line="240" w:lineRule="auto"/>
              <w:jc w:val="center"/>
              <w:rPr>
                <w:rFonts w:eastAsiaTheme="minorEastAsia" w:cs="Arial"/>
                <w:sz w:val="20"/>
                <w:szCs w:val="20"/>
                <w:lang w:val="en-US"/>
              </w:rPr>
            </w:pPr>
            <w:r>
              <w:rPr>
                <w:rFonts w:eastAsiaTheme="minorEastAsia" w:cs="Arial"/>
                <w:sz w:val="20"/>
                <w:szCs w:val="20"/>
                <w:lang w:val="en-US"/>
              </w:rPr>
              <w:t>Atmospheric instability</w:t>
            </w:r>
          </w:p>
        </w:tc>
        <w:tc>
          <w:tcPr>
            <w:tcW w:w="1284" w:type="dxa"/>
            <w:shd w:val="clear" w:color="auto" w:fill="auto"/>
            <w:tcMar>
              <w:top w:w="10" w:type="dxa"/>
              <w:left w:w="10" w:type="dxa"/>
              <w:bottom w:w="0" w:type="dxa"/>
              <w:right w:w="10" w:type="dxa"/>
            </w:tcMar>
            <w:vAlign w:val="center"/>
          </w:tcPr>
          <w:p w14:paraId="3807F96E" w14:textId="77777777" w:rsidR="00203F10" w:rsidRPr="00FC75FA" w:rsidRDefault="00203F10" w:rsidP="00203F10">
            <w:pPr>
              <w:spacing w:after="0" w:line="240" w:lineRule="auto"/>
              <w:jc w:val="center"/>
              <w:rPr>
                <w:rFonts w:eastAsiaTheme="minorEastAsia" w:cs="Arial"/>
                <w:sz w:val="20"/>
                <w:szCs w:val="20"/>
                <w:vertAlign w:val="superscript"/>
                <w:lang w:val="en-US"/>
              </w:rPr>
            </w:pPr>
            <w:r w:rsidRPr="00FC75FA">
              <w:rPr>
                <w:rFonts w:eastAsiaTheme="minorEastAsia" w:cs="Arial"/>
                <w:sz w:val="20"/>
                <w:szCs w:val="20"/>
                <w:lang w:val="en-US"/>
              </w:rPr>
              <w:t>Acute</w:t>
            </w:r>
          </w:p>
        </w:tc>
        <w:tc>
          <w:tcPr>
            <w:tcW w:w="3149" w:type="dxa"/>
            <w:shd w:val="clear" w:color="auto" w:fill="auto"/>
            <w:tcMar>
              <w:top w:w="15" w:type="dxa"/>
              <w:left w:w="15" w:type="dxa"/>
              <w:bottom w:w="0" w:type="dxa"/>
              <w:right w:w="15" w:type="dxa"/>
            </w:tcMar>
            <w:vAlign w:val="center"/>
          </w:tcPr>
          <w:p w14:paraId="24F8B1ED" w14:textId="62425FF5" w:rsidR="00203F10" w:rsidRPr="00FC75FA" w:rsidRDefault="00203F10" w:rsidP="00203F10">
            <w:pPr>
              <w:spacing w:after="0" w:line="240" w:lineRule="auto"/>
              <w:jc w:val="left"/>
              <w:rPr>
                <w:rFonts w:eastAsiaTheme="minorEastAsia" w:cs="Arial"/>
                <w:sz w:val="20"/>
                <w:szCs w:val="20"/>
                <w:lang w:val="en-US"/>
              </w:rPr>
            </w:pPr>
            <w:r w:rsidRPr="00311C09">
              <w:rPr>
                <w:rFonts w:eastAsiaTheme="minorEastAsia" w:cs="Arial"/>
                <w:sz w:val="20"/>
                <w:szCs w:val="20"/>
                <w:lang w:val="en-US"/>
              </w:rPr>
              <w:t>Annual maximum Convective Available Potential Energy</w:t>
            </w:r>
          </w:p>
        </w:tc>
        <w:tc>
          <w:tcPr>
            <w:tcW w:w="797" w:type="dxa"/>
            <w:shd w:val="clear" w:color="auto" w:fill="auto"/>
            <w:tcMar>
              <w:top w:w="15" w:type="dxa"/>
              <w:left w:w="15" w:type="dxa"/>
              <w:bottom w:w="0" w:type="dxa"/>
              <w:right w:w="15" w:type="dxa"/>
            </w:tcMar>
            <w:vAlign w:val="center"/>
          </w:tcPr>
          <w:p w14:paraId="73CE9714" w14:textId="39DA7596" w:rsidR="00203F10" w:rsidRPr="00FC75FA" w:rsidRDefault="00203F10" w:rsidP="00203F10">
            <w:pPr>
              <w:spacing w:after="0" w:line="240" w:lineRule="auto"/>
              <w:jc w:val="center"/>
              <w:rPr>
                <w:rFonts w:eastAsiaTheme="minorEastAsia" w:cs="Arial"/>
                <w:sz w:val="20"/>
                <w:szCs w:val="20"/>
                <w:lang w:val="en-US"/>
              </w:rPr>
            </w:pPr>
            <w:r>
              <w:rPr>
                <w:rFonts w:eastAsiaTheme="minorEastAsia" w:cs="Arial"/>
                <w:sz w:val="20"/>
                <w:szCs w:val="20"/>
                <w:lang w:val="en-US"/>
              </w:rPr>
              <w:t>J/kg</w:t>
            </w:r>
          </w:p>
        </w:tc>
        <w:tc>
          <w:tcPr>
            <w:tcW w:w="4518" w:type="dxa"/>
            <w:shd w:val="clear" w:color="auto" w:fill="auto"/>
            <w:tcMar>
              <w:top w:w="15" w:type="dxa"/>
              <w:left w:w="15" w:type="dxa"/>
              <w:bottom w:w="0" w:type="dxa"/>
              <w:right w:w="15" w:type="dxa"/>
            </w:tcMar>
            <w:vAlign w:val="center"/>
          </w:tcPr>
          <w:p w14:paraId="5786CD21" w14:textId="7C63547D" w:rsidR="00203F10" w:rsidRPr="00FC75FA" w:rsidRDefault="00203F10" w:rsidP="00203F10">
            <w:pPr>
              <w:spacing w:after="0" w:line="240" w:lineRule="auto"/>
              <w:rPr>
                <w:rFonts w:eastAsiaTheme="minorEastAsia" w:cs="Arial"/>
                <w:sz w:val="20"/>
                <w:szCs w:val="20"/>
                <w:lang w:val="en-US"/>
              </w:rPr>
            </w:pPr>
            <w:r w:rsidRPr="008A2B3B">
              <w:rPr>
                <w:rFonts w:eastAsiaTheme="minorEastAsia" w:cs="Arial"/>
                <w:sz w:val="20"/>
                <w:szCs w:val="20"/>
                <w:lang w:val="en-US"/>
              </w:rPr>
              <w:t>Annual maximum of the daily Convective Available Potential Energy</w:t>
            </w:r>
          </w:p>
        </w:tc>
      </w:tr>
      <w:tr w:rsidR="00203F10" w:rsidRPr="00FA7359" w14:paraId="40065D70" w14:textId="77777777" w:rsidTr="00215277">
        <w:trPr>
          <w:trHeight w:val="213"/>
        </w:trPr>
        <w:tc>
          <w:tcPr>
            <w:tcW w:w="0" w:type="auto"/>
            <w:vMerge/>
            <w:vAlign w:val="center"/>
          </w:tcPr>
          <w:p w14:paraId="1B5EFA72" w14:textId="77777777" w:rsidR="00203F10" w:rsidRPr="00FC75FA" w:rsidRDefault="00203F10" w:rsidP="00203F10">
            <w:pPr>
              <w:spacing w:after="0" w:line="240" w:lineRule="auto"/>
              <w:jc w:val="center"/>
              <w:rPr>
                <w:rFonts w:eastAsiaTheme="minorEastAsia" w:cs="Arial"/>
                <w:b/>
                <w:sz w:val="20"/>
                <w:szCs w:val="20"/>
                <w:lang w:val="en-US"/>
              </w:rPr>
            </w:pPr>
          </w:p>
        </w:tc>
        <w:tc>
          <w:tcPr>
            <w:tcW w:w="2070" w:type="dxa"/>
            <w:vMerge w:val="restart"/>
            <w:shd w:val="clear" w:color="auto" w:fill="auto"/>
            <w:tcMar>
              <w:top w:w="15" w:type="dxa"/>
              <w:left w:w="15" w:type="dxa"/>
              <w:bottom w:w="0" w:type="dxa"/>
              <w:right w:w="15" w:type="dxa"/>
            </w:tcMar>
            <w:vAlign w:val="center"/>
          </w:tcPr>
          <w:p w14:paraId="25BAB770" w14:textId="713D3B83" w:rsidR="00203F10" w:rsidRPr="00FC75FA" w:rsidRDefault="00203F10" w:rsidP="00203F10">
            <w:pPr>
              <w:spacing w:after="0" w:line="240" w:lineRule="auto"/>
              <w:jc w:val="center"/>
              <w:rPr>
                <w:rFonts w:eastAsiaTheme="minorEastAsia" w:cs="Arial"/>
                <w:sz w:val="20"/>
                <w:szCs w:val="20"/>
                <w:lang w:val="en-US"/>
              </w:rPr>
            </w:pPr>
            <w:r>
              <w:rPr>
                <w:rFonts w:eastAsiaTheme="minorEastAsia" w:cs="Arial"/>
                <w:sz w:val="20"/>
                <w:szCs w:val="20"/>
                <w:lang w:val="en-US"/>
              </w:rPr>
              <w:t>Wind gust</w:t>
            </w:r>
          </w:p>
        </w:tc>
        <w:tc>
          <w:tcPr>
            <w:tcW w:w="1284" w:type="dxa"/>
            <w:shd w:val="clear" w:color="auto" w:fill="auto"/>
            <w:tcMar>
              <w:top w:w="10" w:type="dxa"/>
              <w:left w:w="10" w:type="dxa"/>
              <w:bottom w:w="0" w:type="dxa"/>
              <w:right w:w="10" w:type="dxa"/>
            </w:tcMar>
            <w:vAlign w:val="center"/>
          </w:tcPr>
          <w:p w14:paraId="071C1D3B" w14:textId="77777777" w:rsidR="00203F10" w:rsidRPr="00FC75FA" w:rsidRDefault="00203F10" w:rsidP="00203F10">
            <w:pPr>
              <w:spacing w:after="0" w:line="240" w:lineRule="auto"/>
              <w:jc w:val="center"/>
              <w:rPr>
                <w:rFonts w:eastAsiaTheme="minorEastAsia" w:cs="Arial"/>
                <w:sz w:val="20"/>
                <w:szCs w:val="20"/>
                <w:vertAlign w:val="superscript"/>
                <w:lang w:val="en-US"/>
              </w:rPr>
            </w:pPr>
            <w:r w:rsidRPr="00FC75FA">
              <w:rPr>
                <w:rFonts w:eastAsiaTheme="minorEastAsia" w:cs="Arial"/>
                <w:sz w:val="20"/>
                <w:szCs w:val="20"/>
                <w:lang w:val="en-US"/>
              </w:rPr>
              <w:t>Chronic</w:t>
            </w:r>
          </w:p>
        </w:tc>
        <w:tc>
          <w:tcPr>
            <w:tcW w:w="3149" w:type="dxa"/>
            <w:shd w:val="clear" w:color="auto" w:fill="auto"/>
            <w:tcMar>
              <w:top w:w="15" w:type="dxa"/>
              <w:left w:w="15" w:type="dxa"/>
              <w:bottom w:w="0" w:type="dxa"/>
              <w:right w:w="15" w:type="dxa"/>
            </w:tcMar>
            <w:vAlign w:val="center"/>
          </w:tcPr>
          <w:p w14:paraId="5C9A163B" w14:textId="0C8B8624" w:rsidR="00203F10" w:rsidRPr="00215277" w:rsidRDefault="00203F10" w:rsidP="00203F10">
            <w:pPr>
              <w:spacing w:after="0" w:line="240" w:lineRule="auto"/>
              <w:rPr>
                <w:rFonts w:eastAsiaTheme="minorEastAsia" w:cs="Arial"/>
                <w:sz w:val="20"/>
                <w:szCs w:val="20"/>
                <w:lang w:val="en-US"/>
              </w:rPr>
            </w:pPr>
            <w:r w:rsidRPr="00215277">
              <w:rPr>
                <w:rFonts w:eastAsiaTheme="minorEastAsia" w:cs="Arial"/>
                <w:sz w:val="20"/>
                <w:szCs w:val="20"/>
                <w:lang w:val="en-US"/>
              </w:rPr>
              <w:t>Maximum wind gust speed (100-yearn return period)</w:t>
            </w:r>
          </w:p>
        </w:tc>
        <w:tc>
          <w:tcPr>
            <w:tcW w:w="797" w:type="dxa"/>
            <w:shd w:val="clear" w:color="auto" w:fill="auto"/>
            <w:tcMar>
              <w:top w:w="15" w:type="dxa"/>
              <w:left w:w="15" w:type="dxa"/>
              <w:bottom w:w="0" w:type="dxa"/>
              <w:right w:w="15" w:type="dxa"/>
            </w:tcMar>
            <w:vAlign w:val="center"/>
          </w:tcPr>
          <w:p w14:paraId="1E53BF4F" w14:textId="77777777" w:rsidR="00203F10" w:rsidRPr="00FC75FA" w:rsidRDefault="00203F10" w:rsidP="00203F10">
            <w:pPr>
              <w:spacing w:after="0" w:line="240" w:lineRule="auto"/>
              <w:jc w:val="center"/>
              <w:rPr>
                <w:rFonts w:eastAsiaTheme="minorEastAsia" w:cs="Arial"/>
                <w:sz w:val="20"/>
                <w:szCs w:val="20"/>
                <w:lang w:val="en-US"/>
              </w:rPr>
            </w:pPr>
            <w:r w:rsidRPr="00FC75FA">
              <w:rPr>
                <w:rFonts w:eastAsiaTheme="minorEastAsia" w:cs="Arial"/>
                <w:sz w:val="20"/>
                <w:szCs w:val="20"/>
                <w:lang w:val="en-US"/>
              </w:rPr>
              <w:t>°C</w:t>
            </w:r>
          </w:p>
        </w:tc>
        <w:tc>
          <w:tcPr>
            <w:tcW w:w="4518" w:type="dxa"/>
            <w:shd w:val="clear" w:color="auto" w:fill="auto"/>
            <w:tcMar>
              <w:top w:w="15" w:type="dxa"/>
              <w:left w:w="15" w:type="dxa"/>
              <w:bottom w:w="0" w:type="dxa"/>
              <w:right w:w="15" w:type="dxa"/>
            </w:tcMar>
            <w:vAlign w:val="center"/>
          </w:tcPr>
          <w:p w14:paraId="0DDF066E" w14:textId="02A436E5" w:rsidR="00203F10" w:rsidRPr="00FC75FA" w:rsidRDefault="00203F10" w:rsidP="00203F10">
            <w:pPr>
              <w:spacing w:after="0" w:line="240" w:lineRule="auto"/>
              <w:rPr>
                <w:rFonts w:eastAsiaTheme="minorEastAsia" w:cs="Arial"/>
                <w:sz w:val="20"/>
                <w:szCs w:val="20"/>
                <w:lang w:val="en-US"/>
              </w:rPr>
            </w:pPr>
            <w:r w:rsidRPr="00867CB4">
              <w:rPr>
                <w:rFonts w:eastAsiaTheme="minorEastAsia" w:cs="Arial"/>
                <w:sz w:val="20"/>
                <w:szCs w:val="20"/>
                <w:lang w:val="en-US"/>
              </w:rPr>
              <w:t>Annual maximum of daily wind gust speed (100-year frequency event)</w:t>
            </w:r>
          </w:p>
        </w:tc>
      </w:tr>
      <w:tr w:rsidR="00203F10" w:rsidRPr="00FA7359" w14:paraId="5D9429D2" w14:textId="77777777">
        <w:trPr>
          <w:trHeight w:val="213"/>
        </w:trPr>
        <w:tc>
          <w:tcPr>
            <w:tcW w:w="0" w:type="auto"/>
            <w:vMerge/>
            <w:vAlign w:val="center"/>
          </w:tcPr>
          <w:p w14:paraId="5FC3F146" w14:textId="77777777" w:rsidR="00203F10" w:rsidRPr="00FC75FA" w:rsidRDefault="00203F10" w:rsidP="00203F10">
            <w:pPr>
              <w:spacing w:after="0" w:line="240" w:lineRule="auto"/>
              <w:jc w:val="center"/>
              <w:rPr>
                <w:rFonts w:eastAsiaTheme="minorEastAsia" w:cs="Arial"/>
                <w:b/>
                <w:sz w:val="20"/>
                <w:szCs w:val="20"/>
                <w:lang w:val="en-US"/>
              </w:rPr>
            </w:pPr>
          </w:p>
        </w:tc>
        <w:tc>
          <w:tcPr>
            <w:tcW w:w="2070" w:type="dxa"/>
            <w:vMerge/>
            <w:shd w:val="clear" w:color="auto" w:fill="auto"/>
            <w:tcMar>
              <w:top w:w="15" w:type="dxa"/>
              <w:left w:w="15" w:type="dxa"/>
              <w:bottom w:w="0" w:type="dxa"/>
              <w:right w:w="15" w:type="dxa"/>
            </w:tcMar>
            <w:vAlign w:val="center"/>
          </w:tcPr>
          <w:p w14:paraId="7B0C02E9" w14:textId="77777777" w:rsidR="00203F10" w:rsidRDefault="00203F10" w:rsidP="00203F10">
            <w:pPr>
              <w:spacing w:after="0" w:line="240" w:lineRule="auto"/>
              <w:jc w:val="center"/>
              <w:rPr>
                <w:rFonts w:eastAsiaTheme="minorEastAsia" w:cs="Arial"/>
                <w:sz w:val="20"/>
                <w:szCs w:val="20"/>
                <w:lang w:val="en-US"/>
              </w:rPr>
            </w:pPr>
          </w:p>
        </w:tc>
        <w:tc>
          <w:tcPr>
            <w:tcW w:w="1284" w:type="dxa"/>
            <w:shd w:val="clear" w:color="auto" w:fill="auto"/>
            <w:tcMar>
              <w:top w:w="10" w:type="dxa"/>
              <w:left w:w="10" w:type="dxa"/>
              <w:bottom w:w="0" w:type="dxa"/>
              <w:right w:w="10" w:type="dxa"/>
            </w:tcMar>
          </w:tcPr>
          <w:p w14:paraId="16D8A7D9" w14:textId="0704A3B5" w:rsidR="00203F10" w:rsidRPr="00FC75FA" w:rsidRDefault="00203F10" w:rsidP="00203F10">
            <w:pPr>
              <w:spacing w:after="0" w:line="240" w:lineRule="auto"/>
              <w:jc w:val="center"/>
              <w:rPr>
                <w:rFonts w:eastAsiaTheme="minorEastAsia" w:cs="Arial"/>
                <w:sz w:val="20"/>
                <w:szCs w:val="20"/>
                <w:lang w:val="en-US"/>
              </w:rPr>
            </w:pPr>
            <w:r w:rsidRPr="004A23E5">
              <w:rPr>
                <w:rFonts w:eastAsiaTheme="minorEastAsia" w:cs="Arial"/>
                <w:sz w:val="20"/>
                <w:szCs w:val="20"/>
                <w:lang w:val="en-US"/>
              </w:rPr>
              <w:t>Chronic</w:t>
            </w:r>
          </w:p>
        </w:tc>
        <w:tc>
          <w:tcPr>
            <w:tcW w:w="3149" w:type="dxa"/>
            <w:shd w:val="clear" w:color="auto" w:fill="auto"/>
            <w:tcMar>
              <w:top w:w="15" w:type="dxa"/>
              <w:left w:w="15" w:type="dxa"/>
              <w:bottom w:w="0" w:type="dxa"/>
              <w:right w:w="15" w:type="dxa"/>
            </w:tcMar>
            <w:vAlign w:val="center"/>
          </w:tcPr>
          <w:p w14:paraId="10ABE569" w14:textId="5FA5BEFC" w:rsidR="00203F10" w:rsidRPr="00FC75FA" w:rsidRDefault="00203F10" w:rsidP="00203F10">
            <w:pPr>
              <w:spacing w:after="0" w:line="240" w:lineRule="auto"/>
              <w:rPr>
                <w:rFonts w:eastAsiaTheme="minorEastAsia" w:cs="Arial"/>
                <w:sz w:val="20"/>
                <w:szCs w:val="20"/>
                <w:lang w:val="en-US"/>
              </w:rPr>
            </w:pPr>
            <w:r w:rsidRPr="00215277">
              <w:rPr>
                <w:rFonts w:eastAsiaTheme="minorEastAsia" w:cs="Arial"/>
                <w:sz w:val="20"/>
                <w:szCs w:val="20"/>
                <w:lang w:val="en-US"/>
              </w:rPr>
              <w:t>Maximum wind gust speed</w:t>
            </w:r>
          </w:p>
        </w:tc>
        <w:tc>
          <w:tcPr>
            <w:tcW w:w="797" w:type="dxa"/>
            <w:shd w:val="clear" w:color="auto" w:fill="auto"/>
            <w:tcMar>
              <w:top w:w="15" w:type="dxa"/>
              <w:left w:w="15" w:type="dxa"/>
              <w:bottom w:w="0" w:type="dxa"/>
              <w:right w:w="15" w:type="dxa"/>
            </w:tcMar>
          </w:tcPr>
          <w:p w14:paraId="2D8C9BC0" w14:textId="3346FF2A" w:rsidR="00203F10" w:rsidRPr="00FC75FA" w:rsidRDefault="00203F10" w:rsidP="00203F10">
            <w:pPr>
              <w:spacing w:after="0" w:line="240" w:lineRule="auto"/>
              <w:jc w:val="center"/>
              <w:rPr>
                <w:rFonts w:eastAsiaTheme="minorEastAsia" w:cs="Arial"/>
                <w:sz w:val="20"/>
                <w:szCs w:val="20"/>
                <w:lang w:val="en-US"/>
              </w:rPr>
            </w:pPr>
            <w:r w:rsidRPr="00367C0B">
              <w:rPr>
                <w:lang w:val="en-US"/>
              </w:rPr>
              <w:t>m/s</w:t>
            </w:r>
          </w:p>
        </w:tc>
        <w:tc>
          <w:tcPr>
            <w:tcW w:w="4518" w:type="dxa"/>
            <w:shd w:val="clear" w:color="auto" w:fill="auto"/>
            <w:tcMar>
              <w:top w:w="15" w:type="dxa"/>
              <w:left w:w="15" w:type="dxa"/>
              <w:bottom w:w="0" w:type="dxa"/>
              <w:right w:w="15" w:type="dxa"/>
            </w:tcMar>
            <w:vAlign w:val="center"/>
          </w:tcPr>
          <w:p w14:paraId="063FEDD8" w14:textId="70DAAECE" w:rsidR="00203F10" w:rsidRPr="00FC75FA" w:rsidRDefault="00203F10" w:rsidP="00203F10">
            <w:pPr>
              <w:spacing w:after="0" w:line="240" w:lineRule="auto"/>
              <w:rPr>
                <w:rFonts w:eastAsiaTheme="minorEastAsia" w:cs="Arial"/>
                <w:sz w:val="20"/>
                <w:szCs w:val="20"/>
                <w:lang w:val="en-US"/>
              </w:rPr>
            </w:pPr>
            <w:r w:rsidRPr="00867CB4">
              <w:rPr>
                <w:rFonts w:eastAsiaTheme="minorEastAsia" w:cs="Arial"/>
                <w:sz w:val="20"/>
                <w:szCs w:val="20"/>
                <w:lang w:val="en-US"/>
              </w:rPr>
              <w:t>Annual maximum of daily wind gust speed</w:t>
            </w:r>
          </w:p>
        </w:tc>
      </w:tr>
      <w:tr w:rsidR="00203F10" w:rsidRPr="00FA7359" w14:paraId="1861C972" w14:textId="77777777">
        <w:trPr>
          <w:trHeight w:val="213"/>
        </w:trPr>
        <w:tc>
          <w:tcPr>
            <w:tcW w:w="0" w:type="auto"/>
            <w:vMerge/>
            <w:vAlign w:val="center"/>
          </w:tcPr>
          <w:p w14:paraId="4F7DD78C" w14:textId="77777777" w:rsidR="00203F10" w:rsidRPr="00FC75FA" w:rsidRDefault="00203F10" w:rsidP="00203F10">
            <w:pPr>
              <w:spacing w:after="0" w:line="240" w:lineRule="auto"/>
              <w:jc w:val="center"/>
              <w:rPr>
                <w:rFonts w:eastAsiaTheme="minorEastAsia" w:cs="Arial"/>
                <w:b/>
                <w:sz w:val="20"/>
                <w:szCs w:val="20"/>
                <w:lang w:val="en-US"/>
              </w:rPr>
            </w:pPr>
          </w:p>
        </w:tc>
        <w:tc>
          <w:tcPr>
            <w:tcW w:w="2070" w:type="dxa"/>
            <w:vMerge/>
            <w:shd w:val="clear" w:color="auto" w:fill="auto"/>
            <w:tcMar>
              <w:top w:w="15" w:type="dxa"/>
              <w:left w:w="15" w:type="dxa"/>
              <w:bottom w:w="0" w:type="dxa"/>
              <w:right w:w="15" w:type="dxa"/>
            </w:tcMar>
            <w:vAlign w:val="center"/>
          </w:tcPr>
          <w:p w14:paraId="29C2E73C" w14:textId="77777777" w:rsidR="00203F10" w:rsidRDefault="00203F10" w:rsidP="00203F10">
            <w:pPr>
              <w:spacing w:after="0" w:line="240" w:lineRule="auto"/>
              <w:jc w:val="center"/>
              <w:rPr>
                <w:rFonts w:eastAsiaTheme="minorEastAsia" w:cs="Arial"/>
                <w:sz w:val="20"/>
                <w:szCs w:val="20"/>
                <w:lang w:val="en-US"/>
              </w:rPr>
            </w:pPr>
          </w:p>
        </w:tc>
        <w:tc>
          <w:tcPr>
            <w:tcW w:w="1284" w:type="dxa"/>
            <w:shd w:val="clear" w:color="auto" w:fill="auto"/>
            <w:tcMar>
              <w:top w:w="10" w:type="dxa"/>
              <w:left w:w="10" w:type="dxa"/>
              <w:bottom w:w="0" w:type="dxa"/>
              <w:right w:w="10" w:type="dxa"/>
            </w:tcMar>
          </w:tcPr>
          <w:p w14:paraId="352DA650" w14:textId="58090B81" w:rsidR="00203F10" w:rsidRPr="00FC75FA" w:rsidRDefault="00203F10" w:rsidP="00203F10">
            <w:pPr>
              <w:spacing w:after="0" w:line="240" w:lineRule="auto"/>
              <w:jc w:val="center"/>
              <w:rPr>
                <w:rFonts w:eastAsiaTheme="minorEastAsia" w:cs="Arial"/>
                <w:sz w:val="20"/>
                <w:szCs w:val="20"/>
                <w:lang w:val="en-US"/>
              </w:rPr>
            </w:pPr>
            <w:r w:rsidRPr="004A23E5">
              <w:rPr>
                <w:rFonts w:eastAsiaTheme="minorEastAsia" w:cs="Arial"/>
                <w:sz w:val="20"/>
                <w:szCs w:val="20"/>
                <w:lang w:val="en-US"/>
              </w:rPr>
              <w:t>Chronic</w:t>
            </w:r>
          </w:p>
        </w:tc>
        <w:tc>
          <w:tcPr>
            <w:tcW w:w="3149" w:type="dxa"/>
            <w:shd w:val="clear" w:color="auto" w:fill="auto"/>
            <w:tcMar>
              <w:top w:w="15" w:type="dxa"/>
              <w:left w:w="15" w:type="dxa"/>
              <w:bottom w:w="0" w:type="dxa"/>
              <w:right w:w="15" w:type="dxa"/>
            </w:tcMar>
            <w:vAlign w:val="center"/>
          </w:tcPr>
          <w:p w14:paraId="335229C6" w14:textId="749CB451" w:rsidR="00203F10" w:rsidRPr="00FC75FA" w:rsidRDefault="00203F10" w:rsidP="00203F10">
            <w:pPr>
              <w:spacing w:after="0" w:line="240" w:lineRule="auto"/>
              <w:rPr>
                <w:rFonts w:eastAsiaTheme="minorEastAsia" w:cs="Arial"/>
                <w:sz w:val="20"/>
                <w:szCs w:val="20"/>
                <w:lang w:val="en-US"/>
              </w:rPr>
            </w:pPr>
            <w:r w:rsidRPr="00215277">
              <w:rPr>
                <w:rFonts w:eastAsiaTheme="minorEastAsia" w:cs="Arial"/>
                <w:sz w:val="20"/>
                <w:szCs w:val="20"/>
                <w:lang w:val="en-US"/>
              </w:rPr>
              <w:t>Maximum wind speed</w:t>
            </w:r>
          </w:p>
        </w:tc>
        <w:tc>
          <w:tcPr>
            <w:tcW w:w="797" w:type="dxa"/>
            <w:shd w:val="clear" w:color="auto" w:fill="auto"/>
            <w:tcMar>
              <w:top w:w="15" w:type="dxa"/>
              <w:left w:w="15" w:type="dxa"/>
              <w:bottom w:w="0" w:type="dxa"/>
              <w:right w:w="15" w:type="dxa"/>
            </w:tcMar>
          </w:tcPr>
          <w:p w14:paraId="72195B2E" w14:textId="45B7C2ED" w:rsidR="00203F10" w:rsidRPr="00FC75FA" w:rsidRDefault="00203F10" w:rsidP="00203F10">
            <w:pPr>
              <w:spacing w:after="0" w:line="240" w:lineRule="auto"/>
              <w:jc w:val="center"/>
              <w:rPr>
                <w:rFonts w:eastAsiaTheme="minorEastAsia" w:cs="Arial"/>
                <w:sz w:val="20"/>
                <w:szCs w:val="20"/>
                <w:lang w:val="en-US"/>
              </w:rPr>
            </w:pPr>
            <w:r w:rsidRPr="00367C0B">
              <w:rPr>
                <w:lang w:val="en-US"/>
              </w:rPr>
              <w:t>m/s</w:t>
            </w:r>
          </w:p>
        </w:tc>
        <w:tc>
          <w:tcPr>
            <w:tcW w:w="4518" w:type="dxa"/>
            <w:shd w:val="clear" w:color="auto" w:fill="auto"/>
            <w:tcMar>
              <w:top w:w="15" w:type="dxa"/>
              <w:left w:w="15" w:type="dxa"/>
              <w:bottom w:w="0" w:type="dxa"/>
              <w:right w:w="15" w:type="dxa"/>
            </w:tcMar>
            <w:vAlign w:val="center"/>
          </w:tcPr>
          <w:p w14:paraId="51CBF423" w14:textId="1070F6D9" w:rsidR="00203F10" w:rsidRPr="00FC75FA" w:rsidRDefault="00203F10" w:rsidP="00203F10">
            <w:pPr>
              <w:spacing w:after="0" w:line="240" w:lineRule="auto"/>
              <w:rPr>
                <w:rFonts w:eastAsiaTheme="minorEastAsia" w:cs="Arial"/>
                <w:sz w:val="20"/>
                <w:szCs w:val="20"/>
                <w:lang w:val="en-US"/>
              </w:rPr>
            </w:pPr>
            <w:r w:rsidRPr="00867CB4">
              <w:rPr>
                <w:rFonts w:eastAsiaTheme="minorEastAsia" w:cs="Arial"/>
                <w:sz w:val="20"/>
                <w:szCs w:val="20"/>
                <w:lang w:val="en-US"/>
              </w:rPr>
              <w:t>Annual maximum of the daily maximum wind speed</w:t>
            </w:r>
          </w:p>
        </w:tc>
      </w:tr>
    </w:tbl>
    <w:p w14:paraId="0D427B2F" w14:textId="77777777" w:rsidR="001D761F" w:rsidRDefault="001D761F" w:rsidP="00E61227">
      <w:pPr>
        <w:pStyle w:val="Titre2"/>
        <w:rPr>
          <w:lang w:val="en-US"/>
        </w:rPr>
        <w:sectPr w:rsidR="001D761F" w:rsidSect="00C821E7">
          <w:pgSz w:w="16838" w:h="11906" w:orient="landscape"/>
          <w:pgMar w:top="1418" w:right="1418" w:bottom="1418" w:left="1418" w:header="709" w:footer="709" w:gutter="0"/>
          <w:cols w:space="708"/>
          <w:docGrid w:linePitch="360"/>
        </w:sectPr>
      </w:pPr>
    </w:p>
    <w:p w14:paraId="51F6FDD6" w14:textId="58230212" w:rsidR="00F1010F" w:rsidRPr="000C1615" w:rsidRDefault="00F1010F" w:rsidP="00AA0497">
      <w:pPr>
        <w:pStyle w:val="Titre2"/>
        <w:numPr>
          <w:ilvl w:val="0"/>
          <w:numId w:val="7"/>
        </w:numPr>
        <w:rPr>
          <w:lang w:val="en-US"/>
        </w:rPr>
      </w:pPr>
      <w:bookmarkStart w:id="26" w:name="_Toc183015096"/>
      <w:r w:rsidRPr="000C1615">
        <w:rPr>
          <w:lang w:val="en-US"/>
        </w:rPr>
        <w:lastRenderedPageBreak/>
        <w:t>Results of exposure analysis for physical risks</w:t>
      </w:r>
      <w:bookmarkEnd w:id="26"/>
    </w:p>
    <w:p w14:paraId="10C29060" w14:textId="56BA9478" w:rsidR="00176255" w:rsidRDefault="00DE453B" w:rsidP="000615AC">
      <w:pPr>
        <w:pStyle w:val="Titre3"/>
        <w:numPr>
          <w:ilvl w:val="0"/>
          <w:numId w:val="17"/>
        </w:numPr>
        <w:rPr>
          <w:lang w:val="en-US"/>
        </w:rPr>
      </w:pPr>
      <w:bookmarkStart w:id="27" w:name="_Toc183015097"/>
      <w:r>
        <w:rPr>
          <w:lang w:val="en-US"/>
        </w:rPr>
        <w:t>Sea Level Change</w:t>
      </w:r>
      <w:bookmarkEnd w:id="27"/>
    </w:p>
    <w:p w14:paraId="7C5CDC8D" w14:textId="21F4A7B6" w:rsidR="0088260E" w:rsidRDefault="006A4A80" w:rsidP="00DE453B">
      <w:pPr>
        <w:rPr>
          <w:lang w:val="en-US"/>
        </w:rPr>
      </w:pPr>
      <w:r>
        <w:rPr>
          <w:lang w:val="en-US"/>
        </w:rPr>
        <w:t>Caspian Sea</w:t>
      </w:r>
      <w:r w:rsidR="001B10B6">
        <w:rPr>
          <w:lang w:val="en-US"/>
        </w:rPr>
        <w:t xml:space="preserve"> is </w:t>
      </w:r>
      <w:r w:rsidR="002F1F80">
        <w:rPr>
          <w:lang w:val="en-US"/>
        </w:rPr>
        <w:t>an inland sea</w:t>
      </w:r>
      <w:r w:rsidR="001B10B6" w:rsidDel="00B97275">
        <w:rPr>
          <w:lang w:val="en-US"/>
        </w:rPr>
        <w:t xml:space="preserve"> </w:t>
      </w:r>
      <w:r w:rsidR="00B97275">
        <w:rPr>
          <w:lang w:val="en-US"/>
        </w:rPr>
        <w:t>located</w:t>
      </w:r>
      <w:r w:rsidR="001B10B6">
        <w:rPr>
          <w:lang w:val="en-US"/>
        </w:rPr>
        <w:t xml:space="preserve"> in </w:t>
      </w:r>
      <w:r w:rsidR="00897A55">
        <w:rPr>
          <w:lang w:val="en-US"/>
        </w:rPr>
        <w:t xml:space="preserve">a climatic </w:t>
      </w:r>
      <w:r w:rsidR="002B221D">
        <w:rPr>
          <w:lang w:val="en-US"/>
        </w:rPr>
        <w:t>semi-</w:t>
      </w:r>
      <w:r w:rsidR="00897A55">
        <w:rPr>
          <w:lang w:val="en-US"/>
        </w:rPr>
        <w:t>arid environment and is particularly vulnerable to climate change as</w:t>
      </w:r>
      <w:r w:rsidR="00C06AC6">
        <w:rPr>
          <w:lang w:val="en-US"/>
        </w:rPr>
        <w:t xml:space="preserve"> </w:t>
      </w:r>
      <w:r w:rsidR="00806713">
        <w:rPr>
          <w:lang w:val="en-US"/>
        </w:rPr>
        <w:t xml:space="preserve">its </w:t>
      </w:r>
      <w:r w:rsidR="00C06AC6">
        <w:rPr>
          <w:lang w:val="en-US"/>
        </w:rPr>
        <w:t>water budget is predominantly maintained by precipitation and evaporation fluxes</w:t>
      </w:r>
      <w:r w:rsidR="00224DA0">
        <w:rPr>
          <w:lang w:val="en-US"/>
        </w:rPr>
        <w:t xml:space="preserve"> and inflows by streams and runoffs. Even small variations in th</w:t>
      </w:r>
      <w:r w:rsidR="002A52BF">
        <w:rPr>
          <w:lang w:val="en-US"/>
        </w:rPr>
        <w:t>es</w:t>
      </w:r>
      <w:r w:rsidR="00C7040D">
        <w:rPr>
          <w:lang w:val="en-US"/>
        </w:rPr>
        <w:t>e</w:t>
      </w:r>
      <w:r w:rsidR="002A52BF">
        <w:rPr>
          <w:lang w:val="en-US"/>
        </w:rPr>
        <w:t xml:space="preserve"> fluxes over a long-term scale can affect the sensitive balance of the </w:t>
      </w:r>
      <w:r w:rsidR="008A18DE">
        <w:rPr>
          <w:lang w:val="en-US"/>
        </w:rPr>
        <w:t>overall water quantity and therefore the sea level.</w:t>
      </w:r>
      <w:r w:rsidR="00106272">
        <w:rPr>
          <w:lang w:val="en-US"/>
        </w:rPr>
        <w:t xml:space="preserve"> Caspian Sea has previously experienced</w:t>
      </w:r>
      <w:r w:rsidR="00516D01">
        <w:rPr>
          <w:lang w:val="en-US"/>
        </w:rPr>
        <w:t xml:space="preserve"> sharp changes in water level</w:t>
      </w:r>
      <w:r w:rsidR="00154D52">
        <w:rPr>
          <w:lang w:val="en-US"/>
        </w:rPr>
        <w:t xml:space="preserve"> with a 3m decline in th</w:t>
      </w:r>
      <w:r w:rsidR="00955032">
        <w:rPr>
          <w:lang w:val="en-US"/>
        </w:rPr>
        <w:t>e</w:t>
      </w:r>
      <w:r w:rsidR="00154D52">
        <w:rPr>
          <w:lang w:val="en-US"/>
        </w:rPr>
        <w:t xml:space="preserve"> 20</w:t>
      </w:r>
      <w:r w:rsidR="00154D52" w:rsidRPr="00154D52">
        <w:rPr>
          <w:vertAlign w:val="superscript"/>
          <w:lang w:val="en-US"/>
        </w:rPr>
        <w:t>th</w:t>
      </w:r>
      <w:r w:rsidR="00154D52">
        <w:rPr>
          <w:lang w:val="en-US"/>
        </w:rPr>
        <w:t xml:space="preserve"> century</w:t>
      </w:r>
      <w:r w:rsidR="00655251">
        <w:rPr>
          <w:lang w:val="en-US"/>
        </w:rPr>
        <w:t xml:space="preserve"> followed by an increase until 1995. </w:t>
      </w:r>
      <w:r w:rsidR="00B81482">
        <w:rPr>
          <w:lang w:val="en-US"/>
        </w:rPr>
        <w:t xml:space="preserve">Recent observations </w:t>
      </w:r>
      <w:r w:rsidR="00DD3182">
        <w:rPr>
          <w:lang w:val="en-US"/>
        </w:rPr>
        <w:t xml:space="preserve">of Caspian Sea </w:t>
      </w:r>
      <w:r w:rsidR="00C83C5A">
        <w:rPr>
          <w:lang w:val="en-US"/>
        </w:rPr>
        <w:t>indicate</w:t>
      </w:r>
      <w:r w:rsidR="00DD3182">
        <w:rPr>
          <w:lang w:val="en-US"/>
        </w:rPr>
        <w:t xml:space="preserve"> a drop</w:t>
      </w:r>
      <w:r w:rsidR="00C83C5A">
        <w:rPr>
          <w:lang w:val="en-US"/>
        </w:rPr>
        <w:t xml:space="preserve"> in the water level by nearly 7cm/year for the perio</w:t>
      </w:r>
      <w:r w:rsidR="00B13A88">
        <w:rPr>
          <w:lang w:val="en-US"/>
        </w:rPr>
        <w:t>d</w:t>
      </w:r>
      <w:r w:rsidR="00C83C5A">
        <w:rPr>
          <w:lang w:val="en-US"/>
        </w:rPr>
        <w:t xml:space="preserve"> 1996 </w:t>
      </w:r>
      <w:r w:rsidR="00B13A88">
        <w:rPr>
          <w:lang w:val="en-US"/>
        </w:rPr>
        <w:t>–</w:t>
      </w:r>
      <w:r w:rsidR="00C83C5A">
        <w:rPr>
          <w:lang w:val="en-US"/>
        </w:rPr>
        <w:t xml:space="preserve"> 2015</w:t>
      </w:r>
      <w:r w:rsidR="00B13A88">
        <w:rPr>
          <w:lang w:val="en-US"/>
        </w:rPr>
        <w:t xml:space="preserve"> and an intensification in recent years with a 10cm/year drop between 2006 and 2021</w:t>
      </w:r>
      <w:r w:rsidR="00BA1598">
        <w:rPr>
          <w:rStyle w:val="Appelnotedebasdep"/>
          <w:lang w:val="en-US"/>
        </w:rPr>
        <w:footnoteReference w:id="2"/>
      </w:r>
      <w:r w:rsidR="00B13A88">
        <w:rPr>
          <w:lang w:val="en-US"/>
        </w:rPr>
        <w:t>.</w:t>
      </w:r>
    </w:p>
    <w:p w14:paraId="27DE59BE" w14:textId="2BD95D3F" w:rsidR="00DE1C4A" w:rsidRDefault="0079134A" w:rsidP="00DE453B">
      <w:pPr>
        <w:rPr>
          <w:lang w:val="en-US"/>
        </w:rPr>
      </w:pPr>
      <w:r w:rsidRPr="00367C0B">
        <w:rPr>
          <w:noProof/>
          <w:lang w:val="en-US"/>
        </w:rPr>
        <mc:AlternateContent>
          <mc:Choice Requires="wps">
            <w:drawing>
              <wp:anchor distT="0" distB="0" distL="114300" distR="114300" simplePos="0" relativeHeight="251658245" behindDoc="0" locked="0" layoutInCell="1" allowOverlap="1" wp14:anchorId="4CDAF8FA" wp14:editId="73FBEA4F">
                <wp:simplePos x="0" y="0"/>
                <wp:positionH relativeFrom="column">
                  <wp:posOffset>696093</wp:posOffset>
                </wp:positionH>
                <wp:positionV relativeFrom="paragraph">
                  <wp:posOffset>5498721</wp:posOffset>
                </wp:positionV>
                <wp:extent cx="4218305" cy="224790"/>
                <wp:effectExtent l="0" t="0" r="0" b="3810"/>
                <wp:wrapTopAndBottom/>
                <wp:docPr id="8896253" name="Text Box 1"/>
                <wp:cNvGraphicFramePr/>
                <a:graphic xmlns:a="http://schemas.openxmlformats.org/drawingml/2006/main">
                  <a:graphicData uri="http://schemas.microsoft.com/office/word/2010/wordprocessingShape">
                    <wps:wsp>
                      <wps:cNvSpPr txBox="1"/>
                      <wps:spPr>
                        <a:xfrm>
                          <a:off x="0" y="0"/>
                          <a:ext cx="4218305" cy="224790"/>
                        </a:xfrm>
                        <a:prstGeom prst="rect">
                          <a:avLst/>
                        </a:prstGeom>
                        <a:solidFill>
                          <a:prstClr val="white"/>
                        </a:solidFill>
                        <a:ln>
                          <a:noFill/>
                        </a:ln>
                      </wps:spPr>
                      <wps:txbx>
                        <w:txbxContent>
                          <w:p w14:paraId="5C76719B" w14:textId="3385E1E8" w:rsidR="0079134A" w:rsidRPr="00126CAF" w:rsidRDefault="0079134A" w:rsidP="0079134A">
                            <w:pPr>
                              <w:pStyle w:val="Lgende"/>
                              <w:rPr>
                                <w:noProof/>
                                <w:sz w:val="22"/>
                                <w:szCs w:val="22"/>
                                <w:lang w:val="en-GB"/>
                              </w:rPr>
                            </w:pPr>
                            <w:r>
                              <w:t xml:space="preserve">Figure </w:t>
                            </w:r>
                            <w:r>
                              <w:fldChar w:fldCharType="begin"/>
                            </w:r>
                            <w:r>
                              <w:instrText xml:space="preserve"> SEQ Figure \* ARABIC </w:instrText>
                            </w:r>
                            <w:r>
                              <w:fldChar w:fldCharType="separate"/>
                            </w:r>
                            <w:r w:rsidR="00227941">
                              <w:rPr>
                                <w:noProof/>
                              </w:rPr>
                              <w:t>5</w:t>
                            </w:r>
                            <w:r>
                              <w:fldChar w:fldCharType="end"/>
                            </w:r>
                            <w:r>
                              <w:t xml:space="preserve"> - Depth map of the Caspian Sea</w:t>
                            </w:r>
                            <w:r w:rsidR="00293CE4" w:rsidRPr="00293CE4">
                              <w:rPr>
                                <w:vertAlign w:val="superscript"/>
                              </w:rPr>
                              <w:t>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CDAF8FA" id="_x0000_t202" coordsize="21600,21600" o:spt="202" path="m,l,21600r21600,l21600,xe">
                <v:stroke joinstyle="miter"/>
                <v:path gradientshapeok="t" o:connecttype="rect"/>
              </v:shapetype>
              <v:shape id="Text Box 1" o:spid="_x0000_s1026" type="#_x0000_t202" style="position:absolute;left:0;text-align:left;margin-left:54.8pt;margin-top:432.95pt;width:332.15pt;height:17.7pt;z-index:25165824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" stroked="f">
                <v:textbox inset="0,0,0,0">
                  <w:txbxContent>
                    <w:p w14:paraId="5C76719B" w14:textId="3385E1E8" w:rsidR="0079134A" w:rsidRPr="00126CAF" w:rsidRDefault="0079134A" w:rsidP="0079134A">
                      <w:pPr>
                        <w:pStyle w:val="Lgende"/>
                        <w:rPr>
                          <w:noProof/>
                          <w:sz w:val="22"/>
                          <w:szCs w:val="22"/>
                          <w:lang w:val="en-GB"/>
                        </w:rPr>
                      </w:pPr>
                      <w:r>
                        <w:t xml:space="preserve">Figure </w:t>
                      </w:r>
                      <w:r>
                        <w:fldChar w:fldCharType="begin"/>
                      </w:r>
                      <w:r>
                        <w:instrText xml:space="preserve"> SEQ Figure \* ARABIC </w:instrText>
                      </w:r>
                      <w:r>
                        <w:fldChar w:fldCharType="separate"/>
                      </w:r>
                      <w:r w:rsidR="00227941">
                        <w:rPr>
                          <w:noProof/>
                        </w:rPr>
                        <w:t>5</w:t>
                      </w:r>
                      <w:r>
                        <w:fldChar w:fldCharType="end"/>
                      </w:r>
                      <w:r>
                        <w:t xml:space="preserve"> - Depth map of the Caspian Sea</w:t>
                      </w:r>
                      <w:r w:rsidR="00293CE4" w:rsidRPr="00293CE4">
                        <w:rPr>
                          <w:vertAlign w:val="superscript"/>
                        </w:rPr>
                        <w:t>2</w:t>
                      </w:r>
                    </w:p>
                  </w:txbxContent>
                </v:textbox>
                <w10:wrap type="topAndBottom"/>
              </v:shape>
            </w:pict>
          </mc:Fallback>
        </mc:AlternateContent>
      </w:r>
      <w:r w:rsidRPr="00367C0B">
        <w:rPr>
          <w:noProof/>
          <w:lang w:val="en-US"/>
        </w:rPr>
        <w:drawing>
          <wp:anchor distT="0" distB="0" distL="114300" distR="114300" simplePos="0" relativeHeight="251658244" behindDoc="0" locked="0" layoutInCell="1" allowOverlap="1" wp14:anchorId="33CAFF9D" wp14:editId="7AFDB155">
            <wp:simplePos x="0" y="0"/>
            <wp:positionH relativeFrom="margin">
              <wp:align>center</wp:align>
            </wp:positionH>
            <wp:positionV relativeFrom="paragraph">
              <wp:posOffset>1663700</wp:posOffset>
            </wp:positionV>
            <wp:extent cx="4218305" cy="3766185"/>
            <wp:effectExtent l="0" t="0" r="0" b="5715"/>
            <wp:wrapTopAndBottom/>
            <wp:docPr id="1975348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18305" cy="3766185"/>
                    </a:xfrm>
                    <a:prstGeom prst="rect">
                      <a:avLst/>
                    </a:prstGeom>
                    <a:noFill/>
                  </pic:spPr>
                </pic:pic>
              </a:graphicData>
            </a:graphic>
            <wp14:sizeRelH relativeFrom="margin">
              <wp14:pctWidth>0</wp14:pctWidth>
            </wp14:sizeRelH>
            <wp14:sizeRelV relativeFrom="margin">
              <wp14:pctHeight>0</wp14:pctHeight>
            </wp14:sizeRelV>
          </wp:anchor>
        </w:drawing>
      </w:r>
      <w:r w:rsidR="00E31DC0">
        <w:rPr>
          <w:lang w:val="en-US"/>
        </w:rPr>
        <w:t>In all studied climatic scenarios, p</w:t>
      </w:r>
      <w:r w:rsidR="00DE1C4A">
        <w:rPr>
          <w:lang w:val="en-US"/>
        </w:rPr>
        <w:t>rojected evaporation increase due to higher temperature and global warming</w:t>
      </w:r>
      <w:r w:rsidR="00E31DC0">
        <w:rPr>
          <w:lang w:val="en-US"/>
        </w:rPr>
        <w:t xml:space="preserve"> </w:t>
      </w:r>
      <w:r w:rsidR="008265EB">
        <w:rPr>
          <w:lang w:val="en-US"/>
        </w:rPr>
        <w:t>is significantly larger than precipitation increase integrated over the Caspian Sea catchment basin, resulting in an increasingly negative water balance over the 21</w:t>
      </w:r>
      <w:r w:rsidR="008265EB" w:rsidRPr="008265EB">
        <w:rPr>
          <w:vertAlign w:val="superscript"/>
          <w:lang w:val="en-US"/>
        </w:rPr>
        <w:t>st</w:t>
      </w:r>
      <w:r w:rsidR="008265EB">
        <w:rPr>
          <w:lang w:val="en-US"/>
        </w:rPr>
        <w:t xml:space="preserve"> century.</w:t>
      </w:r>
      <w:r w:rsidR="00161DAE">
        <w:rPr>
          <w:lang w:val="en-US"/>
        </w:rPr>
        <w:t xml:space="preserve"> The general sea level of the Caspian Sea is expected to decrease</w:t>
      </w:r>
      <w:r w:rsidR="00985B46">
        <w:rPr>
          <w:lang w:val="en-US"/>
        </w:rPr>
        <w:t xml:space="preserve"> in 2050 by 3m under the SSP2-4.5 </w:t>
      </w:r>
      <w:r w:rsidR="00062C14">
        <w:rPr>
          <w:lang w:val="en-US"/>
        </w:rPr>
        <w:t>scenario</w:t>
      </w:r>
      <w:r w:rsidR="00985B46">
        <w:rPr>
          <w:lang w:val="en-US"/>
        </w:rPr>
        <w:t xml:space="preserve"> and </w:t>
      </w:r>
      <w:r w:rsidR="00062C14">
        <w:rPr>
          <w:lang w:val="en-US"/>
        </w:rPr>
        <w:t xml:space="preserve">by 5 meters in 2050 </w:t>
      </w:r>
      <w:r w:rsidR="00161DAE" w:rsidRPr="00367C0B">
        <w:rPr>
          <w:lang w:val="en-US"/>
        </w:rPr>
        <w:t>under SSP5-8.5 scenario</w:t>
      </w:r>
      <w:r w:rsidR="00062C14" w:rsidRPr="00367C0B">
        <w:rPr>
          <w:lang w:val="en-US"/>
        </w:rPr>
        <w:t>.</w:t>
      </w:r>
      <w:r w:rsidR="00BE7B1C" w:rsidRPr="00367C0B">
        <w:rPr>
          <w:lang w:val="en-US"/>
        </w:rPr>
        <w:t xml:space="preserve"> By the end of the century, </w:t>
      </w:r>
      <w:r w:rsidR="00DA16B2" w:rsidRPr="00367C0B">
        <w:rPr>
          <w:lang w:val="en-US"/>
        </w:rPr>
        <w:t>the water level is projected to have a drop by 8 meter</w:t>
      </w:r>
      <w:r w:rsidR="00BA26B9" w:rsidRPr="00367C0B">
        <w:rPr>
          <w:lang w:val="en-US"/>
        </w:rPr>
        <w:t>s compared with 2020 under SSP5-8.5 climatic scenario and up to 14 meters under SSP5-8.5 climatic scenario.</w:t>
      </w:r>
      <w:r w:rsidR="00062C14" w:rsidRPr="00367C0B">
        <w:rPr>
          <w:lang w:val="en-US"/>
        </w:rPr>
        <w:t xml:space="preserve"> </w:t>
      </w:r>
    </w:p>
    <w:p w14:paraId="67CA5640" w14:textId="4EC3A718" w:rsidR="008B3BB9" w:rsidRDefault="008B3BB9" w:rsidP="00DE453B">
      <w:pPr>
        <w:rPr>
          <w:lang w:val="en-US"/>
        </w:rPr>
      </w:pPr>
    </w:p>
    <w:p w14:paraId="0DE71941" w14:textId="04D00249" w:rsidR="0099799C" w:rsidRDefault="0062151E" w:rsidP="00DE453B">
      <w:pPr>
        <w:rPr>
          <w:lang w:val="en-US"/>
        </w:rPr>
      </w:pPr>
      <w:r>
        <w:rPr>
          <w:lang w:val="en-US"/>
        </w:rPr>
        <w:t xml:space="preserve">The red and orange area of the figure above (representing sea depth inferior to </w:t>
      </w:r>
      <w:r w:rsidR="003B0716">
        <w:rPr>
          <w:lang w:val="en-US"/>
        </w:rPr>
        <w:t>10 meters) will dry up</w:t>
      </w:r>
      <w:r w:rsidR="008A7ED4">
        <w:rPr>
          <w:lang w:val="en-US"/>
        </w:rPr>
        <w:t xml:space="preserve"> </w:t>
      </w:r>
      <w:r w:rsidR="00B175BD">
        <w:rPr>
          <w:lang w:val="en-US"/>
        </w:rPr>
        <w:t xml:space="preserve">by the end of the century. </w:t>
      </w:r>
      <w:r w:rsidR="00D01E7B">
        <w:rPr>
          <w:lang w:val="en-US"/>
        </w:rPr>
        <w:t xml:space="preserve">In both climate scenarios and especially in the </w:t>
      </w:r>
      <w:r w:rsidR="00860436">
        <w:rPr>
          <w:lang w:val="en-US"/>
        </w:rPr>
        <w:t>worst-case</w:t>
      </w:r>
      <w:r w:rsidR="00502221">
        <w:rPr>
          <w:lang w:val="en-US"/>
        </w:rPr>
        <w:t xml:space="preserve"> scenario, the SSP5-8.5 scenario</w:t>
      </w:r>
      <w:r w:rsidR="00DD7777">
        <w:rPr>
          <w:lang w:val="en-US"/>
        </w:rPr>
        <w:t>, a large part</w:t>
      </w:r>
      <w:r w:rsidR="001C6FAD">
        <w:rPr>
          <w:lang w:val="en-US"/>
        </w:rPr>
        <w:t xml:space="preserve"> </w:t>
      </w:r>
      <w:r w:rsidR="00DD7777">
        <w:rPr>
          <w:lang w:val="en-US"/>
        </w:rPr>
        <w:t>of the northern Caspian Sea will dry up</w:t>
      </w:r>
      <w:r w:rsidR="00937B30">
        <w:rPr>
          <w:lang w:val="en-US"/>
        </w:rPr>
        <w:t xml:space="preserve"> by 2050</w:t>
      </w:r>
      <w:r w:rsidR="00CC6D87">
        <w:rPr>
          <w:lang w:val="en-US"/>
        </w:rPr>
        <w:t xml:space="preserve">, leaving </w:t>
      </w:r>
      <w:r w:rsidR="0030266B">
        <w:rPr>
          <w:lang w:val="en-US"/>
        </w:rPr>
        <w:t>a large</w:t>
      </w:r>
      <w:r w:rsidR="00F17431">
        <w:rPr>
          <w:lang w:val="en-US"/>
        </w:rPr>
        <w:t xml:space="preserve"> part of the </w:t>
      </w:r>
      <w:r w:rsidR="00860436">
        <w:rPr>
          <w:lang w:val="en-US"/>
        </w:rPr>
        <w:t>Kazakhstan</w:t>
      </w:r>
      <w:r w:rsidR="00F17431">
        <w:rPr>
          <w:lang w:val="en-US"/>
        </w:rPr>
        <w:t xml:space="preserve"> and Russia without direct access to the sea. </w:t>
      </w:r>
    </w:p>
    <w:p w14:paraId="3F85F21B" w14:textId="0C0960E1" w:rsidR="001453EF" w:rsidRDefault="001453EF" w:rsidP="00DE453B">
      <w:pPr>
        <w:rPr>
          <w:lang w:val="en-US"/>
        </w:rPr>
      </w:pPr>
      <w:r>
        <w:rPr>
          <w:lang w:val="en-US"/>
        </w:rPr>
        <w:t xml:space="preserve">The depth </w:t>
      </w:r>
      <w:r w:rsidR="005B55F4">
        <w:rPr>
          <w:lang w:val="en-US"/>
        </w:rPr>
        <w:t xml:space="preserve">of the Caspian Sea close to </w:t>
      </w:r>
      <w:r>
        <w:rPr>
          <w:lang w:val="en-US"/>
        </w:rPr>
        <w:t>Baku</w:t>
      </w:r>
      <w:r w:rsidR="00315CAF">
        <w:rPr>
          <w:lang w:val="en-US"/>
        </w:rPr>
        <w:t xml:space="preserve">, including the location of various offshore platforms </w:t>
      </w:r>
      <w:r w:rsidR="00BC27FE">
        <w:rPr>
          <w:lang w:val="en-US"/>
        </w:rPr>
        <w:t>such as Oil Rocks,</w:t>
      </w:r>
      <w:r>
        <w:rPr>
          <w:lang w:val="en-US"/>
        </w:rPr>
        <w:t xml:space="preserve"> is </w:t>
      </w:r>
      <w:r w:rsidR="00842C8B">
        <w:rPr>
          <w:lang w:val="en-US"/>
        </w:rPr>
        <w:t xml:space="preserve">less than 15 meters and this area will therefore be </w:t>
      </w:r>
      <w:r w:rsidR="00315CAF">
        <w:rPr>
          <w:lang w:val="en-US"/>
        </w:rPr>
        <w:t xml:space="preserve">strongly </w:t>
      </w:r>
      <w:r w:rsidR="00484220">
        <w:rPr>
          <w:lang w:val="en-US"/>
        </w:rPr>
        <w:t xml:space="preserve">impacted by the </w:t>
      </w:r>
      <w:r w:rsidR="00315CAF">
        <w:rPr>
          <w:lang w:val="en-US"/>
        </w:rPr>
        <w:t>predicted</w:t>
      </w:r>
      <w:r w:rsidR="00484220">
        <w:rPr>
          <w:lang w:val="en-US"/>
        </w:rPr>
        <w:t xml:space="preserve"> </w:t>
      </w:r>
      <w:r w:rsidR="00315CAF">
        <w:rPr>
          <w:lang w:val="en-US"/>
        </w:rPr>
        <w:t>sea level change.</w:t>
      </w:r>
    </w:p>
    <w:p w14:paraId="551AC35A" w14:textId="6117D28C" w:rsidR="006F3683" w:rsidRPr="00EB4063" w:rsidRDefault="00EB4063" w:rsidP="000615AC">
      <w:pPr>
        <w:pStyle w:val="Titre3"/>
        <w:numPr>
          <w:ilvl w:val="0"/>
          <w:numId w:val="17"/>
        </w:numPr>
        <w:rPr>
          <w:lang w:val="en-US"/>
        </w:rPr>
      </w:pPr>
      <w:bookmarkStart w:id="28" w:name="_Toc183015098"/>
      <w:r>
        <w:rPr>
          <w:lang w:val="en-US"/>
        </w:rPr>
        <w:t>General exposure results</w:t>
      </w:r>
      <w:r w:rsidR="00A275C7">
        <w:rPr>
          <w:lang w:val="en-US"/>
        </w:rPr>
        <w:t xml:space="preserve"> for other climate risks</w:t>
      </w:r>
      <w:bookmarkEnd w:id="28"/>
    </w:p>
    <w:p w14:paraId="591F1C38" w14:textId="2EEA29F0" w:rsidR="00C91CA3" w:rsidRPr="00FC75FA" w:rsidRDefault="008648A0" w:rsidP="009165F6">
      <w:pPr>
        <w:rPr>
          <w:lang w:val="en-US"/>
        </w:rPr>
      </w:pPr>
      <w:r w:rsidRPr="00FC75FA">
        <w:rPr>
          <w:lang w:val="en-US"/>
        </w:rPr>
        <w:t xml:space="preserve">For each peril and asset, </w:t>
      </w:r>
      <w:r w:rsidR="0089381F">
        <w:rPr>
          <w:lang w:val="en-US"/>
        </w:rPr>
        <w:t>using our EY</w:t>
      </w:r>
      <w:r w:rsidR="00B07A54">
        <w:rPr>
          <w:lang w:val="en-US"/>
        </w:rPr>
        <w:t xml:space="preserve"> </w:t>
      </w:r>
      <w:r w:rsidR="0089381F">
        <w:rPr>
          <w:lang w:val="en-US"/>
        </w:rPr>
        <w:t xml:space="preserve">CAP tool, </w:t>
      </w:r>
      <w:r w:rsidRPr="00FC75FA">
        <w:rPr>
          <w:lang w:val="en-US"/>
        </w:rPr>
        <w:t>an exposure ha</w:t>
      </w:r>
      <w:r w:rsidR="009D181E">
        <w:rPr>
          <w:lang w:val="en-US"/>
        </w:rPr>
        <w:t>s</w:t>
      </w:r>
      <w:r w:rsidRPr="00FC75FA">
        <w:rPr>
          <w:lang w:val="en-US"/>
        </w:rPr>
        <w:t xml:space="preserve"> been calculated and reflected according to 5 levels – from very low (1) to very high (5) – under two climate scenarios, for the historical period and for </w:t>
      </w:r>
      <w:r w:rsidR="00581CC0" w:rsidRPr="00FC75FA">
        <w:rPr>
          <w:lang w:val="en-US"/>
        </w:rPr>
        <w:t xml:space="preserve">2030s, </w:t>
      </w:r>
      <w:r w:rsidRPr="00FC75FA">
        <w:rPr>
          <w:lang w:val="en-US"/>
        </w:rPr>
        <w:t>2040s and 2050s</w:t>
      </w:r>
      <w:r w:rsidR="00581CC0" w:rsidRPr="00FC75FA">
        <w:rPr>
          <w:lang w:val="en-US"/>
        </w:rPr>
        <w:t xml:space="preserve"> </w:t>
      </w:r>
      <w:r w:rsidR="00202325" w:rsidRPr="00FC75FA">
        <w:rPr>
          <w:lang w:val="en-US"/>
        </w:rPr>
        <w:t>as described in the methodological note above</w:t>
      </w:r>
      <w:r w:rsidRPr="00FC75FA">
        <w:rPr>
          <w:lang w:val="en-US"/>
        </w:rPr>
        <w:t xml:space="preserve">. </w:t>
      </w:r>
    </w:p>
    <w:p w14:paraId="0B74ECB6" w14:textId="17DE6AFC" w:rsidR="00F1010F" w:rsidRPr="00FC75FA" w:rsidRDefault="008648A0" w:rsidP="009165F6">
      <w:pPr>
        <w:rPr>
          <w:lang w:val="en-US"/>
        </w:rPr>
      </w:pPr>
      <w:r w:rsidRPr="00FC75FA">
        <w:rPr>
          <w:lang w:val="en-US"/>
        </w:rPr>
        <w:t>At the peril level, the exposure has been aggregated by considering the maximum exposure of the peril’s indicators.</w:t>
      </w:r>
      <w:r w:rsidR="00F73FEC">
        <w:rPr>
          <w:lang w:val="en-US"/>
        </w:rPr>
        <w:t xml:space="preserve"> </w:t>
      </w:r>
      <w:r w:rsidR="00652361">
        <w:rPr>
          <w:lang w:val="en-US"/>
        </w:rPr>
        <w:t>The first table</w:t>
      </w:r>
      <w:r w:rsidR="00F73FEC">
        <w:rPr>
          <w:lang w:val="en-US"/>
        </w:rPr>
        <w:t xml:space="preserve"> </w:t>
      </w:r>
      <w:r w:rsidR="00652361">
        <w:rPr>
          <w:lang w:val="en-US"/>
        </w:rPr>
        <w:t>shows results for ASCO own assets while the second table display average exposure levels for</w:t>
      </w:r>
      <w:r w:rsidR="00453F8E">
        <w:rPr>
          <w:lang w:val="en-US"/>
        </w:rPr>
        <w:t xml:space="preserve"> selected main commercial ports</w:t>
      </w:r>
      <w:r w:rsidR="00681F50">
        <w:rPr>
          <w:lang w:val="en-US"/>
        </w:rPr>
        <w:t xml:space="preserve"> </w:t>
      </w:r>
      <w:r w:rsidR="007E79DA">
        <w:rPr>
          <w:lang w:val="en-US"/>
        </w:rPr>
        <w:t>in the Caspian Sea.</w:t>
      </w:r>
    </w:p>
    <w:p w14:paraId="2E21708E" w14:textId="3CDB6B2E" w:rsidR="00834E77" w:rsidRPr="00FC75FA" w:rsidRDefault="007473EF" w:rsidP="009165F6">
      <w:pPr>
        <w:rPr>
          <w:lang w:val="en-US"/>
        </w:rPr>
      </w:pPr>
      <w:r w:rsidRPr="00FC75FA">
        <w:rPr>
          <w:lang w:val="en-US"/>
        </w:rPr>
        <w:t xml:space="preserve">Details of exposure levels by asset are in appendix </w:t>
      </w:r>
      <w:r w:rsidR="004C6ADB" w:rsidRPr="00FC75FA">
        <w:rPr>
          <w:lang w:val="en-US"/>
        </w:rPr>
        <w:t>2</w:t>
      </w:r>
      <w:r w:rsidRPr="00FC75FA">
        <w:rPr>
          <w:lang w:val="en-US"/>
        </w:rPr>
        <w:t>.</w:t>
      </w:r>
    </w:p>
    <w:p w14:paraId="2485AF22" w14:textId="7A94C130" w:rsidR="0094119F" w:rsidRPr="0094119F" w:rsidRDefault="0094119F" w:rsidP="00F91719">
      <w:pPr>
        <w:pStyle w:val="Lgende"/>
      </w:pPr>
      <w:r w:rsidRPr="0094119F">
        <w:t xml:space="preserve">Table </w:t>
      </w:r>
      <w:r>
        <w:fldChar w:fldCharType="begin"/>
      </w:r>
      <w:r>
        <w:instrText xml:space="preserve"> SEQ Table \* ARABIC </w:instrText>
      </w:r>
      <w:r>
        <w:fldChar w:fldCharType="separate"/>
      </w:r>
      <w:r w:rsidR="009B31C6">
        <w:rPr>
          <w:noProof/>
        </w:rPr>
        <w:t>3</w:t>
      </w:r>
      <w:r>
        <w:fldChar w:fldCharType="end"/>
      </w:r>
      <w:r w:rsidRPr="0094119F">
        <w:t xml:space="preserve">: AVERAGE RISK LEVEL AND EXPOSURE ANALYSIS FOR </w:t>
      </w:r>
      <w:r w:rsidR="00C70B45">
        <w:t>ASCO ASSETS</w:t>
      </w:r>
    </w:p>
    <w:tbl>
      <w:tblPr>
        <w:tblW w:w="11020" w:type="dxa"/>
        <w:jc w:val="center"/>
        <w:tblBorders>
          <w:top w:val="single" w:sz="12" w:space="0" w:color="auto"/>
          <w:left w:val="single" w:sz="12" w:space="0" w:color="auto"/>
          <w:bottom w:val="single" w:sz="12" w:space="0" w:color="auto"/>
          <w:right w:val="single" w:sz="12" w:space="0" w:color="auto"/>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1280"/>
        <w:gridCol w:w="1070"/>
        <w:gridCol w:w="1039"/>
        <w:gridCol w:w="1130"/>
        <w:gridCol w:w="1303"/>
        <w:gridCol w:w="1303"/>
        <w:gridCol w:w="1306"/>
        <w:gridCol w:w="1286"/>
        <w:gridCol w:w="1303"/>
      </w:tblGrid>
      <w:tr w:rsidR="00F1010F" w:rsidRPr="00367C0B" w14:paraId="4D883908" w14:textId="77777777" w:rsidTr="00790CE8">
        <w:trPr>
          <w:trHeight w:val="545"/>
          <w:jc w:val="center"/>
        </w:trPr>
        <w:tc>
          <w:tcPr>
            <w:tcW w:w="1280" w:type="dxa"/>
            <w:vMerge w:val="restart"/>
            <w:shd w:val="clear" w:color="auto" w:fill="6AADE4"/>
            <w:tcMar>
              <w:top w:w="15" w:type="dxa"/>
              <w:left w:w="108" w:type="dxa"/>
              <w:bottom w:w="0" w:type="dxa"/>
              <w:right w:w="108" w:type="dxa"/>
            </w:tcMar>
            <w:vAlign w:val="center"/>
            <w:hideMark/>
          </w:tcPr>
          <w:p w14:paraId="4E3DA7A8" w14:textId="77777777" w:rsidR="00F1010F" w:rsidRPr="00367C0B" w:rsidRDefault="00F1010F" w:rsidP="00790CE8">
            <w:pPr>
              <w:spacing w:after="0" w:line="256" w:lineRule="auto"/>
              <w:jc w:val="center"/>
              <w:rPr>
                <w:rFonts w:eastAsia="Times New Roman" w:cs="Arial"/>
                <w:sz w:val="36"/>
                <w:szCs w:val="36"/>
                <w:lang w:val="en-US" w:eastAsia="fr-FR"/>
              </w:rPr>
            </w:pPr>
            <w:r w:rsidRPr="00FC75FA">
              <w:rPr>
                <w:rFonts w:eastAsia="Calibri" w:cs="Arial"/>
                <w:b/>
                <w:color w:val="FFFFFF"/>
                <w:kern w:val="24"/>
                <w:lang w:val="en-US" w:eastAsia="fr-FR"/>
              </w:rPr>
              <w:t>Category</w:t>
            </w:r>
          </w:p>
        </w:tc>
        <w:tc>
          <w:tcPr>
            <w:tcW w:w="1070" w:type="dxa"/>
            <w:vMerge w:val="restart"/>
            <w:shd w:val="clear" w:color="auto" w:fill="6AADE4"/>
            <w:tcMar>
              <w:top w:w="15" w:type="dxa"/>
              <w:left w:w="43" w:type="dxa"/>
              <w:bottom w:w="0" w:type="dxa"/>
              <w:right w:w="43" w:type="dxa"/>
            </w:tcMar>
            <w:vAlign w:val="center"/>
            <w:hideMark/>
          </w:tcPr>
          <w:p w14:paraId="2E55ABCD" w14:textId="77777777" w:rsidR="00F1010F" w:rsidRPr="00367C0B" w:rsidRDefault="00F1010F" w:rsidP="00790CE8">
            <w:pPr>
              <w:spacing w:after="0" w:line="256" w:lineRule="auto"/>
              <w:jc w:val="center"/>
              <w:rPr>
                <w:rFonts w:eastAsia="Times New Roman" w:cs="Arial"/>
                <w:sz w:val="36"/>
                <w:szCs w:val="36"/>
                <w:lang w:val="en-US" w:eastAsia="fr-FR"/>
              </w:rPr>
            </w:pPr>
            <w:r w:rsidRPr="00FC75FA">
              <w:rPr>
                <w:rFonts w:eastAsia="Calibri" w:cs="Arial"/>
                <w:b/>
                <w:color w:val="FFFFFF"/>
                <w:kern w:val="24"/>
                <w:lang w:val="en-US" w:eastAsia="fr-FR"/>
              </w:rPr>
              <w:t>Historical exposure</w:t>
            </w:r>
          </w:p>
        </w:tc>
        <w:tc>
          <w:tcPr>
            <w:tcW w:w="1039" w:type="dxa"/>
            <w:vMerge w:val="restart"/>
            <w:shd w:val="clear" w:color="auto" w:fill="6AADE4"/>
            <w:tcMar>
              <w:top w:w="15" w:type="dxa"/>
              <w:left w:w="43" w:type="dxa"/>
              <w:bottom w:w="0" w:type="dxa"/>
              <w:right w:w="43" w:type="dxa"/>
            </w:tcMar>
            <w:vAlign w:val="center"/>
            <w:hideMark/>
          </w:tcPr>
          <w:p w14:paraId="27ACB429" w14:textId="77777777" w:rsidR="00F1010F" w:rsidRPr="00367C0B" w:rsidRDefault="00F1010F" w:rsidP="00790CE8">
            <w:pPr>
              <w:spacing w:after="0" w:line="256" w:lineRule="auto"/>
              <w:jc w:val="center"/>
              <w:rPr>
                <w:rFonts w:eastAsia="Times New Roman" w:cs="Arial"/>
                <w:sz w:val="36"/>
                <w:szCs w:val="36"/>
                <w:lang w:val="en-US" w:eastAsia="fr-FR"/>
              </w:rPr>
            </w:pPr>
            <w:r w:rsidRPr="00FC75FA">
              <w:rPr>
                <w:rFonts w:eastAsia="Calibri" w:cs="Arial"/>
                <w:b/>
                <w:color w:val="FFFFFF"/>
                <w:kern w:val="24"/>
                <w:lang w:val="en-US" w:eastAsia="fr-FR"/>
              </w:rPr>
              <w:t>Trend vs. historical</w:t>
            </w:r>
          </w:p>
        </w:tc>
        <w:tc>
          <w:tcPr>
            <w:tcW w:w="2433" w:type="dxa"/>
            <w:gridSpan w:val="2"/>
            <w:shd w:val="clear" w:color="auto" w:fill="6AADE4"/>
            <w:tcMar>
              <w:top w:w="15" w:type="dxa"/>
              <w:left w:w="43" w:type="dxa"/>
              <w:bottom w:w="0" w:type="dxa"/>
              <w:right w:w="43" w:type="dxa"/>
            </w:tcMar>
            <w:vAlign w:val="center"/>
            <w:hideMark/>
          </w:tcPr>
          <w:p w14:paraId="278856D2" w14:textId="77777777" w:rsidR="00F1010F" w:rsidRPr="00367C0B" w:rsidRDefault="00F1010F" w:rsidP="00790CE8">
            <w:pPr>
              <w:spacing w:after="0" w:line="256" w:lineRule="auto"/>
              <w:jc w:val="center"/>
              <w:rPr>
                <w:rFonts w:eastAsia="Times New Roman" w:cs="Arial"/>
                <w:sz w:val="36"/>
                <w:szCs w:val="36"/>
                <w:lang w:val="en-US" w:eastAsia="fr-FR"/>
              </w:rPr>
            </w:pPr>
            <w:r w:rsidRPr="00FC75FA">
              <w:rPr>
                <w:rFonts w:eastAsia="Calibri" w:cs="Arial"/>
                <w:b/>
                <w:color w:val="FFFFFF"/>
                <w:kern w:val="24"/>
                <w:lang w:val="en-US" w:eastAsia="fr-FR"/>
              </w:rPr>
              <w:t>2030 risk level</w:t>
            </w:r>
          </w:p>
        </w:tc>
        <w:tc>
          <w:tcPr>
            <w:tcW w:w="2609" w:type="dxa"/>
            <w:gridSpan w:val="2"/>
            <w:shd w:val="clear" w:color="auto" w:fill="6AADE4"/>
            <w:tcMar>
              <w:top w:w="15" w:type="dxa"/>
              <w:left w:w="43" w:type="dxa"/>
              <w:bottom w:w="0" w:type="dxa"/>
              <w:right w:w="43" w:type="dxa"/>
            </w:tcMar>
            <w:vAlign w:val="center"/>
            <w:hideMark/>
          </w:tcPr>
          <w:p w14:paraId="34778C88" w14:textId="77777777" w:rsidR="00F1010F" w:rsidRPr="00367C0B" w:rsidRDefault="00F1010F" w:rsidP="00790CE8">
            <w:pPr>
              <w:spacing w:after="0" w:line="256" w:lineRule="auto"/>
              <w:jc w:val="center"/>
              <w:rPr>
                <w:rFonts w:eastAsia="Times New Roman" w:cs="Arial"/>
                <w:sz w:val="36"/>
                <w:szCs w:val="36"/>
                <w:lang w:val="en-US" w:eastAsia="fr-FR"/>
              </w:rPr>
            </w:pPr>
            <w:r w:rsidRPr="00FC75FA">
              <w:rPr>
                <w:rFonts w:eastAsia="Calibri" w:cs="Arial"/>
                <w:b/>
                <w:color w:val="FFFFFF"/>
                <w:kern w:val="24"/>
                <w:lang w:val="en-US" w:eastAsia="fr-FR"/>
              </w:rPr>
              <w:t>2040 risk level</w:t>
            </w:r>
          </w:p>
        </w:tc>
        <w:tc>
          <w:tcPr>
            <w:tcW w:w="2589" w:type="dxa"/>
            <w:gridSpan w:val="2"/>
            <w:shd w:val="clear" w:color="auto" w:fill="6AADE4"/>
            <w:tcMar>
              <w:top w:w="15" w:type="dxa"/>
              <w:left w:w="43" w:type="dxa"/>
              <w:bottom w:w="0" w:type="dxa"/>
              <w:right w:w="43" w:type="dxa"/>
            </w:tcMar>
            <w:vAlign w:val="center"/>
            <w:hideMark/>
          </w:tcPr>
          <w:p w14:paraId="695719DE" w14:textId="77777777" w:rsidR="00F1010F" w:rsidRPr="00367C0B" w:rsidRDefault="00F1010F" w:rsidP="00790CE8">
            <w:pPr>
              <w:spacing w:after="0" w:line="256" w:lineRule="auto"/>
              <w:jc w:val="center"/>
              <w:rPr>
                <w:rFonts w:eastAsia="Times New Roman" w:cs="Arial"/>
                <w:sz w:val="36"/>
                <w:szCs w:val="36"/>
                <w:lang w:val="en-US" w:eastAsia="fr-FR"/>
              </w:rPr>
            </w:pPr>
            <w:r w:rsidRPr="00FC75FA">
              <w:rPr>
                <w:rFonts w:eastAsia="Calibri" w:cs="Arial"/>
                <w:b/>
                <w:color w:val="FFFFFF"/>
                <w:kern w:val="24"/>
                <w:lang w:val="en-US" w:eastAsia="fr-FR"/>
              </w:rPr>
              <w:t>2050 risk level</w:t>
            </w:r>
          </w:p>
        </w:tc>
      </w:tr>
      <w:tr w:rsidR="00F1010F" w:rsidRPr="00367C0B" w14:paraId="1B65C4ED" w14:textId="77777777" w:rsidTr="00447F47">
        <w:trPr>
          <w:trHeight w:val="398"/>
          <w:jc w:val="center"/>
        </w:trPr>
        <w:tc>
          <w:tcPr>
            <w:tcW w:w="0" w:type="auto"/>
            <w:vMerge/>
            <w:vAlign w:val="center"/>
            <w:hideMark/>
          </w:tcPr>
          <w:p w14:paraId="7E00CA82" w14:textId="77777777" w:rsidR="00F1010F" w:rsidRPr="00367C0B" w:rsidRDefault="00F1010F">
            <w:pPr>
              <w:spacing w:after="0" w:line="240" w:lineRule="auto"/>
              <w:rPr>
                <w:rFonts w:eastAsia="Times New Roman" w:cs="Arial"/>
                <w:sz w:val="36"/>
                <w:szCs w:val="36"/>
                <w:lang w:val="en-US" w:eastAsia="fr-FR"/>
              </w:rPr>
            </w:pPr>
          </w:p>
        </w:tc>
        <w:tc>
          <w:tcPr>
            <w:tcW w:w="0" w:type="auto"/>
            <w:vMerge/>
            <w:vAlign w:val="center"/>
            <w:hideMark/>
          </w:tcPr>
          <w:p w14:paraId="7F65DEED" w14:textId="77777777" w:rsidR="00F1010F" w:rsidRPr="00367C0B" w:rsidRDefault="00F1010F">
            <w:pPr>
              <w:spacing w:after="0" w:line="240" w:lineRule="auto"/>
              <w:rPr>
                <w:rFonts w:eastAsia="Times New Roman" w:cs="Arial"/>
                <w:sz w:val="36"/>
                <w:szCs w:val="36"/>
                <w:lang w:val="en-US" w:eastAsia="fr-FR"/>
              </w:rPr>
            </w:pPr>
          </w:p>
        </w:tc>
        <w:tc>
          <w:tcPr>
            <w:tcW w:w="0" w:type="auto"/>
            <w:vMerge/>
            <w:vAlign w:val="center"/>
            <w:hideMark/>
          </w:tcPr>
          <w:p w14:paraId="02261420" w14:textId="77777777" w:rsidR="00F1010F" w:rsidRPr="00367C0B" w:rsidRDefault="00F1010F">
            <w:pPr>
              <w:spacing w:after="0" w:line="240" w:lineRule="auto"/>
              <w:rPr>
                <w:rFonts w:eastAsia="Times New Roman" w:cs="Arial"/>
                <w:sz w:val="36"/>
                <w:szCs w:val="36"/>
                <w:lang w:val="en-US" w:eastAsia="fr-FR"/>
              </w:rPr>
            </w:pPr>
          </w:p>
        </w:tc>
        <w:tc>
          <w:tcPr>
            <w:tcW w:w="1130" w:type="dxa"/>
            <w:shd w:val="clear" w:color="auto" w:fill="auto"/>
            <w:tcMar>
              <w:top w:w="15" w:type="dxa"/>
              <w:left w:w="43" w:type="dxa"/>
              <w:bottom w:w="0" w:type="dxa"/>
              <w:right w:w="43" w:type="dxa"/>
            </w:tcMar>
            <w:vAlign w:val="center"/>
            <w:hideMark/>
          </w:tcPr>
          <w:p w14:paraId="09DEC401" w14:textId="698A48B3" w:rsidR="00F1010F" w:rsidRPr="00367C0B" w:rsidRDefault="00F1010F" w:rsidP="00447F47">
            <w:pPr>
              <w:spacing w:after="0" w:line="257" w:lineRule="auto"/>
              <w:jc w:val="center"/>
              <w:rPr>
                <w:rFonts w:eastAsia="Times New Roman" w:cs="Arial"/>
                <w:sz w:val="36"/>
                <w:szCs w:val="36"/>
                <w:lang w:val="en-US" w:eastAsia="fr-FR"/>
              </w:rPr>
            </w:pPr>
            <w:r w:rsidRPr="00FC75FA">
              <w:rPr>
                <w:rFonts w:eastAsia="Calibri" w:cs="Arial"/>
                <w:color w:val="2E2E38"/>
                <w:kern w:val="24"/>
                <w:lang w:val="en-US" w:eastAsia="fr-FR"/>
              </w:rPr>
              <w:t xml:space="preserve">Scenario </w:t>
            </w:r>
            <w:r w:rsidR="00691030" w:rsidRPr="00691030">
              <w:rPr>
                <w:rFonts w:eastAsia="Calibri" w:cs="Arial"/>
                <w:color w:val="2E2E38"/>
                <w:kern w:val="24"/>
                <w:lang w:val="en-US" w:eastAsia="fr-FR"/>
              </w:rPr>
              <w:t>SSP2-</w:t>
            </w:r>
            <w:r w:rsidRPr="00FC75FA">
              <w:rPr>
                <w:rFonts w:eastAsia="Calibri" w:cs="Arial"/>
                <w:color w:val="2E2E38"/>
                <w:kern w:val="24"/>
                <w:lang w:val="en-US" w:eastAsia="fr-FR"/>
              </w:rPr>
              <w:t>4.5</w:t>
            </w:r>
          </w:p>
        </w:tc>
        <w:tc>
          <w:tcPr>
            <w:tcW w:w="1303" w:type="dxa"/>
            <w:shd w:val="clear" w:color="auto" w:fill="auto"/>
            <w:tcMar>
              <w:top w:w="15" w:type="dxa"/>
              <w:left w:w="43" w:type="dxa"/>
              <w:bottom w:w="0" w:type="dxa"/>
              <w:right w:w="43" w:type="dxa"/>
            </w:tcMar>
            <w:vAlign w:val="center"/>
            <w:hideMark/>
          </w:tcPr>
          <w:p w14:paraId="42120C91" w14:textId="57256961" w:rsidR="00F1010F" w:rsidRPr="00367C0B" w:rsidRDefault="00F1010F" w:rsidP="00447F47">
            <w:pPr>
              <w:spacing w:after="0" w:line="257" w:lineRule="auto"/>
              <w:jc w:val="center"/>
              <w:rPr>
                <w:rFonts w:eastAsia="Times New Roman" w:cs="Arial"/>
                <w:sz w:val="36"/>
                <w:szCs w:val="36"/>
                <w:lang w:val="en-US" w:eastAsia="fr-FR"/>
              </w:rPr>
            </w:pPr>
            <w:r w:rsidRPr="00FC75FA">
              <w:rPr>
                <w:rFonts w:eastAsia="Calibri" w:cs="Arial"/>
                <w:color w:val="2E2E38"/>
                <w:kern w:val="24"/>
                <w:lang w:val="en-US" w:eastAsia="fr-FR"/>
              </w:rPr>
              <w:t xml:space="preserve">Scenario </w:t>
            </w:r>
            <w:r w:rsidR="000D2102" w:rsidRPr="000D2102">
              <w:rPr>
                <w:rFonts w:eastAsia="Calibri" w:cs="Arial"/>
                <w:color w:val="2E2E38"/>
                <w:kern w:val="24"/>
                <w:lang w:val="en-US" w:eastAsia="fr-FR"/>
              </w:rPr>
              <w:t>SSP5-</w:t>
            </w:r>
            <w:r w:rsidRPr="00FC75FA">
              <w:rPr>
                <w:rFonts w:eastAsia="Calibri" w:cs="Arial"/>
                <w:color w:val="2E2E38"/>
                <w:kern w:val="24"/>
                <w:lang w:val="en-US" w:eastAsia="fr-FR"/>
              </w:rPr>
              <w:t>8.5</w:t>
            </w:r>
          </w:p>
        </w:tc>
        <w:tc>
          <w:tcPr>
            <w:tcW w:w="1303" w:type="dxa"/>
            <w:shd w:val="clear" w:color="auto" w:fill="auto"/>
            <w:tcMar>
              <w:top w:w="15" w:type="dxa"/>
              <w:left w:w="43" w:type="dxa"/>
              <w:bottom w:w="0" w:type="dxa"/>
              <w:right w:w="43" w:type="dxa"/>
            </w:tcMar>
            <w:vAlign w:val="center"/>
            <w:hideMark/>
          </w:tcPr>
          <w:p w14:paraId="4978FBF8" w14:textId="3FAFE790" w:rsidR="00F1010F" w:rsidRPr="00367C0B" w:rsidRDefault="00F1010F" w:rsidP="00447F47">
            <w:pPr>
              <w:spacing w:after="0" w:line="257" w:lineRule="auto"/>
              <w:jc w:val="center"/>
              <w:rPr>
                <w:rFonts w:eastAsia="Times New Roman" w:cs="Arial"/>
                <w:sz w:val="36"/>
                <w:szCs w:val="36"/>
                <w:lang w:val="en-US" w:eastAsia="fr-FR"/>
              </w:rPr>
            </w:pPr>
            <w:r w:rsidRPr="00FC75FA">
              <w:rPr>
                <w:rFonts w:eastAsia="Calibri" w:cs="Arial"/>
                <w:color w:val="2E2E38"/>
                <w:kern w:val="24"/>
                <w:lang w:val="en-US" w:eastAsia="fr-FR"/>
              </w:rPr>
              <w:t xml:space="preserve">Scenario </w:t>
            </w:r>
            <w:r w:rsidR="00691030" w:rsidRPr="00691030">
              <w:rPr>
                <w:rFonts w:eastAsia="Calibri" w:cs="Arial"/>
                <w:color w:val="2E2E38"/>
                <w:kern w:val="24"/>
                <w:lang w:val="en-US" w:eastAsia="fr-FR"/>
              </w:rPr>
              <w:t>SSP2-</w:t>
            </w:r>
            <w:r w:rsidRPr="00FC75FA">
              <w:rPr>
                <w:rFonts w:eastAsia="Calibri" w:cs="Arial"/>
                <w:color w:val="2E2E38"/>
                <w:kern w:val="24"/>
                <w:lang w:val="en-US" w:eastAsia="fr-FR"/>
              </w:rPr>
              <w:t>4.5</w:t>
            </w:r>
          </w:p>
        </w:tc>
        <w:tc>
          <w:tcPr>
            <w:tcW w:w="1306" w:type="dxa"/>
            <w:shd w:val="clear" w:color="auto" w:fill="auto"/>
            <w:tcMar>
              <w:top w:w="15" w:type="dxa"/>
              <w:left w:w="43" w:type="dxa"/>
              <w:bottom w:w="0" w:type="dxa"/>
              <w:right w:w="43" w:type="dxa"/>
            </w:tcMar>
            <w:vAlign w:val="center"/>
            <w:hideMark/>
          </w:tcPr>
          <w:p w14:paraId="416739D4" w14:textId="47380672" w:rsidR="00F1010F" w:rsidRPr="00367C0B" w:rsidRDefault="00F1010F" w:rsidP="00447F47">
            <w:pPr>
              <w:spacing w:after="0" w:line="257" w:lineRule="auto"/>
              <w:jc w:val="center"/>
              <w:rPr>
                <w:rFonts w:eastAsia="Times New Roman" w:cs="Arial"/>
                <w:sz w:val="36"/>
                <w:szCs w:val="36"/>
                <w:lang w:val="en-US" w:eastAsia="fr-FR"/>
              </w:rPr>
            </w:pPr>
            <w:r w:rsidRPr="00FC75FA">
              <w:rPr>
                <w:rFonts w:eastAsia="Calibri" w:cs="Arial"/>
                <w:color w:val="2E2E38"/>
                <w:kern w:val="24"/>
                <w:lang w:val="en-US" w:eastAsia="fr-FR"/>
              </w:rPr>
              <w:t xml:space="preserve">Scenario </w:t>
            </w:r>
            <w:r w:rsidR="000D2102" w:rsidRPr="000D2102">
              <w:rPr>
                <w:rFonts w:eastAsia="Calibri" w:cs="Arial"/>
                <w:color w:val="2E2E38"/>
                <w:kern w:val="24"/>
                <w:lang w:val="en-US" w:eastAsia="fr-FR"/>
              </w:rPr>
              <w:t>SSP5-</w:t>
            </w:r>
            <w:r w:rsidRPr="00FC75FA">
              <w:rPr>
                <w:rFonts w:eastAsia="Calibri" w:cs="Arial"/>
                <w:color w:val="2E2E38"/>
                <w:kern w:val="24"/>
                <w:lang w:val="en-US" w:eastAsia="fr-FR"/>
              </w:rPr>
              <w:t>8.5</w:t>
            </w:r>
          </w:p>
        </w:tc>
        <w:tc>
          <w:tcPr>
            <w:tcW w:w="1286" w:type="dxa"/>
            <w:shd w:val="clear" w:color="auto" w:fill="auto"/>
            <w:tcMar>
              <w:top w:w="15" w:type="dxa"/>
              <w:left w:w="43" w:type="dxa"/>
              <w:bottom w:w="0" w:type="dxa"/>
              <w:right w:w="43" w:type="dxa"/>
            </w:tcMar>
            <w:vAlign w:val="center"/>
            <w:hideMark/>
          </w:tcPr>
          <w:p w14:paraId="30224099" w14:textId="7B69D8E7" w:rsidR="00F1010F" w:rsidRPr="00367C0B" w:rsidRDefault="00F1010F" w:rsidP="00447F47">
            <w:pPr>
              <w:spacing w:after="0" w:line="257" w:lineRule="auto"/>
              <w:jc w:val="center"/>
              <w:rPr>
                <w:rFonts w:eastAsia="Times New Roman" w:cs="Arial"/>
                <w:sz w:val="36"/>
                <w:szCs w:val="36"/>
                <w:lang w:val="en-US" w:eastAsia="fr-FR"/>
              </w:rPr>
            </w:pPr>
            <w:r w:rsidRPr="00FC75FA">
              <w:rPr>
                <w:rFonts w:eastAsia="Calibri" w:cs="Arial"/>
                <w:color w:val="2E2E38"/>
                <w:kern w:val="24"/>
                <w:lang w:val="en-US" w:eastAsia="fr-FR"/>
              </w:rPr>
              <w:t xml:space="preserve">Scenario </w:t>
            </w:r>
            <w:r w:rsidR="00691030" w:rsidRPr="00691030">
              <w:rPr>
                <w:rFonts w:eastAsia="Calibri" w:cs="Arial"/>
                <w:color w:val="2E2E38"/>
                <w:kern w:val="24"/>
                <w:lang w:val="en-US" w:eastAsia="fr-FR"/>
              </w:rPr>
              <w:t>SSP2-</w:t>
            </w:r>
            <w:r w:rsidRPr="00FC75FA">
              <w:rPr>
                <w:rFonts w:eastAsia="Calibri" w:cs="Arial"/>
                <w:color w:val="2E2E38"/>
                <w:kern w:val="24"/>
                <w:lang w:val="en-US" w:eastAsia="fr-FR"/>
              </w:rPr>
              <w:t>4.5</w:t>
            </w:r>
          </w:p>
        </w:tc>
        <w:tc>
          <w:tcPr>
            <w:tcW w:w="1303" w:type="dxa"/>
            <w:shd w:val="clear" w:color="auto" w:fill="auto"/>
            <w:tcMar>
              <w:top w:w="15" w:type="dxa"/>
              <w:left w:w="43" w:type="dxa"/>
              <w:bottom w:w="0" w:type="dxa"/>
              <w:right w:w="43" w:type="dxa"/>
            </w:tcMar>
            <w:vAlign w:val="center"/>
            <w:hideMark/>
          </w:tcPr>
          <w:p w14:paraId="2D150B78" w14:textId="647FFBCD" w:rsidR="00F1010F" w:rsidRPr="00367C0B" w:rsidRDefault="00F1010F" w:rsidP="00447F47">
            <w:pPr>
              <w:spacing w:after="0" w:line="257" w:lineRule="auto"/>
              <w:jc w:val="center"/>
              <w:rPr>
                <w:rFonts w:eastAsia="Times New Roman" w:cs="Arial"/>
                <w:sz w:val="36"/>
                <w:szCs w:val="36"/>
                <w:lang w:val="en-US" w:eastAsia="fr-FR"/>
              </w:rPr>
            </w:pPr>
            <w:r w:rsidRPr="00FC75FA">
              <w:rPr>
                <w:rFonts w:eastAsia="Calibri" w:cs="Arial"/>
                <w:color w:val="2E2E38"/>
                <w:kern w:val="24"/>
                <w:lang w:val="en-US" w:eastAsia="fr-FR"/>
              </w:rPr>
              <w:t xml:space="preserve">Scenario </w:t>
            </w:r>
            <w:r w:rsidR="000D2102" w:rsidRPr="000D2102">
              <w:rPr>
                <w:rFonts w:eastAsia="Calibri" w:cs="Arial"/>
                <w:color w:val="2E2E38"/>
                <w:kern w:val="24"/>
                <w:lang w:val="en-US" w:eastAsia="fr-FR"/>
              </w:rPr>
              <w:t>SSP5-</w:t>
            </w:r>
            <w:r w:rsidRPr="00FC75FA">
              <w:rPr>
                <w:rFonts w:eastAsia="Calibri" w:cs="Arial"/>
                <w:color w:val="2E2E38"/>
                <w:kern w:val="24"/>
                <w:lang w:val="en-US" w:eastAsia="fr-FR"/>
              </w:rPr>
              <w:t>8.5</w:t>
            </w:r>
          </w:p>
        </w:tc>
      </w:tr>
      <w:tr w:rsidR="00962342" w:rsidRPr="00367C0B" w14:paraId="0A6FD119" w14:textId="77777777" w:rsidTr="006E2303">
        <w:trPr>
          <w:trHeight w:val="442"/>
          <w:jc w:val="center"/>
        </w:trPr>
        <w:tc>
          <w:tcPr>
            <w:tcW w:w="1280" w:type="dxa"/>
            <w:shd w:val="clear" w:color="auto" w:fill="auto"/>
            <w:tcMar>
              <w:top w:w="15" w:type="dxa"/>
              <w:left w:w="108" w:type="dxa"/>
              <w:bottom w:w="0" w:type="dxa"/>
              <w:right w:w="108" w:type="dxa"/>
            </w:tcMar>
            <w:vAlign w:val="center"/>
            <w:hideMark/>
          </w:tcPr>
          <w:p w14:paraId="2A4072C5" w14:textId="77777777" w:rsidR="000836A1" w:rsidRPr="00367C0B" w:rsidRDefault="000836A1" w:rsidP="000836A1">
            <w:pPr>
              <w:spacing w:before="20" w:after="20" w:line="256" w:lineRule="auto"/>
              <w:jc w:val="center"/>
              <w:rPr>
                <w:rFonts w:eastAsia="Times New Roman" w:cs="Arial"/>
                <w:sz w:val="36"/>
                <w:szCs w:val="36"/>
                <w:lang w:val="en-US" w:eastAsia="fr-FR"/>
              </w:rPr>
            </w:pPr>
            <w:r w:rsidRPr="00FC75FA">
              <w:rPr>
                <w:rFonts w:eastAsia="Calibri" w:cs="Arial"/>
                <w:color w:val="2E2E38"/>
                <w:kern w:val="24"/>
                <w:sz w:val="18"/>
                <w:szCs w:val="18"/>
                <w:lang w:val="en-US" w:eastAsia="fr-FR"/>
              </w:rPr>
              <w:t>Flood</w:t>
            </w:r>
          </w:p>
        </w:tc>
        <w:tc>
          <w:tcPr>
            <w:tcW w:w="1070" w:type="dxa"/>
            <w:shd w:val="clear" w:color="auto" w:fill="C5E0B3" w:themeFill="accent6" w:themeFillTint="66"/>
            <w:tcMar>
              <w:top w:w="15" w:type="dxa"/>
              <w:left w:w="43" w:type="dxa"/>
              <w:bottom w:w="0" w:type="dxa"/>
              <w:right w:w="43" w:type="dxa"/>
            </w:tcMar>
            <w:vAlign w:val="center"/>
            <w:hideMark/>
          </w:tcPr>
          <w:p w14:paraId="057FABAA" w14:textId="5535AD69" w:rsidR="000836A1" w:rsidRPr="00367C0B" w:rsidRDefault="00C62E6B" w:rsidP="000836A1">
            <w:pPr>
              <w:spacing w:before="20" w:after="20" w:line="256" w:lineRule="auto"/>
              <w:jc w:val="center"/>
              <w:rPr>
                <w:rFonts w:eastAsia="Times New Roman" w:cs="Arial"/>
                <w:sz w:val="18"/>
                <w:szCs w:val="18"/>
                <w:lang w:val="en-US" w:eastAsia="fr-FR"/>
              </w:rPr>
            </w:pPr>
            <w:r w:rsidRPr="00367C0B">
              <w:rPr>
                <w:rFonts w:eastAsia="Times New Roman" w:cs="Arial"/>
                <w:sz w:val="18"/>
                <w:szCs w:val="18"/>
                <w:lang w:val="en-US" w:eastAsia="fr-FR"/>
              </w:rPr>
              <w:t>2</w:t>
            </w:r>
          </w:p>
        </w:tc>
        <w:tc>
          <w:tcPr>
            <w:tcW w:w="1039" w:type="dxa"/>
            <w:shd w:val="clear" w:color="auto" w:fill="auto"/>
            <w:tcMar>
              <w:top w:w="15" w:type="dxa"/>
              <w:left w:w="43" w:type="dxa"/>
              <w:bottom w:w="0" w:type="dxa"/>
              <w:right w:w="43" w:type="dxa"/>
            </w:tcMar>
            <w:vAlign w:val="center"/>
            <w:hideMark/>
          </w:tcPr>
          <w:p w14:paraId="0DE93FCD" w14:textId="36B87C0C" w:rsidR="000836A1" w:rsidRPr="00367C0B" w:rsidRDefault="00EE2272" w:rsidP="00447F47">
            <w:pPr>
              <w:spacing w:before="20" w:after="20" w:line="256" w:lineRule="auto"/>
              <w:jc w:val="center"/>
              <w:rPr>
                <w:rFonts w:eastAsia="Times New Roman" w:cs="Arial"/>
                <w:b/>
                <w:sz w:val="18"/>
                <w:szCs w:val="18"/>
                <w:lang w:val="en-US" w:eastAsia="fr-FR"/>
              </w:rPr>
            </w:pPr>
            <w:r>
              <w:rPr>
                <w:rFonts w:eastAsia="Calibri" w:cs="Arial"/>
                <w:b/>
                <w:color w:val="2E2E38"/>
                <w:kern w:val="24"/>
                <w:sz w:val="18"/>
                <w:szCs w:val="18"/>
                <w:lang w:val="en-US" w:eastAsia="fr-FR"/>
              </w:rPr>
              <w:t>Equal</w:t>
            </w:r>
          </w:p>
        </w:tc>
        <w:tc>
          <w:tcPr>
            <w:tcW w:w="1130" w:type="dxa"/>
            <w:shd w:val="clear" w:color="auto" w:fill="C5E0B3" w:themeFill="accent6" w:themeFillTint="66"/>
            <w:tcMar>
              <w:top w:w="15" w:type="dxa"/>
              <w:left w:w="43" w:type="dxa"/>
              <w:bottom w:w="0" w:type="dxa"/>
              <w:right w:w="43" w:type="dxa"/>
            </w:tcMar>
            <w:vAlign w:val="center"/>
            <w:hideMark/>
          </w:tcPr>
          <w:p w14:paraId="484140F0" w14:textId="1F50D882" w:rsidR="000836A1" w:rsidRPr="00367C0B" w:rsidRDefault="00FA2103" w:rsidP="000836A1">
            <w:pPr>
              <w:spacing w:before="20" w:after="20" w:line="256" w:lineRule="auto"/>
              <w:jc w:val="center"/>
              <w:rPr>
                <w:rFonts w:eastAsia="Times New Roman" w:cs="Arial"/>
                <w:sz w:val="18"/>
                <w:szCs w:val="18"/>
                <w:lang w:val="en-US" w:eastAsia="fr-FR"/>
              </w:rPr>
            </w:pPr>
            <w:r w:rsidRPr="00367C0B">
              <w:rPr>
                <w:rFonts w:eastAsia="Times New Roman" w:cs="Arial"/>
                <w:sz w:val="18"/>
                <w:szCs w:val="18"/>
                <w:lang w:val="en-US" w:eastAsia="fr-FR"/>
              </w:rPr>
              <w:t>2</w:t>
            </w:r>
          </w:p>
        </w:tc>
        <w:tc>
          <w:tcPr>
            <w:tcW w:w="1303" w:type="dxa"/>
            <w:shd w:val="clear" w:color="auto" w:fill="C5E0B3" w:themeFill="accent6" w:themeFillTint="66"/>
            <w:tcMar>
              <w:top w:w="15" w:type="dxa"/>
              <w:left w:w="43" w:type="dxa"/>
              <w:bottom w:w="0" w:type="dxa"/>
              <w:right w:w="43" w:type="dxa"/>
            </w:tcMar>
            <w:vAlign w:val="center"/>
            <w:hideMark/>
          </w:tcPr>
          <w:p w14:paraId="0A650A23" w14:textId="2DF6B286" w:rsidR="000836A1" w:rsidRPr="00367C0B" w:rsidRDefault="00FA2103" w:rsidP="000836A1">
            <w:pPr>
              <w:spacing w:before="20" w:after="20" w:line="256" w:lineRule="auto"/>
              <w:jc w:val="center"/>
              <w:rPr>
                <w:rFonts w:eastAsia="Times New Roman" w:cs="Arial"/>
                <w:sz w:val="18"/>
                <w:szCs w:val="18"/>
                <w:lang w:val="en-US" w:eastAsia="fr-FR"/>
              </w:rPr>
            </w:pPr>
            <w:r w:rsidRPr="006E2303">
              <w:rPr>
                <w:rFonts w:eastAsia="Calibri" w:cs="Arial"/>
                <w:b/>
                <w:kern w:val="24"/>
                <w:sz w:val="18"/>
                <w:szCs w:val="18"/>
                <w:lang w:val="en-US" w:eastAsia="fr-FR"/>
              </w:rPr>
              <w:t>2</w:t>
            </w:r>
          </w:p>
        </w:tc>
        <w:tc>
          <w:tcPr>
            <w:tcW w:w="1303" w:type="dxa"/>
            <w:shd w:val="clear" w:color="auto" w:fill="C5E0B3" w:themeFill="accent6" w:themeFillTint="66"/>
            <w:tcMar>
              <w:top w:w="15" w:type="dxa"/>
              <w:left w:w="43" w:type="dxa"/>
              <w:bottom w:w="0" w:type="dxa"/>
              <w:right w:w="43" w:type="dxa"/>
            </w:tcMar>
            <w:vAlign w:val="center"/>
            <w:hideMark/>
          </w:tcPr>
          <w:p w14:paraId="6142971C" w14:textId="5F64798A" w:rsidR="000836A1" w:rsidRPr="00367C0B" w:rsidRDefault="00FA2103" w:rsidP="000836A1">
            <w:pPr>
              <w:spacing w:before="20" w:after="20" w:line="256" w:lineRule="auto"/>
              <w:jc w:val="center"/>
              <w:rPr>
                <w:rFonts w:eastAsia="Times New Roman" w:cs="Arial"/>
                <w:sz w:val="18"/>
                <w:szCs w:val="18"/>
                <w:lang w:val="en-US" w:eastAsia="fr-FR"/>
              </w:rPr>
            </w:pPr>
            <w:r w:rsidRPr="006E2303">
              <w:rPr>
                <w:rFonts w:eastAsia="Calibri" w:cs="Arial"/>
                <w:b/>
                <w:kern w:val="24"/>
                <w:sz w:val="18"/>
                <w:szCs w:val="18"/>
                <w:lang w:val="en-US" w:eastAsia="fr-FR"/>
              </w:rPr>
              <w:t>2</w:t>
            </w:r>
          </w:p>
        </w:tc>
        <w:tc>
          <w:tcPr>
            <w:tcW w:w="1306" w:type="dxa"/>
            <w:shd w:val="clear" w:color="auto" w:fill="C5E0B3" w:themeFill="accent6" w:themeFillTint="66"/>
            <w:tcMar>
              <w:top w:w="15" w:type="dxa"/>
              <w:left w:w="43" w:type="dxa"/>
              <w:bottom w:w="0" w:type="dxa"/>
              <w:right w:w="43" w:type="dxa"/>
            </w:tcMar>
            <w:vAlign w:val="center"/>
            <w:hideMark/>
          </w:tcPr>
          <w:p w14:paraId="52AC086E" w14:textId="4C401B81" w:rsidR="000836A1" w:rsidRPr="00367C0B" w:rsidRDefault="00FA2103" w:rsidP="000836A1">
            <w:pPr>
              <w:spacing w:before="20" w:after="20" w:line="256" w:lineRule="auto"/>
              <w:jc w:val="center"/>
              <w:rPr>
                <w:rFonts w:eastAsia="Times New Roman" w:cs="Arial"/>
                <w:sz w:val="18"/>
                <w:szCs w:val="18"/>
                <w:lang w:val="en-US" w:eastAsia="fr-FR"/>
              </w:rPr>
            </w:pPr>
            <w:r w:rsidRPr="006E2303">
              <w:rPr>
                <w:rFonts w:eastAsia="Calibri" w:cs="Arial"/>
                <w:b/>
                <w:kern w:val="24"/>
                <w:sz w:val="18"/>
                <w:szCs w:val="18"/>
                <w:lang w:val="en-US" w:eastAsia="fr-FR"/>
              </w:rPr>
              <w:t>2</w:t>
            </w:r>
          </w:p>
        </w:tc>
        <w:tc>
          <w:tcPr>
            <w:tcW w:w="1286" w:type="dxa"/>
            <w:shd w:val="clear" w:color="auto" w:fill="C5E0B3" w:themeFill="accent6" w:themeFillTint="66"/>
            <w:tcMar>
              <w:top w:w="15" w:type="dxa"/>
              <w:left w:w="43" w:type="dxa"/>
              <w:bottom w:w="0" w:type="dxa"/>
              <w:right w:w="43" w:type="dxa"/>
            </w:tcMar>
            <w:vAlign w:val="center"/>
            <w:hideMark/>
          </w:tcPr>
          <w:p w14:paraId="2CCC3615" w14:textId="16ED51AA" w:rsidR="000836A1" w:rsidRPr="00367C0B" w:rsidRDefault="00FA2103" w:rsidP="000836A1">
            <w:pPr>
              <w:spacing w:before="20" w:after="20" w:line="256" w:lineRule="auto"/>
              <w:jc w:val="center"/>
              <w:rPr>
                <w:rFonts w:eastAsia="Times New Roman" w:cs="Arial"/>
                <w:sz w:val="18"/>
                <w:szCs w:val="18"/>
                <w:lang w:val="en-US" w:eastAsia="fr-FR"/>
              </w:rPr>
            </w:pPr>
            <w:r w:rsidRPr="006E2303">
              <w:rPr>
                <w:rFonts w:eastAsia="Calibri" w:cs="Arial"/>
                <w:b/>
                <w:kern w:val="24"/>
                <w:sz w:val="18"/>
                <w:szCs w:val="18"/>
                <w:lang w:val="en-US" w:eastAsia="fr-FR"/>
              </w:rPr>
              <w:t>2</w:t>
            </w:r>
          </w:p>
        </w:tc>
        <w:tc>
          <w:tcPr>
            <w:tcW w:w="1303" w:type="dxa"/>
            <w:shd w:val="clear" w:color="auto" w:fill="C5E0B3" w:themeFill="accent6" w:themeFillTint="66"/>
            <w:tcMar>
              <w:top w:w="15" w:type="dxa"/>
              <w:left w:w="43" w:type="dxa"/>
              <w:bottom w:w="0" w:type="dxa"/>
              <w:right w:w="43" w:type="dxa"/>
            </w:tcMar>
            <w:vAlign w:val="center"/>
            <w:hideMark/>
          </w:tcPr>
          <w:p w14:paraId="3143A077" w14:textId="4925260D" w:rsidR="000836A1" w:rsidRPr="00367C0B" w:rsidRDefault="00FA2103" w:rsidP="000836A1">
            <w:pPr>
              <w:spacing w:before="20" w:after="20" w:line="256" w:lineRule="auto"/>
              <w:jc w:val="center"/>
              <w:rPr>
                <w:rFonts w:eastAsia="Times New Roman" w:cs="Arial"/>
                <w:sz w:val="18"/>
                <w:szCs w:val="18"/>
                <w:lang w:val="en-US" w:eastAsia="fr-FR"/>
              </w:rPr>
            </w:pPr>
            <w:r w:rsidRPr="006E2303">
              <w:rPr>
                <w:rFonts w:eastAsia="Calibri" w:cs="Arial"/>
                <w:b/>
                <w:kern w:val="24"/>
                <w:sz w:val="18"/>
                <w:szCs w:val="18"/>
                <w:lang w:val="en-US" w:eastAsia="fr-FR"/>
              </w:rPr>
              <w:t>2</w:t>
            </w:r>
          </w:p>
        </w:tc>
      </w:tr>
      <w:tr w:rsidR="00962342" w:rsidRPr="00367C0B" w14:paraId="3FC889C2" w14:textId="77777777" w:rsidTr="006E2303">
        <w:trPr>
          <w:trHeight w:val="835"/>
          <w:jc w:val="center"/>
        </w:trPr>
        <w:tc>
          <w:tcPr>
            <w:tcW w:w="1280" w:type="dxa"/>
            <w:shd w:val="clear" w:color="auto" w:fill="auto"/>
            <w:tcMar>
              <w:top w:w="15" w:type="dxa"/>
              <w:left w:w="108" w:type="dxa"/>
              <w:bottom w:w="0" w:type="dxa"/>
              <w:right w:w="108" w:type="dxa"/>
            </w:tcMar>
            <w:vAlign w:val="center"/>
            <w:hideMark/>
          </w:tcPr>
          <w:p w14:paraId="7EB553B7" w14:textId="5E07524F" w:rsidR="00FA2103" w:rsidRPr="00367C0B" w:rsidRDefault="00FA2103" w:rsidP="00FA2103">
            <w:pPr>
              <w:spacing w:before="20" w:after="20" w:line="256" w:lineRule="auto"/>
              <w:jc w:val="center"/>
              <w:rPr>
                <w:rFonts w:eastAsia="Times New Roman" w:cs="Arial"/>
                <w:sz w:val="36"/>
                <w:szCs w:val="36"/>
                <w:lang w:val="en-US" w:eastAsia="fr-FR"/>
              </w:rPr>
            </w:pPr>
            <w:r>
              <w:rPr>
                <w:rFonts w:eastAsia="Calibri" w:cs="Arial"/>
                <w:color w:val="2E2E38"/>
                <w:kern w:val="24"/>
                <w:sz w:val="18"/>
                <w:szCs w:val="18"/>
                <w:lang w:val="en-US" w:eastAsia="fr-FR"/>
              </w:rPr>
              <w:t>Temperature</w:t>
            </w:r>
          </w:p>
        </w:tc>
        <w:tc>
          <w:tcPr>
            <w:tcW w:w="1070" w:type="dxa"/>
            <w:shd w:val="clear" w:color="auto" w:fill="FFC000"/>
            <w:tcMar>
              <w:top w:w="15" w:type="dxa"/>
              <w:left w:w="43" w:type="dxa"/>
              <w:bottom w:w="0" w:type="dxa"/>
              <w:right w:w="43" w:type="dxa"/>
            </w:tcMar>
            <w:vAlign w:val="center"/>
            <w:hideMark/>
          </w:tcPr>
          <w:p w14:paraId="0D59970F" w14:textId="405F8637" w:rsidR="00FA2103" w:rsidRPr="00367C0B" w:rsidRDefault="00FA2103" w:rsidP="00FA2103">
            <w:pPr>
              <w:spacing w:before="20" w:after="20" w:line="256" w:lineRule="auto"/>
              <w:jc w:val="center"/>
              <w:rPr>
                <w:rFonts w:eastAsia="Times New Roman" w:cs="Arial"/>
                <w:sz w:val="18"/>
                <w:szCs w:val="18"/>
                <w:lang w:val="en-US" w:eastAsia="fr-FR"/>
              </w:rPr>
            </w:pPr>
            <w:r w:rsidRPr="00C62E6B">
              <w:rPr>
                <w:rFonts w:eastAsia="Calibri" w:cs="Arial"/>
                <w:b/>
                <w:color w:val="000000"/>
                <w:kern w:val="24"/>
                <w:sz w:val="18"/>
                <w:szCs w:val="18"/>
                <w:lang w:val="en-US" w:eastAsia="fr-FR"/>
              </w:rPr>
              <w:t>3</w:t>
            </w:r>
          </w:p>
        </w:tc>
        <w:tc>
          <w:tcPr>
            <w:tcW w:w="1039" w:type="dxa"/>
            <w:shd w:val="clear" w:color="auto" w:fill="auto"/>
            <w:tcMar>
              <w:top w:w="15" w:type="dxa"/>
              <w:left w:w="43" w:type="dxa"/>
              <w:bottom w:w="0" w:type="dxa"/>
              <w:right w:w="43" w:type="dxa"/>
            </w:tcMar>
            <w:vAlign w:val="center"/>
            <w:hideMark/>
          </w:tcPr>
          <w:p w14:paraId="4104CC6D" w14:textId="45DE4B49" w:rsidR="00FA2103" w:rsidRPr="00367C0B" w:rsidRDefault="00EE2272" w:rsidP="00FA2103">
            <w:pPr>
              <w:spacing w:before="20" w:after="20" w:line="256" w:lineRule="auto"/>
              <w:jc w:val="center"/>
              <w:rPr>
                <w:rFonts w:eastAsia="Times New Roman" w:cs="Arial"/>
                <w:sz w:val="18"/>
                <w:szCs w:val="18"/>
                <w:lang w:val="en-US" w:eastAsia="fr-FR"/>
              </w:rPr>
            </w:pPr>
            <w:r>
              <w:rPr>
                <w:rFonts w:eastAsia="Times New Roman" w:cs="Arial"/>
                <w:sz w:val="18"/>
                <w:szCs w:val="18"/>
                <w:lang w:val="en-US" w:eastAsia="fr-FR"/>
              </w:rPr>
              <w:t>Equal</w:t>
            </w:r>
          </w:p>
        </w:tc>
        <w:tc>
          <w:tcPr>
            <w:tcW w:w="1130" w:type="dxa"/>
            <w:shd w:val="clear" w:color="auto" w:fill="FFC000" w:themeFill="accent4"/>
            <w:tcMar>
              <w:top w:w="15" w:type="dxa"/>
              <w:left w:w="43" w:type="dxa"/>
              <w:bottom w:w="0" w:type="dxa"/>
              <w:right w:w="43" w:type="dxa"/>
            </w:tcMar>
            <w:vAlign w:val="center"/>
            <w:hideMark/>
          </w:tcPr>
          <w:p w14:paraId="7023515A" w14:textId="29D0B02B" w:rsidR="00FA2103" w:rsidRPr="00367C0B" w:rsidRDefault="00FA2103" w:rsidP="00FA2103">
            <w:pPr>
              <w:spacing w:before="20" w:after="20" w:line="256" w:lineRule="auto"/>
              <w:jc w:val="center"/>
              <w:rPr>
                <w:rFonts w:eastAsia="Times New Roman" w:cs="Arial"/>
                <w:sz w:val="18"/>
                <w:szCs w:val="18"/>
                <w:lang w:val="en-US" w:eastAsia="fr-FR"/>
              </w:rPr>
            </w:pPr>
            <w:r w:rsidRPr="00FA4A70">
              <w:rPr>
                <w:rFonts w:eastAsia="Calibri" w:cs="Arial"/>
                <w:b/>
                <w:color w:val="000000"/>
                <w:kern w:val="24"/>
                <w:sz w:val="18"/>
                <w:szCs w:val="18"/>
                <w:lang w:val="en-US" w:eastAsia="fr-FR"/>
              </w:rPr>
              <w:t>3</w:t>
            </w:r>
          </w:p>
        </w:tc>
        <w:tc>
          <w:tcPr>
            <w:tcW w:w="1303" w:type="dxa"/>
            <w:shd w:val="clear" w:color="auto" w:fill="FFC000" w:themeFill="accent4"/>
            <w:tcMar>
              <w:top w:w="15" w:type="dxa"/>
              <w:left w:w="43" w:type="dxa"/>
              <w:bottom w:w="0" w:type="dxa"/>
              <w:right w:w="43" w:type="dxa"/>
            </w:tcMar>
            <w:vAlign w:val="center"/>
            <w:hideMark/>
          </w:tcPr>
          <w:p w14:paraId="15F4EF25" w14:textId="03F05C59" w:rsidR="00FA2103" w:rsidRPr="00367C0B" w:rsidRDefault="00FA2103" w:rsidP="00FA2103">
            <w:pPr>
              <w:spacing w:before="20" w:after="20" w:line="256" w:lineRule="auto"/>
              <w:jc w:val="center"/>
              <w:rPr>
                <w:rFonts w:eastAsia="Times New Roman" w:cs="Arial"/>
                <w:sz w:val="18"/>
                <w:szCs w:val="18"/>
                <w:lang w:val="en-US" w:eastAsia="fr-FR"/>
              </w:rPr>
            </w:pPr>
            <w:r w:rsidRPr="00FA4A70">
              <w:rPr>
                <w:rFonts w:eastAsia="Calibri" w:cs="Arial"/>
                <w:b/>
                <w:color w:val="000000"/>
                <w:kern w:val="24"/>
                <w:sz w:val="18"/>
                <w:szCs w:val="18"/>
                <w:lang w:val="en-US" w:eastAsia="fr-FR"/>
              </w:rPr>
              <w:t>3</w:t>
            </w:r>
          </w:p>
        </w:tc>
        <w:tc>
          <w:tcPr>
            <w:tcW w:w="1303" w:type="dxa"/>
            <w:shd w:val="clear" w:color="auto" w:fill="FFC000" w:themeFill="accent4"/>
            <w:tcMar>
              <w:top w:w="15" w:type="dxa"/>
              <w:left w:w="43" w:type="dxa"/>
              <w:bottom w:w="0" w:type="dxa"/>
              <w:right w:w="43" w:type="dxa"/>
            </w:tcMar>
            <w:vAlign w:val="center"/>
            <w:hideMark/>
          </w:tcPr>
          <w:p w14:paraId="7087253F" w14:textId="7E7090D4" w:rsidR="00FA2103" w:rsidRPr="00367C0B" w:rsidRDefault="00FA2103" w:rsidP="00FA2103">
            <w:pPr>
              <w:spacing w:before="20" w:after="20" w:line="256" w:lineRule="auto"/>
              <w:jc w:val="center"/>
              <w:rPr>
                <w:rFonts w:eastAsia="Times New Roman" w:cs="Arial"/>
                <w:sz w:val="18"/>
                <w:szCs w:val="18"/>
                <w:lang w:val="en-US" w:eastAsia="fr-FR"/>
              </w:rPr>
            </w:pPr>
            <w:r w:rsidRPr="00FA4A70">
              <w:rPr>
                <w:rFonts w:eastAsia="Calibri" w:cs="Arial"/>
                <w:b/>
                <w:color w:val="000000"/>
                <w:kern w:val="24"/>
                <w:sz w:val="18"/>
                <w:szCs w:val="18"/>
                <w:lang w:val="en-US" w:eastAsia="fr-FR"/>
              </w:rPr>
              <w:t>3</w:t>
            </w:r>
          </w:p>
        </w:tc>
        <w:tc>
          <w:tcPr>
            <w:tcW w:w="1306" w:type="dxa"/>
            <w:shd w:val="clear" w:color="auto" w:fill="FFC000" w:themeFill="accent4"/>
            <w:tcMar>
              <w:top w:w="15" w:type="dxa"/>
              <w:left w:w="43" w:type="dxa"/>
              <w:bottom w:w="0" w:type="dxa"/>
              <w:right w:w="43" w:type="dxa"/>
            </w:tcMar>
            <w:vAlign w:val="center"/>
            <w:hideMark/>
          </w:tcPr>
          <w:p w14:paraId="0BACD4AE" w14:textId="6EACC982" w:rsidR="00FA2103" w:rsidRPr="00367C0B" w:rsidRDefault="00FA2103" w:rsidP="00FA2103">
            <w:pPr>
              <w:spacing w:before="20" w:after="20" w:line="256" w:lineRule="auto"/>
              <w:jc w:val="center"/>
              <w:rPr>
                <w:rFonts w:eastAsia="Times New Roman" w:cs="Arial"/>
                <w:sz w:val="18"/>
                <w:szCs w:val="18"/>
                <w:lang w:val="en-US" w:eastAsia="fr-FR"/>
              </w:rPr>
            </w:pPr>
            <w:r w:rsidRPr="00FA4A70">
              <w:rPr>
                <w:rFonts w:eastAsia="Calibri" w:cs="Arial"/>
                <w:b/>
                <w:color w:val="000000"/>
                <w:kern w:val="24"/>
                <w:sz w:val="18"/>
                <w:szCs w:val="18"/>
                <w:lang w:val="en-US" w:eastAsia="fr-FR"/>
              </w:rPr>
              <w:t>3</w:t>
            </w:r>
          </w:p>
        </w:tc>
        <w:tc>
          <w:tcPr>
            <w:tcW w:w="1286" w:type="dxa"/>
            <w:shd w:val="clear" w:color="auto" w:fill="FFC000" w:themeFill="accent4"/>
            <w:tcMar>
              <w:top w:w="15" w:type="dxa"/>
              <w:left w:w="43" w:type="dxa"/>
              <w:bottom w:w="0" w:type="dxa"/>
              <w:right w:w="43" w:type="dxa"/>
            </w:tcMar>
            <w:vAlign w:val="center"/>
            <w:hideMark/>
          </w:tcPr>
          <w:p w14:paraId="0067D52E" w14:textId="317D98D9" w:rsidR="00FA2103" w:rsidRPr="00367C0B" w:rsidRDefault="00FA2103" w:rsidP="00FA2103">
            <w:pPr>
              <w:spacing w:before="20" w:after="20" w:line="256" w:lineRule="auto"/>
              <w:jc w:val="center"/>
              <w:rPr>
                <w:rFonts w:eastAsia="Times New Roman" w:cs="Arial"/>
                <w:sz w:val="18"/>
                <w:szCs w:val="18"/>
                <w:lang w:val="en-US" w:eastAsia="fr-FR"/>
              </w:rPr>
            </w:pPr>
            <w:r w:rsidRPr="00FA4A70">
              <w:rPr>
                <w:rFonts w:eastAsia="Calibri" w:cs="Arial"/>
                <w:b/>
                <w:color w:val="000000"/>
                <w:kern w:val="24"/>
                <w:sz w:val="18"/>
                <w:szCs w:val="18"/>
                <w:lang w:val="en-US" w:eastAsia="fr-FR"/>
              </w:rPr>
              <w:t>3</w:t>
            </w:r>
          </w:p>
        </w:tc>
        <w:tc>
          <w:tcPr>
            <w:tcW w:w="1303" w:type="dxa"/>
            <w:shd w:val="clear" w:color="auto" w:fill="FFC000" w:themeFill="accent4"/>
            <w:tcMar>
              <w:top w:w="15" w:type="dxa"/>
              <w:left w:w="43" w:type="dxa"/>
              <w:bottom w:w="0" w:type="dxa"/>
              <w:right w:w="43" w:type="dxa"/>
            </w:tcMar>
            <w:vAlign w:val="center"/>
            <w:hideMark/>
          </w:tcPr>
          <w:p w14:paraId="2A6A0181" w14:textId="34220DE1" w:rsidR="00FA2103" w:rsidRPr="00367C0B" w:rsidRDefault="00FA2103" w:rsidP="00FA2103">
            <w:pPr>
              <w:spacing w:before="20" w:after="20" w:line="256" w:lineRule="auto"/>
              <w:jc w:val="center"/>
              <w:rPr>
                <w:rFonts w:eastAsia="Times New Roman" w:cs="Arial"/>
                <w:sz w:val="18"/>
                <w:szCs w:val="18"/>
                <w:lang w:val="en-US" w:eastAsia="fr-FR"/>
              </w:rPr>
            </w:pPr>
            <w:r w:rsidRPr="00FA4A70">
              <w:rPr>
                <w:rFonts w:eastAsia="Calibri" w:cs="Arial"/>
                <w:b/>
                <w:color w:val="000000"/>
                <w:kern w:val="24"/>
                <w:sz w:val="18"/>
                <w:szCs w:val="18"/>
                <w:lang w:val="en-US" w:eastAsia="fr-FR"/>
              </w:rPr>
              <w:t>3</w:t>
            </w:r>
          </w:p>
        </w:tc>
      </w:tr>
      <w:tr w:rsidR="00962342" w:rsidRPr="00367C0B" w14:paraId="6E4F150F" w14:textId="77777777" w:rsidTr="006E2303">
        <w:trPr>
          <w:trHeight w:val="905"/>
          <w:jc w:val="center"/>
        </w:trPr>
        <w:tc>
          <w:tcPr>
            <w:tcW w:w="1280" w:type="dxa"/>
            <w:shd w:val="clear" w:color="auto" w:fill="auto"/>
            <w:tcMar>
              <w:top w:w="15" w:type="dxa"/>
              <w:left w:w="108" w:type="dxa"/>
              <w:bottom w:w="0" w:type="dxa"/>
              <w:right w:w="108" w:type="dxa"/>
            </w:tcMar>
            <w:vAlign w:val="center"/>
            <w:hideMark/>
          </w:tcPr>
          <w:p w14:paraId="0B599BD1" w14:textId="5D8A79A9" w:rsidR="00FA2103" w:rsidRPr="00367C0B" w:rsidRDefault="00FA2103" w:rsidP="00FA2103">
            <w:pPr>
              <w:spacing w:before="20" w:after="20" w:line="256" w:lineRule="auto"/>
              <w:jc w:val="center"/>
              <w:rPr>
                <w:rFonts w:eastAsia="Times New Roman" w:cs="Arial"/>
                <w:sz w:val="36"/>
                <w:szCs w:val="36"/>
                <w:lang w:val="en-US" w:eastAsia="fr-FR"/>
              </w:rPr>
            </w:pPr>
            <w:r>
              <w:rPr>
                <w:rFonts w:eastAsia="Calibri" w:cs="Arial"/>
                <w:color w:val="2E2E38"/>
                <w:kern w:val="24"/>
                <w:sz w:val="18"/>
                <w:szCs w:val="18"/>
                <w:lang w:val="en-US" w:eastAsia="fr-FR"/>
              </w:rPr>
              <w:t>Heat</w:t>
            </w:r>
          </w:p>
        </w:tc>
        <w:tc>
          <w:tcPr>
            <w:tcW w:w="1070" w:type="dxa"/>
            <w:shd w:val="clear" w:color="auto" w:fill="FFC000"/>
            <w:tcMar>
              <w:top w:w="15" w:type="dxa"/>
              <w:left w:w="43" w:type="dxa"/>
              <w:bottom w:w="0" w:type="dxa"/>
              <w:right w:w="43" w:type="dxa"/>
            </w:tcMar>
            <w:vAlign w:val="center"/>
            <w:hideMark/>
          </w:tcPr>
          <w:p w14:paraId="07BB4738" w14:textId="73EF3304" w:rsidR="00FA2103" w:rsidRPr="00367C0B" w:rsidRDefault="00FA2103" w:rsidP="00FA2103">
            <w:pPr>
              <w:spacing w:before="20" w:after="20" w:line="256" w:lineRule="auto"/>
              <w:jc w:val="center"/>
              <w:rPr>
                <w:rFonts w:eastAsia="Times New Roman" w:cs="Arial"/>
                <w:sz w:val="18"/>
                <w:szCs w:val="18"/>
                <w:lang w:val="en-US" w:eastAsia="fr-FR"/>
              </w:rPr>
            </w:pPr>
            <w:r w:rsidRPr="00C62E6B">
              <w:rPr>
                <w:rFonts w:eastAsia="Calibri" w:cs="Arial"/>
                <w:b/>
                <w:color w:val="000000"/>
                <w:kern w:val="24"/>
                <w:sz w:val="18"/>
                <w:szCs w:val="18"/>
                <w:lang w:val="en-US" w:eastAsia="fr-FR"/>
              </w:rPr>
              <w:t>3</w:t>
            </w:r>
          </w:p>
        </w:tc>
        <w:tc>
          <w:tcPr>
            <w:tcW w:w="1039" w:type="dxa"/>
            <w:shd w:val="clear" w:color="auto" w:fill="auto"/>
            <w:tcMar>
              <w:top w:w="15" w:type="dxa"/>
              <w:left w:w="43" w:type="dxa"/>
              <w:bottom w:w="0" w:type="dxa"/>
              <w:right w:w="43" w:type="dxa"/>
            </w:tcMar>
            <w:vAlign w:val="center"/>
            <w:hideMark/>
          </w:tcPr>
          <w:p w14:paraId="36A7DBDA" w14:textId="27D7B2BF" w:rsidR="00FA2103" w:rsidRPr="00367C0B" w:rsidRDefault="00EE2272" w:rsidP="00FA2103">
            <w:pPr>
              <w:spacing w:before="20" w:after="20" w:line="256" w:lineRule="auto"/>
              <w:jc w:val="center"/>
              <w:rPr>
                <w:rFonts w:eastAsia="Times New Roman" w:cs="Arial"/>
                <w:sz w:val="18"/>
                <w:szCs w:val="18"/>
                <w:lang w:val="en-US" w:eastAsia="fr-FR"/>
              </w:rPr>
            </w:pPr>
            <w:r>
              <w:rPr>
                <w:rFonts w:eastAsia="Times New Roman" w:cs="Arial"/>
                <w:sz w:val="18"/>
                <w:szCs w:val="18"/>
                <w:lang w:val="en-US" w:eastAsia="fr-FR"/>
              </w:rPr>
              <w:t>Equal</w:t>
            </w:r>
          </w:p>
        </w:tc>
        <w:tc>
          <w:tcPr>
            <w:tcW w:w="1130" w:type="dxa"/>
            <w:shd w:val="clear" w:color="auto" w:fill="FFC000" w:themeFill="accent4"/>
            <w:tcMar>
              <w:top w:w="15" w:type="dxa"/>
              <w:left w:w="43" w:type="dxa"/>
              <w:bottom w:w="0" w:type="dxa"/>
              <w:right w:w="43" w:type="dxa"/>
            </w:tcMar>
            <w:vAlign w:val="center"/>
            <w:hideMark/>
          </w:tcPr>
          <w:p w14:paraId="60AA0FFD" w14:textId="55D03AD7" w:rsidR="00FA2103" w:rsidRPr="00367C0B" w:rsidRDefault="00FA2103" w:rsidP="00FA2103">
            <w:pPr>
              <w:spacing w:before="20" w:after="20" w:line="256" w:lineRule="auto"/>
              <w:jc w:val="center"/>
              <w:rPr>
                <w:rFonts w:eastAsia="Times New Roman" w:cs="Arial"/>
                <w:sz w:val="18"/>
                <w:szCs w:val="18"/>
                <w:lang w:val="en-US" w:eastAsia="fr-FR"/>
              </w:rPr>
            </w:pPr>
            <w:r w:rsidRPr="0036455E">
              <w:rPr>
                <w:rFonts w:eastAsia="Calibri" w:cs="Arial"/>
                <w:b/>
                <w:color w:val="000000"/>
                <w:kern w:val="24"/>
                <w:sz w:val="18"/>
                <w:szCs w:val="18"/>
                <w:lang w:val="en-US" w:eastAsia="fr-FR"/>
              </w:rPr>
              <w:t>3</w:t>
            </w:r>
          </w:p>
        </w:tc>
        <w:tc>
          <w:tcPr>
            <w:tcW w:w="1303" w:type="dxa"/>
            <w:shd w:val="clear" w:color="auto" w:fill="FFC000" w:themeFill="accent4"/>
            <w:tcMar>
              <w:top w:w="15" w:type="dxa"/>
              <w:left w:w="43" w:type="dxa"/>
              <w:bottom w:w="0" w:type="dxa"/>
              <w:right w:w="43" w:type="dxa"/>
            </w:tcMar>
            <w:vAlign w:val="center"/>
            <w:hideMark/>
          </w:tcPr>
          <w:p w14:paraId="773435EC" w14:textId="10903C9C" w:rsidR="00FA2103" w:rsidRPr="00367C0B" w:rsidRDefault="00FA2103" w:rsidP="00FA2103">
            <w:pPr>
              <w:spacing w:before="20" w:after="20" w:line="256" w:lineRule="auto"/>
              <w:jc w:val="center"/>
              <w:rPr>
                <w:rFonts w:eastAsia="Times New Roman" w:cs="Arial"/>
                <w:sz w:val="18"/>
                <w:szCs w:val="18"/>
                <w:lang w:val="en-US" w:eastAsia="fr-FR"/>
              </w:rPr>
            </w:pPr>
            <w:r w:rsidRPr="0036455E">
              <w:rPr>
                <w:rFonts w:eastAsia="Calibri" w:cs="Arial"/>
                <w:b/>
                <w:color w:val="000000"/>
                <w:kern w:val="24"/>
                <w:sz w:val="18"/>
                <w:szCs w:val="18"/>
                <w:lang w:val="en-US" w:eastAsia="fr-FR"/>
              </w:rPr>
              <w:t>3</w:t>
            </w:r>
          </w:p>
        </w:tc>
        <w:tc>
          <w:tcPr>
            <w:tcW w:w="1303" w:type="dxa"/>
            <w:shd w:val="clear" w:color="auto" w:fill="FFC000" w:themeFill="accent4"/>
            <w:tcMar>
              <w:top w:w="15" w:type="dxa"/>
              <w:left w:w="43" w:type="dxa"/>
              <w:bottom w:w="0" w:type="dxa"/>
              <w:right w:w="43" w:type="dxa"/>
            </w:tcMar>
            <w:vAlign w:val="center"/>
            <w:hideMark/>
          </w:tcPr>
          <w:p w14:paraId="290596D9" w14:textId="14773A8E" w:rsidR="00FA2103" w:rsidRPr="00367C0B" w:rsidRDefault="00FA2103" w:rsidP="00FA2103">
            <w:pPr>
              <w:spacing w:before="20" w:after="20" w:line="256" w:lineRule="auto"/>
              <w:jc w:val="center"/>
              <w:rPr>
                <w:rFonts w:eastAsia="Times New Roman" w:cs="Arial"/>
                <w:sz w:val="18"/>
                <w:szCs w:val="18"/>
                <w:lang w:val="en-US" w:eastAsia="fr-FR"/>
              </w:rPr>
            </w:pPr>
            <w:r w:rsidRPr="0036455E">
              <w:rPr>
                <w:rFonts w:eastAsia="Calibri" w:cs="Arial"/>
                <w:b/>
                <w:color w:val="000000"/>
                <w:kern w:val="24"/>
                <w:sz w:val="18"/>
                <w:szCs w:val="18"/>
                <w:lang w:val="en-US" w:eastAsia="fr-FR"/>
              </w:rPr>
              <w:t>3</w:t>
            </w:r>
          </w:p>
        </w:tc>
        <w:tc>
          <w:tcPr>
            <w:tcW w:w="1306" w:type="dxa"/>
            <w:shd w:val="clear" w:color="auto" w:fill="FFC000" w:themeFill="accent4"/>
            <w:tcMar>
              <w:top w:w="15" w:type="dxa"/>
              <w:left w:w="43" w:type="dxa"/>
              <w:bottom w:w="0" w:type="dxa"/>
              <w:right w:w="43" w:type="dxa"/>
            </w:tcMar>
            <w:vAlign w:val="center"/>
            <w:hideMark/>
          </w:tcPr>
          <w:p w14:paraId="5678BCE7" w14:textId="6267EA55" w:rsidR="00FA2103" w:rsidRPr="00367C0B" w:rsidRDefault="00FA2103" w:rsidP="00FA2103">
            <w:pPr>
              <w:spacing w:before="20" w:after="20" w:line="256" w:lineRule="auto"/>
              <w:jc w:val="center"/>
              <w:rPr>
                <w:rFonts w:eastAsia="Times New Roman" w:cs="Arial"/>
                <w:sz w:val="18"/>
                <w:szCs w:val="18"/>
                <w:lang w:val="en-US" w:eastAsia="fr-FR"/>
              </w:rPr>
            </w:pPr>
            <w:r w:rsidRPr="0036455E">
              <w:rPr>
                <w:rFonts w:eastAsia="Calibri" w:cs="Arial"/>
                <w:b/>
                <w:color w:val="000000"/>
                <w:kern w:val="24"/>
                <w:sz w:val="18"/>
                <w:szCs w:val="18"/>
                <w:lang w:val="en-US" w:eastAsia="fr-FR"/>
              </w:rPr>
              <w:t>3</w:t>
            </w:r>
          </w:p>
        </w:tc>
        <w:tc>
          <w:tcPr>
            <w:tcW w:w="1286" w:type="dxa"/>
            <w:shd w:val="clear" w:color="auto" w:fill="FFC000" w:themeFill="accent4"/>
            <w:tcMar>
              <w:top w:w="15" w:type="dxa"/>
              <w:left w:w="43" w:type="dxa"/>
              <w:bottom w:w="0" w:type="dxa"/>
              <w:right w:w="43" w:type="dxa"/>
            </w:tcMar>
            <w:vAlign w:val="center"/>
            <w:hideMark/>
          </w:tcPr>
          <w:p w14:paraId="70F3BAFD" w14:textId="52C868BA" w:rsidR="00FA2103" w:rsidRPr="00367C0B" w:rsidRDefault="00FA2103" w:rsidP="00FA2103">
            <w:pPr>
              <w:spacing w:before="20" w:after="20" w:line="256" w:lineRule="auto"/>
              <w:jc w:val="center"/>
              <w:rPr>
                <w:rFonts w:eastAsia="Times New Roman" w:cs="Arial"/>
                <w:sz w:val="18"/>
                <w:szCs w:val="18"/>
                <w:lang w:val="en-US" w:eastAsia="fr-FR"/>
              </w:rPr>
            </w:pPr>
            <w:r w:rsidRPr="0036455E">
              <w:rPr>
                <w:rFonts w:eastAsia="Calibri" w:cs="Arial"/>
                <w:b/>
                <w:color w:val="000000"/>
                <w:kern w:val="24"/>
                <w:sz w:val="18"/>
                <w:szCs w:val="18"/>
                <w:lang w:val="en-US" w:eastAsia="fr-FR"/>
              </w:rPr>
              <w:t>3</w:t>
            </w:r>
          </w:p>
        </w:tc>
        <w:tc>
          <w:tcPr>
            <w:tcW w:w="1303" w:type="dxa"/>
            <w:shd w:val="clear" w:color="auto" w:fill="FFC000" w:themeFill="accent4"/>
            <w:tcMar>
              <w:top w:w="15" w:type="dxa"/>
              <w:left w:w="43" w:type="dxa"/>
              <w:bottom w:w="0" w:type="dxa"/>
              <w:right w:w="43" w:type="dxa"/>
            </w:tcMar>
            <w:vAlign w:val="center"/>
            <w:hideMark/>
          </w:tcPr>
          <w:p w14:paraId="51596A47" w14:textId="13ACE638" w:rsidR="00FA2103" w:rsidRPr="00367C0B" w:rsidRDefault="00FA2103" w:rsidP="00FA2103">
            <w:pPr>
              <w:spacing w:before="20" w:after="20" w:line="256" w:lineRule="auto"/>
              <w:jc w:val="center"/>
              <w:rPr>
                <w:rFonts w:eastAsia="Times New Roman" w:cs="Arial"/>
                <w:sz w:val="18"/>
                <w:szCs w:val="18"/>
                <w:lang w:val="en-US" w:eastAsia="fr-FR"/>
              </w:rPr>
            </w:pPr>
            <w:r w:rsidRPr="0036455E">
              <w:rPr>
                <w:rFonts w:eastAsia="Calibri" w:cs="Arial"/>
                <w:b/>
                <w:color w:val="000000"/>
                <w:kern w:val="24"/>
                <w:sz w:val="18"/>
                <w:szCs w:val="18"/>
                <w:lang w:val="en-US" w:eastAsia="fr-FR"/>
              </w:rPr>
              <w:t>3</w:t>
            </w:r>
          </w:p>
        </w:tc>
      </w:tr>
      <w:tr w:rsidR="00962342" w:rsidRPr="00367C0B" w14:paraId="4453C6C7" w14:textId="77777777" w:rsidTr="006E2303">
        <w:trPr>
          <w:trHeight w:val="448"/>
          <w:jc w:val="center"/>
        </w:trPr>
        <w:tc>
          <w:tcPr>
            <w:tcW w:w="1280" w:type="dxa"/>
            <w:shd w:val="clear" w:color="auto" w:fill="auto"/>
            <w:tcMar>
              <w:top w:w="15" w:type="dxa"/>
              <w:left w:w="108" w:type="dxa"/>
              <w:bottom w:w="0" w:type="dxa"/>
              <w:right w:w="108" w:type="dxa"/>
            </w:tcMar>
            <w:vAlign w:val="center"/>
            <w:hideMark/>
          </w:tcPr>
          <w:p w14:paraId="6AE7D689" w14:textId="756496B3" w:rsidR="006E2303" w:rsidRPr="00367C0B" w:rsidRDefault="006E2303" w:rsidP="006E2303">
            <w:pPr>
              <w:spacing w:before="20" w:after="20" w:line="256" w:lineRule="auto"/>
              <w:jc w:val="center"/>
              <w:rPr>
                <w:rFonts w:eastAsia="Times New Roman" w:cs="Arial"/>
                <w:sz w:val="36"/>
                <w:szCs w:val="36"/>
                <w:lang w:val="en-US" w:eastAsia="fr-FR"/>
              </w:rPr>
            </w:pPr>
            <w:r>
              <w:rPr>
                <w:rFonts w:eastAsia="Calibri" w:cs="Arial"/>
                <w:color w:val="2E2E38"/>
                <w:kern w:val="24"/>
                <w:sz w:val="18"/>
                <w:szCs w:val="18"/>
                <w:lang w:val="en-US" w:eastAsia="fr-FR"/>
              </w:rPr>
              <w:t>Extreme Weather</w:t>
            </w:r>
          </w:p>
        </w:tc>
        <w:tc>
          <w:tcPr>
            <w:tcW w:w="1070" w:type="dxa"/>
            <w:shd w:val="clear" w:color="auto" w:fill="FFC000"/>
            <w:tcMar>
              <w:top w:w="15" w:type="dxa"/>
              <w:left w:w="43" w:type="dxa"/>
              <w:bottom w:w="0" w:type="dxa"/>
              <w:right w:w="43" w:type="dxa"/>
            </w:tcMar>
            <w:vAlign w:val="center"/>
            <w:hideMark/>
          </w:tcPr>
          <w:p w14:paraId="5B1E29CC" w14:textId="2CD48FF6" w:rsidR="006E2303" w:rsidRPr="00367C0B" w:rsidRDefault="006E2303" w:rsidP="006E2303">
            <w:pPr>
              <w:spacing w:before="20" w:after="20" w:line="256" w:lineRule="auto"/>
              <w:jc w:val="center"/>
              <w:rPr>
                <w:rFonts w:eastAsia="Times New Roman" w:cs="Arial"/>
                <w:sz w:val="18"/>
                <w:szCs w:val="18"/>
                <w:lang w:val="en-US" w:eastAsia="fr-FR"/>
              </w:rPr>
            </w:pPr>
            <w:r w:rsidRPr="00C62E6B">
              <w:rPr>
                <w:rFonts w:eastAsia="Calibri" w:cs="Arial"/>
                <w:b/>
                <w:color w:val="000000"/>
                <w:kern w:val="24"/>
                <w:sz w:val="18"/>
                <w:szCs w:val="18"/>
                <w:lang w:val="en-US" w:eastAsia="fr-FR"/>
              </w:rPr>
              <w:t>3 - 4</w:t>
            </w:r>
          </w:p>
        </w:tc>
        <w:tc>
          <w:tcPr>
            <w:tcW w:w="1039" w:type="dxa"/>
            <w:shd w:val="clear" w:color="auto" w:fill="auto"/>
            <w:tcMar>
              <w:top w:w="15" w:type="dxa"/>
              <w:left w:w="43" w:type="dxa"/>
              <w:bottom w:w="0" w:type="dxa"/>
              <w:right w:w="43" w:type="dxa"/>
            </w:tcMar>
            <w:vAlign w:val="center"/>
            <w:hideMark/>
          </w:tcPr>
          <w:p w14:paraId="3D8C2FC4" w14:textId="510D28B1" w:rsidR="00962342" w:rsidRDefault="00962342" w:rsidP="006E2303">
            <w:pPr>
              <w:spacing w:before="20" w:after="20" w:line="256" w:lineRule="auto"/>
              <w:jc w:val="center"/>
              <w:rPr>
                <w:rFonts w:eastAsia="Calibri" w:cs="Arial"/>
                <w:b/>
                <w:color w:val="2E2E38"/>
                <w:kern w:val="24"/>
                <w:sz w:val="18"/>
                <w:szCs w:val="18"/>
                <w:lang w:val="en-US" w:eastAsia="fr-FR"/>
              </w:rPr>
            </w:pPr>
            <w:r>
              <w:rPr>
                <w:rFonts w:eastAsia="Calibri" w:cs="Arial"/>
                <w:b/>
                <w:color w:val="2E2E38"/>
                <w:kern w:val="24"/>
                <w:sz w:val="18"/>
                <w:szCs w:val="18"/>
                <w:lang w:val="en-US" w:eastAsia="fr-FR"/>
              </w:rPr>
              <w:t>Slightly</w:t>
            </w:r>
          </w:p>
          <w:p w14:paraId="2F3663D5" w14:textId="71F42068" w:rsidR="006E2303" w:rsidRPr="00367C0B" w:rsidRDefault="006E2303" w:rsidP="006E2303">
            <w:pPr>
              <w:spacing w:before="20" w:after="20" w:line="256" w:lineRule="auto"/>
              <w:jc w:val="center"/>
              <w:rPr>
                <w:rFonts w:eastAsia="Times New Roman" w:cs="Arial"/>
                <w:sz w:val="18"/>
                <w:szCs w:val="18"/>
                <w:lang w:val="en-US" w:eastAsia="fr-FR"/>
              </w:rPr>
            </w:pPr>
            <w:r w:rsidRPr="00C62E6B">
              <w:rPr>
                <w:rFonts w:eastAsia="Calibri" w:cs="Arial"/>
                <w:b/>
                <w:color w:val="2E2E38"/>
                <w:kern w:val="24"/>
                <w:sz w:val="18"/>
                <w:szCs w:val="18"/>
                <w:lang w:val="en-US" w:eastAsia="fr-FR"/>
              </w:rPr>
              <w:t>Increase</w:t>
            </w:r>
          </w:p>
        </w:tc>
        <w:tc>
          <w:tcPr>
            <w:tcW w:w="1130" w:type="dxa"/>
            <w:shd w:val="clear" w:color="auto" w:fill="ED7D31" w:themeFill="accent2"/>
            <w:tcMar>
              <w:top w:w="15" w:type="dxa"/>
              <w:left w:w="43" w:type="dxa"/>
              <w:bottom w:w="0" w:type="dxa"/>
              <w:right w:w="43" w:type="dxa"/>
            </w:tcMar>
            <w:vAlign w:val="center"/>
            <w:hideMark/>
          </w:tcPr>
          <w:p w14:paraId="54A0AB5C" w14:textId="2AAF9792" w:rsidR="006E2303" w:rsidRPr="00367C0B" w:rsidRDefault="006E2303" w:rsidP="006E2303">
            <w:pPr>
              <w:spacing w:before="20" w:after="20" w:line="256" w:lineRule="auto"/>
              <w:jc w:val="center"/>
              <w:rPr>
                <w:rFonts w:eastAsia="Times New Roman" w:cs="Arial"/>
                <w:sz w:val="18"/>
                <w:szCs w:val="18"/>
                <w:lang w:val="en-US" w:eastAsia="fr-FR"/>
              </w:rPr>
            </w:pPr>
            <w:r>
              <w:rPr>
                <w:rFonts w:eastAsia="Calibri" w:cs="Arial"/>
                <w:b/>
                <w:color w:val="000000"/>
                <w:kern w:val="24"/>
                <w:sz w:val="18"/>
                <w:szCs w:val="18"/>
                <w:lang w:val="en-US" w:eastAsia="fr-FR"/>
              </w:rPr>
              <w:t>4</w:t>
            </w:r>
          </w:p>
        </w:tc>
        <w:tc>
          <w:tcPr>
            <w:tcW w:w="1303" w:type="dxa"/>
            <w:shd w:val="clear" w:color="auto" w:fill="ED7D31" w:themeFill="accent2"/>
            <w:tcMar>
              <w:top w:w="15" w:type="dxa"/>
              <w:left w:w="43" w:type="dxa"/>
              <w:bottom w:w="0" w:type="dxa"/>
              <w:right w:w="43" w:type="dxa"/>
            </w:tcMar>
            <w:vAlign w:val="center"/>
            <w:hideMark/>
          </w:tcPr>
          <w:p w14:paraId="32DABF1D" w14:textId="2E19B230" w:rsidR="006E2303" w:rsidRPr="00367C0B" w:rsidRDefault="006E2303" w:rsidP="006E2303">
            <w:pPr>
              <w:spacing w:before="20" w:after="20" w:line="256" w:lineRule="auto"/>
              <w:jc w:val="center"/>
              <w:rPr>
                <w:rFonts w:eastAsia="Times New Roman" w:cs="Arial"/>
                <w:sz w:val="18"/>
                <w:szCs w:val="18"/>
                <w:lang w:val="en-US" w:eastAsia="fr-FR"/>
              </w:rPr>
            </w:pPr>
            <w:r w:rsidRPr="004E7A83">
              <w:rPr>
                <w:rFonts w:eastAsia="Calibri" w:cs="Arial"/>
                <w:b/>
                <w:color w:val="000000"/>
                <w:kern w:val="24"/>
                <w:sz w:val="18"/>
                <w:szCs w:val="18"/>
                <w:lang w:val="en-US" w:eastAsia="fr-FR"/>
              </w:rPr>
              <w:t>4</w:t>
            </w:r>
          </w:p>
        </w:tc>
        <w:tc>
          <w:tcPr>
            <w:tcW w:w="1303" w:type="dxa"/>
            <w:shd w:val="clear" w:color="auto" w:fill="ED7D31" w:themeFill="accent2"/>
            <w:tcMar>
              <w:top w:w="15" w:type="dxa"/>
              <w:left w:w="43" w:type="dxa"/>
              <w:bottom w:w="0" w:type="dxa"/>
              <w:right w:w="43" w:type="dxa"/>
            </w:tcMar>
            <w:vAlign w:val="center"/>
            <w:hideMark/>
          </w:tcPr>
          <w:p w14:paraId="0CE29B72" w14:textId="5F53E79B" w:rsidR="006E2303" w:rsidRPr="00367C0B" w:rsidRDefault="006E2303" w:rsidP="006E2303">
            <w:pPr>
              <w:spacing w:before="20" w:after="20" w:line="256" w:lineRule="auto"/>
              <w:jc w:val="center"/>
              <w:rPr>
                <w:rFonts w:eastAsia="Times New Roman" w:cs="Arial"/>
                <w:sz w:val="18"/>
                <w:szCs w:val="18"/>
                <w:lang w:val="en-US" w:eastAsia="fr-FR"/>
              </w:rPr>
            </w:pPr>
            <w:r w:rsidRPr="004E7A83">
              <w:rPr>
                <w:rFonts w:eastAsia="Calibri" w:cs="Arial"/>
                <w:b/>
                <w:color w:val="000000"/>
                <w:kern w:val="24"/>
                <w:sz w:val="18"/>
                <w:szCs w:val="18"/>
                <w:lang w:val="en-US" w:eastAsia="fr-FR"/>
              </w:rPr>
              <w:t>4</w:t>
            </w:r>
          </w:p>
        </w:tc>
        <w:tc>
          <w:tcPr>
            <w:tcW w:w="1306" w:type="dxa"/>
            <w:shd w:val="clear" w:color="auto" w:fill="ED7D31" w:themeFill="accent2"/>
            <w:tcMar>
              <w:top w:w="15" w:type="dxa"/>
              <w:left w:w="43" w:type="dxa"/>
              <w:bottom w:w="0" w:type="dxa"/>
              <w:right w:w="43" w:type="dxa"/>
            </w:tcMar>
            <w:vAlign w:val="center"/>
            <w:hideMark/>
          </w:tcPr>
          <w:p w14:paraId="6C722B12" w14:textId="7A3730EF" w:rsidR="006E2303" w:rsidRPr="00367C0B" w:rsidRDefault="006E2303" w:rsidP="006E2303">
            <w:pPr>
              <w:spacing w:before="20" w:after="20" w:line="256" w:lineRule="auto"/>
              <w:jc w:val="center"/>
              <w:rPr>
                <w:rFonts w:eastAsia="Times New Roman" w:cs="Arial"/>
                <w:sz w:val="18"/>
                <w:szCs w:val="18"/>
                <w:lang w:val="en-US" w:eastAsia="fr-FR"/>
              </w:rPr>
            </w:pPr>
            <w:r w:rsidRPr="004E7A83">
              <w:rPr>
                <w:rFonts w:eastAsia="Calibri" w:cs="Arial"/>
                <w:b/>
                <w:color w:val="000000"/>
                <w:kern w:val="24"/>
                <w:sz w:val="18"/>
                <w:szCs w:val="18"/>
                <w:lang w:val="en-US" w:eastAsia="fr-FR"/>
              </w:rPr>
              <w:t>4</w:t>
            </w:r>
          </w:p>
        </w:tc>
        <w:tc>
          <w:tcPr>
            <w:tcW w:w="1286" w:type="dxa"/>
            <w:shd w:val="clear" w:color="auto" w:fill="ED7D31" w:themeFill="accent2"/>
            <w:tcMar>
              <w:top w:w="15" w:type="dxa"/>
              <w:left w:w="43" w:type="dxa"/>
              <w:bottom w:w="0" w:type="dxa"/>
              <w:right w:w="43" w:type="dxa"/>
            </w:tcMar>
            <w:vAlign w:val="center"/>
            <w:hideMark/>
          </w:tcPr>
          <w:p w14:paraId="72EB3664" w14:textId="3BCB9B5D" w:rsidR="006E2303" w:rsidRPr="00367C0B" w:rsidRDefault="006E2303" w:rsidP="006E2303">
            <w:pPr>
              <w:spacing w:before="20" w:after="20" w:line="256" w:lineRule="auto"/>
              <w:jc w:val="center"/>
              <w:rPr>
                <w:rFonts w:eastAsia="Times New Roman" w:cs="Arial"/>
                <w:sz w:val="18"/>
                <w:szCs w:val="18"/>
                <w:lang w:val="en-US" w:eastAsia="fr-FR"/>
              </w:rPr>
            </w:pPr>
            <w:r w:rsidRPr="004E7A83">
              <w:rPr>
                <w:rFonts w:eastAsia="Calibri" w:cs="Arial"/>
                <w:b/>
                <w:color w:val="000000"/>
                <w:kern w:val="24"/>
                <w:sz w:val="18"/>
                <w:szCs w:val="18"/>
                <w:lang w:val="en-US" w:eastAsia="fr-FR"/>
              </w:rPr>
              <w:t>4</w:t>
            </w:r>
          </w:p>
        </w:tc>
        <w:tc>
          <w:tcPr>
            <w:tcW w:w="1303" w:type="dxa"/>
            <w:shd w:val="clear" w:color="auto" w:fill="ED7D31" w:themeFill="accent2"/>
            <w:tcMar>
              <w:top w:w="15" w:type="dxa"/>
              <w:left w:w="43" w:type="dxa"/>
              <w:bottom w:w="0" w:type="dxa"/>
              <w:right w:w="43" w:type="dxa"/>
            </w:tcMar>
            <w:vAlign w:val="center"/>
            <w:hideMark/>
          </w:tcPr>
          <w:p w14:paraId="4492870D" w14:textId="55EAB057" w:rsidR="006E2303" w:rsidRPr="00367C0B" w:rsidRDefault="006E2303" w:rsidP="006E2303">
            <w:pPr>
              <w:spacing w:before="20" w:after="20" w:line="256" w:lineRule="auto"/>
              <w:jc w:val="center"/>
              <w:rPr>
                <w:rFonts w:eastAsia="Times New Roman" w:cs="Arial"/>
                <w:sz w:val="18"/>
                <w:szCs w:val="18"/>
                <w:lang w:val="en-US" w:eastAsia="fr-FR"/>
              </w:rPr>
            </w:pPr>
            <w:r w:rsidRPr="004E7A83">
              <w:rPr>
                <w:rFonts w:eastAsia="Calibri" w:cs="Arial"/>
                <w:b/>
                <w:color w:val="000000"/>
                <w:kern w:val="24"/>
                <w:sz w:val="18"/>
                <w:szCs w:val="18"/>
                <w:lang w:val="en-US" w:eastAsia="fr-FR"/>
              </w:rPr>
              <w:t>4</w:t>
            </w:r>
          </w:p>
        </w:tc>
      </w:tr>
    </w:tbl>
    <w:p w14:paraId="73B357E9" w14:textId="77777777" w:rsidR="001D761F" w:rsidRPr="00367C0B" w:rsidRDefault="001D761F" w:rsidP="00E61227">
      <w:pPr>
        <w:rPr>
          <w:lang w:val="en-US"/>
        </w:rPr>
      </w:pPr>
    </w:p>
    <w:p w14:paraId="4ADBEEB5" w14:textId="66CCD725" w:rsidR="00BC1CD0" w:rsidRPr="0094119F" w:rsidRDefault="00BC1CD0" w:rsidP="00BC1CD0">
      <w:pPr>
        <w:pStyle w:val="Lgende"/>
      </w:pPr>
      <w:r w:rsidRPr="0094119F">
        <w:t xml:space="preserve">Table </w:t>
      </w:r>
      <w:r>
        <w:fldChar w:fldCharType="begin"/>
      </w:r>
      <w:r>
        <w:instrText xml:space="preserve"> SEQ Table \* ARABIC </w:instrText>
      </w:r>
      <w:r>
        <w:fldChar w:fldCharType="separate"/>
      </w:r>
      <w:r w:rsidR="009B31C6">
        <w:rPr>
          <w:noProof/>
        </w:rPr>
        <w:t>4</w:t>
      </w:r>
      <w:r>
        <w:fldChar w:fldCharType="end"/>
      </w:r>
      <w:r w:rsidRPr="0094119F">
        <w:t xml:space="preserve">: AVERAGE RISK LEVEL AND EXPOSURE ANALYSIS FOR </w:t>
      </w:r>
      <w:r w:rsidR="008B093C">
        <w:t>OTHER PORTS</w:t>
      </w:r>
    </w:p>
    <w:tbl>
      <w:tblPr>
        <w:tblW w:w="11020" w:type="dxa"/>
        <w:jc w:val="center"/>
        <w:tblBorders>
          <w:top w:val="single" w:sz="12" w:space="0" w:color="auto"/>
          <w:left w:val="single" w:sz="12" w:space="0" w:color="auto"/>
          <w:bottom w:val="single" w:sz="12" w:space="0" w:color="auto"/>
          <w:right w:val="single" w:sz="12" w:space="0" w:color="auto"/>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1280"/>
        <w:gridCol w:w="1070"/>
        <w:gridCol w:w="1039"/>
        <w:gridCol w:w="1130"/>
        <w:gridCol w:w="1303"/>
        <w:gridCol w:w="1303"/>
        <w:gridCol w:w="1306"/>
        <w:gridCol w:w="1286"/>
        <w:gridCol w:w="1303"/>
      </w:tblGrid>
      <w:tr w:rsidR="00BC1CD0" w:rsidRPr="00367C0B" w14:paraId="2B990123" w14:textId="77777777" w:rsidTr="00790CE8">
        <w:trPr>
          <w:trHeight w:val="619"/>
          <w:jc w:val="center"/>
        </w:trPr>
        <w:tc>
          <w:tcPr>
            <w:tcW w:w="1280" w:type="dxa"/>
            <w:vMerge w:val="restart"/>
            <w:shd w:val="clear" w:color="auto" w:fill="6AADE4"/>
            <w:tcMar>
              <w:top w:w="15" w:type="dxa"/>
              <w:left w:w="108" w:type="dxa"/>
              <w:bottom w:w="0" w:type="dxa"/>
              <w:right w:w="108" w:type="dxa"/>
            </w:tcMar>
            <w:vAlign w:val="center"/>
            <w:hideMark/>
          </w:tcPr>
          <w:p w14:paraId="72617B47" w14:textId="77777777" w:rsidR="00BC1CD0" w:rsidRPr="00367C0B" w:rsidRDefault="00BC1CD0" w:rsidP="00790CE8">
            <w:pPr>
              <w:spacing w:after="0" w:line="256" w:lineRule="auto"/>
              <w:jc w:val="center"/>
              <w:rPr>
                <w:rFonts w:eastAsia="Times New Roman" w:cs="Arial"/>
                <w:sz w:val="36"/>
                <w:szCs w:val="36"/>
                <w:lang w:val="en-US" w:eastAsia="fr-FR"/>
              </w:rPr>
            </w:pPr>
            <w:r w:rsidRPr="00FC75FA">
              <w:rPr>
                <w:rFonts w:eastAsia="Calibri" w:cs="Arial"/>
                <w:b/>
                <w:color w:val="FFFFFF"/>
                <w:kern w:val="24"/>
                <w:lang w:val="en-US" w:eastAsia="fr-FR"/>
              </w:rPr>
              <w:t>Category</w:t>
            </w:r>
          </w:p>
        </w:tc>
        <w:tc>
          <w:tcPr>
            <w:tcW w:w="1070" w:type="dxa"/>
            <w:vMerge w:val="restart"/>
            <w:shd w:val="clear" w:color="auto" w:fill="6AADE4"/>
            <w:tcMar>
              <w:top w:w="15" w:type="dxa"/>
              <w:left w:w="43" w:type="dxa"/>
              <w:bottom w:w="0" w:type="dxa"/>
              <w:right w:w="43" w:type="dxa"/>
            </w:tcMar>
            <w:vAlign w:val="center"/>
            <w:hideMark/>
          </w:tcPr>
          <w:p w14:paraId="20C357B8" w14:textId="77777777" w:rsidR="00BC1CD0" w:rsidRPr="00367C0B" w:rsidRDefault="00BC1CD0" w:rsidP="00790CE8">
            <w:pPr>
              <w:spacing w:after="0" w:line="256" w:lineRule="auto"/>
              <w:jc w:val="center"/>
              <w:rPr>
                <w:rFonts w:eastAsia="Times New Roman" w:cs="Arial"/>
                <w:sz w:val="36"/>
                <w:szCs w:val="36"/>
                <w:lang w:val="en-US" w:eastAsia="fr-FR"/>
              </w:rPr>
            </w:pPr>
            <w:r w:rsidRPr="00FC75FA">
              <w:rPr>
                <w:rFonts w:eastAsia="Calibri" w:cs="Arial"/>
                <w:b/>
                <w:color w:val="FFFFFF"/>
                <w:kern w:val="24"/>
                <w:lang w:val="en-US" w:eastAsia="fr-FR"/>
              </w:rPr>
              <w:t>Historical exposure</w:t>
            </w:r>
          </w:p>
        </w:tc>
        <w:tc>
          <w:tcPr>
            <w:tcW w:w="1039" w:type="dxa"/>
            <w:vMerge w:val="restart"/>
            <w:shd w:val="clear" w:color="auto" w:fill="6AADE4"/>
            <w:tcMar>
              <w:top w:w="15" w:type="dxa"/>
              <w:left w:w="43" w:type="dxa"/>
              <w:bottom w:w="0" w:type="dxa"/>
              <w:right w:w="43" w:type="dxa"/>
            </w:tcMar>
            <w:vAlign w:val="center"/>
            <w:hideMark/>
          </w:tcPr>
          <w:p w14:paraId="0108EA51" w14:textId="77777777" w:rsidR="00BC1CD0" w:rsidRPr="00367C0B" w:rsidRDefault="00BC1CD0" w:rsidP="00790CE8">
            <w:pPr>
              <w:spacing w:after="0" w:line="256" w:lineRule="auto"/>
              <w:jc w:val="center"/>
              <w:rPr>
                <w:rFonts w:eastAsia="Times New Roman" w:cs="Arial"/>
                <w:sz w:val="36"/>
                <w:szCs w:val="36"/>
                <w:lang w:val="en-US" w:eastAsia="fr-FR"/>
              </w:rPr>
            </w:pPr>
            <w:r w:rsidRPr="00FC75FA">
              <w:rPr>
                <w:rFonts w:eastAsia="Calibri" w:cs="Arial"/>
                <w:b/>
                <w:color w:val="FFFFFF"/>
                <w:kern w:val="24"/>
                <w:lang w:val="en-US" w:eastAsia="fr-FR"/>
              </w:rPr>
              <w:t>Trend vs. historical</w:t>
            </w:r>
          </w:p>
        </w:tc>
        <w:tc>
          <w:tcPr>
            <w:tcW w:w="2433" w:type="dxa"/>
            <w:gridSpan w:val="2"/>
            <w:shd w:val="clear" w:color="auto" w:fill="6AADE4"/>
            <w:tcMar>
              <w:top w:w="15" w:type="dxa"/>
              <w:left w:w="43" w:type="dxa"/>
              <w:bottom w:w="0" w:type="dxa"/>
              <w:right w:w="43" w:type="dxa"/>
            </w:tcMar>
            <w:vAlign w:val="center"/>
            <w:hideMark/>
          </w:tcPr>
          <w:p w14:paraId="4E11C8F1" w14:textId="77777777" w:rsidR="00BC1CD0" w:rsidRPr="00367C0B" w:rsidRDefault="00BC1CD0" w:rsidP="00790CE8">
            <w:pPr>
              <w:spacing w:after="0" w:line="256" w:lineRule="auto"/>
              <w:jc w:val="center"/>
              <w:rPr>
                <w:rFonts w:eastAsia="Times New Roman" w:cs="Arial"/>
                <w:sz w:val="36"/>
                <w:szCs w:val="36"/>
                <w:lang w:val="en-US" w:eastAsia="fr-FR"/>
              </w:rPr>
            </w:pPr>
            <w:r w:rsidRPr="00FC75FA">
              <w:rPr>
                <w:rFonts w:eastAsia="Calibri" w:cs="Arial"/>
                <w:b/>
                <w:color w:val="FFFFFF"/>
                <w:kern w:val="24"/>
                <w:lang w:val="en-US" w:eastAsia="fr-FR"/>
              </w:rPr>
              <w:t>2030 risk level</w:t>
            </w:r>
          </w:p>
        </w:tc>
        <w:tc>
          <w:tcPr>
            <w:tcW w:w="2609" w:type="dxa"/>
            <w:gridSpan w:val="2"/>
            <w:shd w:val="clear" w:color="auto" w:fill="6AADE4"/>
            <w:tcMar>
              <w:top w:w="15" w:type="dxa"/>
              <w:left w:w="43" w:type="dxa"/>
              <w:bottom w:w="0" w:type="dxa"/>
              <w:right w:w="43" w:type="dxa"/>
            </w:tcMar>
            <w:vAlign w:val="center"/>
            <w:hideMark/>
          </w:tcPr>
          <w:p w14:paraId="1B56A324" w14:textId="77777777" w:rsidR="00BC1CD0" w:rsidRPr="00367C0B" w:rsidRDefault="00BC1CD0" w:rsidP="00790CE8">
            <w:pPr>
              <w:spacing w:after="0" w:line="256" w:lineRule="auto"/>
              <w:jc w:val="center"/>
              <w:rPr>
                <w:rFonts w:eastAsia="Times New Roman" w:cs="Arial"/>
                <w:sz w:val="36"/>
                <w:szCs w:val="36"/>
                <w:lang w:val="en-US" w:eastAsia="fr-FR"/>
              </w:rPr>
            </w:pPr>
            <w:r w:rsidRPr="00FC75FA">
              <w:rPr>
                <w:rFonts w:eastAsia="Calibri" w:cs="Arial"/>
                <w:b/>
                <w:color w:val="FFFFFF"/>
                <w:kern w:val="24"/>
                <w:lang w:val="en-US" w:eastAsia="fr-FR"/>
              </w:rPr>
              <w:t>2040 risk level</w:t>
            </w:r>
          </w:p>
        </w:tc>
        <w:tc>
          <w:tcPr>
            <w:tcW w:w="2589" w:type="dxa"/>
            <w:gridSpan w:val="2"/>
            <w:shd w:val="clear" w:color="auto" w:fill="6AADE4"/>
            <w:tcMar>
              <w:top w:w="15" w:type="dxa"/>
              <w:left w:w="43" w:type="dxa"/>
              <w:bottom w:w="0" w:type="dxa"/>
              <w:right w:w="43" w:type="dxa"/>
            </w:tcMar>
            <w:vAlign w:val="center"/>
            <w:hideMark/>
          </w:tcPr>
          <w:p w14:paraId="65BD55FF" w14:textId="77777777" w:rsidR="00BC1CD0" w:rsidRPr="00367C0B" w:rsidRDefault="00BC1CD0" w:rsidP="00790CE8">
            <w:pPr>
              <w:spacing w:after="0" w:line="256" w:lineRule="auto"/>
              <w:jc w:val="center"/>
              <w:rPr>
                <w:rFonts w:eastAsia="Times New Roman" w:cs="Arial"/>
                <w:sz w:val="36"/>
                <w:szCs w:val="36"/>
                <w:lang w:val="en-US" w:eastAsia="fr-FR"/>
              </w:rPr>
            </w:pPr>
            <w:r w:rsidRPr="00FC75FA">
              <w:rPr>
                <w:rFonts w:eastAsia="Calibri" w:cs="Arial"/>
                <w:b/>
                <w:color w:val="FFFFFF"/>
                <w:kern w:val="24"/>
                <w:lang w:val="en-US" w:eastAsia="fr-FR"/>
              </w:rPr>
              <w:t>2050 risk level</w:t>
            </w:r>
          </w:p>
        </w:tc>
      </w:tr>
      <w:tr w:rsidR="00BC1CD0" w:rsidRPr="00367C0B" w14:paraId="02F0CE2A" w14:textId="77777777" w:rsidTr="00447F47">
        <w:trPr>
          <w:trHeight w:val="456"/>
          <w:jc w:val="center"/>
        </w:trPr>
        <w:tc>
          <w:tcPr>
            <w:tcW w:w="0" w:type="auto"/>
            <w:vMerge/>
            <w:vAlign w:val="center"/>
            <w:hideMark/>
          </w:tcPr>
          <w:p w14:paraId="27CD6BF7" w14:textId="77777777" w:rsidR="00BC1CD0" w:rsidRPr="00367C0B" w:rsidRDefault="00BC1CD0">
            <w:pPr>
              <w:spacing w:after="0" w:line="240" w:lineRule="auto"/>
              <w:rPr>
                <w:rFonts w:eastAsia="Times New Roman" w:cs="Arial"/>
                <w:sz w:val="36"/>
                <w:szCs w:val="36"/>
                <w:lang w:val="en-US" w:eastAsia="fr-FR"/>
              </w:rPr>
            </w:pPr>
          </w:p>
        </w:tc>
        <w:tc>
          <w:tcPr>
            <w:tcW w:w="0" w:type="auto"/>
            <w:vMerge/>
            <w:vAlign w:val="center"/>
            <w:hideMark/>
          </w:tcPr>
          <w:p w14:paraId="0EB3AAD1" w14:textId="77777777" w:rsidR="00BC1CD0" w:rsidRPr="00367C0B" w:rsidRDefault="00BC1CD0">
            <w:pPr>
              <w:spacing w:after="0" w:line="240" w:lineRule="auto"/>
              <w:rPr>
                <w:rFonts w:eastAsia="Times New Roman" w:cs="Arial"/>
                <w:sz w:val="36"/>
                <w:szCs w:val="36"/>
                <w:lang w:val="en-US" w:eastAsia="fr-FR"/>
              </w:rPr>
            </w:pPr>
          </w:p>
        </w:tc>
        <w:tc>
          <w:tcPr>
            <w:tcW w:w="0" w:type="auto"/>
            <w:vMerge/>
            <w:vAlign w:val="center"/>
            <w:hideMark/>
          </w:tcPr>
          <w:p w14:paraId="1DACBD5D" w14:textId="77777777" w:rsidR="00BC1CD0" w:rsidRPr="00367C0B" w:rsidRDefault="00BC1CD0">
            <w:pPr>
              <w:spacing w:after="0" w:line="240" w:lineRule="auto"/>
              <w:rPr>
                <w:rFonts w:eastAsia="Times New Roman" w:cs="Arial"/>
                <w:sz w:val="36"/>
                <w:szCs w:val="36"/>
                <w:lang w:val="en-US" w:eastAsia="fr-FR"/>
              </w:rPr>
            </w:pPr>
          </w:p>
        </w:tc>
        <w:tc>
          <w:tcPr>
            <w:tcW w:w="1130" w:type="dxa"/>
            <w:shd w:val="clear" w:color="auto" w:fill="auto"/>
            <w:tcMar>
              <w:top w:w="15" w:type="dxa"/>
              <w:left w:w="43" w:type="dxa"/>
              <w:bottom w:w="0" w:type="dxa"/>
              <w:right w:w="43" w:type="dxa"/>
            </w:tcMar>
            <w:vAlign w:val="center"/>
            <w:hideMark/>
          </w:tcPr>
          <w:p w14:paraId="06E95D6C" w14:textId="77777777" w:rsidR="00BC1CD0" w:rsidRPr="00367C0B" w:rsidRDefault="00BC1CD0" w:rsidP="00447F47">
            <w:pPr>
              <w:spacing w:after="0" w:line="257" w:lineRule="auto"/>
              <w:jc w:val="center"/>
              <w:rPr>
                <w:rFonts w:eastAsia="Times New Roman" w:cs="Arial"/>
                <w:sz w:val="36"/>
                <w:szCs w:val="36"/>
                <w:lang w:val="en-US" w:eastAsia="fr-FR"/>
              </w:rPr>
            </w:pPr>
            <w:r w:rsidRPr="00FC75FA">
              <w:rPr>
                <w:rFonts w:eastAsia="Calibri" w:cs="Arial"/>
                <w:color w:val="2E2E38"/>
                <w:kern w:val="24"/>
                <w:lang w:val="en-US" w:eastAsia="fr-FR"/>
              </w:rPr>
              <w:t xml:space="preserve">Scenario </w:t>
            </w:r>
            <w:r w:rsidRPr="00691030">
              <w:rPr>
                <w:rFonts w:eastAsia="Calibri" w:cs="Arial"/>
                <w:color w:val="2E2E38"/>
                <w:kern w:val="24"/>
                <w:lang w:val="en-US" w:eastAsia="fr-FR"/>
              </w:rPr>
              <w:t>SSP2-</w:t>
            </w:r>
            <w:r w:rsidRPr="00FC75FA">
              <w:rPr>
                <w:rFonts w:eastAsia="Calibri" w:cs="Arial"/>
                <w:color w:val="2E2E38"/>
                <w:kern w:val="24"/>
                <w:lang w:val="en-US" w:eastAsia="fr-FR"/>
              </w:rPr>
              <w:t>4.5</w:t>
            </w:r>
          </w:p>
        </w:tc>
        <w:tc>
          <w:tcPr>
            <w:tcW w:w="1303" w:type="dxa"/>
            <w:shd w:val="clear" w:color="auto" w:fill="auto"/>
            <w:tcMar>
              <w:top w:w="15" w:type="dxa"/>
              <w:left w:w="43" w:type="dxa"/>
              <w:bottom w:w="0" w:type="dxa"/>
              <w:right w:w="43" w:type="dxa"/>
            </w:tcMar>
            <w:vAlign w:val="center"/>
            <w:hideMark/>
          </w:tcPr>
          <w:p w14:paraId="41B1BA65" w14:textId="77777777" w:rsidR="00BC1CD0" w:rsidRPr="00367C0B" w:rsidRDefault="00BC1CD0" w:rsidP="00447F47">
            <w:pPr>
              <w:spacing w:after="0" w:line="257" w:lineRule="auto"/>
              <w:jc w:val="center"/>
              <w:rPr>
                <w:rFonts w:eastAsia="Times New Roman" w:cs="Arial"/>
                <w:sz w:val="36"/>
                <w:szCs w:val="36"/>
                <w:lang w:val="en-US" w:eastAsia="fr-FR"/>
              </w:rPr>
            </w:pPr>
            <w:r w:rsidRPr="00FC75FA">
              <w:rPr>
                <w:rFonts w:eastAsia="Calibri" w:cs="Arial"/>
                <w:color w:val="2E2E38"/>
                <w:kern w:val="24"/>
                <w:lang w:val="en-US" w:eastAsia="fr-FR"/>
              </w:rPr>
              <w:t xml:space="preserve">Scenario </w:t>
            </w:r>
            <w:r w:rsidRPr="000D2102">
              <w:rPr>
                <w:rFonts w:eastAsia="Calibri" w:cs="Arial"/>
                <w:color w:val="2E2E38"/>
                <w:kern w:val="24"/>
                <w:lang w:val="en-US" w:eastAsia="fr-FR"/>
              </w:rPr>
              <w:t>SSP5-</w:t>
            </w:r>
            <w:r w:rsidRPr="00FC75FA">
              <w:rPr>
                <w:rFonts w:eastAsia="Calibri" w:cs="Arial"/>
                <w:color w:val="2E2E38"/>
                <w:kern w:val="24"/>
                <w:lang w:val="en-US" w:eastAsia="fr-FR"/>
              </w:rPr>
              <w:t>8.5</w:t>
            </w:r>
          </w:p>
        </w:tc>
        <w:tc>
          <w:tcPr>
            <w:tcW w:w="1303" w:type="dxa"/>
            <w:shd w:val="clear" w:color="auto" w:fill="auto"/>
            <w:tcMar>
              <w:top w:w="15" w:type="dxa"/>
              <w:left w:w="43" w:type="dxa"/>
              <w:bottom w:w="0" w:type="dxa"/>
              <w:right w:w="43" w:type="dxa"/>
            </w:tcMar>
            <w:vAlign w:val="center"/>
            <w:hideMark/>
          </w:tcPr>
          <w:p w14:paraId="5A489D71" w14:textId="77777777" w:rsidR="00BC1CD0" w:rsidRPr="00367C0B" w:rsidRDefault="00BC1CD0" w:rsidP="00447F47">
            <w:pPr>
              <w:spacing w:after="0" w:line="257" w:lineRule="auto"/>
              <w:jc w:val="center"/>
              <w:rPr>
                <w:rFonts w:eastAsia="Times New Roman" w:cs="Arial"/>
                <w:sz w:val="36"/>
                <w:szCs w:val="36"/>
                <w:lang w:val="en-US" w:eastAsia="fr-FR"/>
              </w:rPr>
            </w:pPr>
            <w:r w:rsidRPr="00FC75FA">
              <w:rPr>
                <w:rFonts w:eastAsia="Calibri" w:cs="Arial"/>
                <w:color w:val="2E2E38"/>
                <w:kern w:val="24"/>
                <w:lang w:val="en-US" w:eastAsia="fr-FR"/>
              </w:rPr>
              <w:t xml:space="preserve">Scenario </w:t>
            </w:r>
            <w:r w:rsidRPr="00691030">
              <w:rPr>
                <w:rFonts w:eastAsia="Calibri" w:cs="Arial"/>
                <w:color w:val="2E2E38"/>
                <w:kern w:val="24"/>
                <w:lang w:val="en-US" w:eastAsia="fr-FR"/>
              </w:rPr>
              <w:t>SSP2-</w:t>
            </w:r>
            <w:r w:rsidRPr="00FC75FA">
              <w:rPr>
                <w:rFonts w:eastAsia="Calibri" w:cs="Arial"/>
                <w:color w:val="2E2E38"/>
                <w:kern w:val="24"/>
                <w:lang w:val="en-US" w:eastAsia="fr-FR"/>
              </w:rPr>
              <w:t>4.5</w:t>
            </w:r>
          </w:p>
        </w:tc>
        <w:tc>
          <w:tcPr>
            <w:tcW w:w="1306" w:type="dxa"/>
            <w:shd w:val="clear" w:color="auto" w:fill="auto"/>
            <w:tcMar>
              <w:top w:w="15" w:type="dxa"/>
              <w:left w:w="43" w:type="dxa"/>
              <w:bottom w:w="0" w:type="dxa"/>
              <w:right w:w="43" w:type="dxa"/>
            </w:tcMar>
            <w:vAlign w:val="center"/>
            <w:hideMark/>
          </w:tcPr>
          <w:p w14:paraId="2ECCCF58" w14:textId="77777777" w:rsidR="00BC1CD0" w:rsidRPr="00367C0B" w:rsidRDefault="00BC1CD0" w:rsidP="00447F47">
            <w:pPr>
              <w:spacing w:after="0" w:line="257" w:lineRule="auto"/>
              <w:jc w:val="center"/>
              <w:rPr>
                <w:rFonts w:eastAsia="Times New Roman" w:cs="Arial"/>
                <w:sz w:val="36"/>
                <w:szCs w:val="36"/>
                <w:lang w:val="en-US" w:eastAsia="fr-FR"/>
              </w:rPr>
            </w:pPr>
            <w:r w:rsidRPr="00FC75FA">
              <w:rPr>
                <w:rFonts w:eastAsia="Calibri" w:cs="Arial"/>
                <w:color w:val="2E2E38"/>
                <w:kern w:val="24"/>
                <w:lang w:val="en-US" w:eastAsia="fr-FR"/>
              </w:rPr>
              <w:t xml:space="preserve">Scenario </w:t>
            </w:r>
            <w:r w:rsidRPr="000D2102">
              <w:rPr>
                <w:rFonts w:eastAsia="Calibri" w:cs="Arial"/>
                <w:color w:val="2E2E38"/>
                <w:kern w:val="24"/>
                <w:lang w:val="en-US" w:eastAsia="fr-FR"/>
              </w:rPr>
              <w:t>SSP5-</w:t>
            </w:r>
            <w:r w:rsidRPr="00FC75FA">
              <w:rPr>
                <w:rFonts w:eastAsia="Calibri" w:cs="Arial"/>
                <w:color w:val="2E2E38"/>
                <w:kern w:val="24"/>
                <w:lang w:val="en-US" w:eastAsia="fr-FR"/>
              </w:rPr>
              <w:t>8.5</w:t>
            </w:r>
          </w:p>
        </w:tc>
        <w:tc>
          <w:tcPr>
            <w:tcW w:w="1286" w:type="dxa"/>
            <w:shd w:val="clear" w:color="auto" w:fill="auto"/>
            <w:tcMar>
              <w:top w:w="15" w:type="dxa"/>
              <w:left w:w="43" w:type="dxa"/>
              <w:bottom w:w="0" w:type="dxa"/>
              <w:right w:w="43" w:type="dxa"/>
            </w:tcMar>
            <w:vAlign w:val="center"/>
            <w:hideMark/>
          </w:tcPr>
          <w:p w14:paraId="023B2DE7" w14:textId="77777777" w:rsidR="00BC1CD0" w:rsidRPr="00367C0B" w:rsidRDefault="00BC1CD0" w:rsidP="00447F47">
            <w:pPr>
              <w:spacing w:after="0" w:line="257" w:lineRule="auto"/>
              <w:jc w:val="center"/>
              <w:rPr>
                <w:rFonts w:eastAsia="Times New Roman" w:cs="Arial"/>
                <w:sz w:val="36"/>
                <w:szCs w:val="36"/>
                <w:lang w:val="en-US" w:eastAsia="fr-FR"/>
              </w:rPr>
            </w:pPr>
            <w:r w:rsidRPr="00FC75FA">
              <w:rPr>
                <w:rFonts w:eastAsia="Calibri" w:cs="Arial"/>
                <w:color w:val="2E2E38"/>
                <w:kern w:val="24"/>
                <w:lang w:val="en-US" w:eastAsia="fr-FR"/>
              </w:rPr>
              <w:t xml:space="preserve">Scenario </w:t>
            </w:r>
            <w:r w:rsidRPr="00691030">
              <w:rPr>
                <w:rFonts w:eastAsia="Calibri" w:cs="Arial"/>
                <w:color w:val="2E2E38"/>
                <w:kern w:val="24"/>
                <w:lang w:val="en-US" w:eastAsia="fr-FR"/>
              </w:rPr>
              <w:t>SSP2-</w:t>
            </w:r>
            <w:r w:rsidRPr="00FC75FA">
              <w:rPr>
                <w:rFonts w:eastAsia="Calibri" w:cs="Arial"/>
                <w:color w:val="2E2E38"/>
                <w:kern w:val="24"/>
                <w:lang w:val="en-US" w:eastAsia="fr-FR"/>
              </w:rPr>
              <w:t>4.5</w:t>
            </w:r>
          </w:p>
        </w:tc>
        <w:tc>
          <w:tcPr>
            <w:tcW w:w="1303" w:type="dxa"/>
            <w:shd w:val="clear" w:color="auto" w:fill="auto"/>
            <w:tcMar>
              <w:top w:w="15" w:type="dxa"/>
              <w:left w:w="43" w:type="dxa"/>
              <w:bottom w:w="0" w:type="dxa"/>
              <w:right w:w="43" w:type="dxa"/>
            </w:tcMar>
            <w:vAlign w:val="center"/>
            <w:hideMark/>
          </w:tcPr>
          <w:p w14:paraId="335C9C9C" w14:textId="77777777" w:rsidR="00BC1CD0" w:rsidRPr="00367C0B" w:rsidRDefault="00BC1CD0" w:rsidP="00447F47">
            <w:pPr>
              <w:spacing w:after="0" w:line="257" w:lineRule="auto"/>
              <w:jc w:val="center"/>
              <w:rPr>
                <w:rFonts w:eastAsia="Times New Roman" w:cs="Arial"/>
                <w:sz w:val="36"/>
                <w:szCs w:val="36"/>
                <w:lang w:val="en-US" w:eastAsia="fr-FR"/>
              </w:rPr>
            </w:pPr>
            <w:r w:rsidRPr="00FC75FA">
              <w:rPr>
                <w:rFonts w:eastAsia="Calibri" w:cs="Arial"/>
                <w:color w:val="2E2E38"/>
                <w:kern w:val="24"/>
                <w:lang w:val="en-US" w:eastAsia="fr-FR"/>
              </w:rPr>
              <w:t xml:space="preserve">Scenario </w:t>
            </w:r>
            <w:r w:rsidRPr="000D2102">
              <w:rPr>
                <w:rFonts w:eastAsia="Calibri" w:cs="Arial"/>
                <w:color w:val="2E2E38"/>
                <w:kern w:val="24"/>
                <w:lang w:val="en-US" w:eastAsia="fr-FR"/>
              </w:rPr>
              <w:t>SSP5-</w:t>
            </w:r>
            <w:r w:rsidRPr="00FC75FA">
              <w:rPr>
                <w:rFonts w:eastAsia="Calibri" w:cs="Arial"/>
                <w:color w:val="2E2E38"/>
                <w:kern w:val="24"/>
                <w:lang w:val="en-US" w:eastAsia="fr-FR"/>
              </w:rPr>
              <w:t>8.5</w:t>
            </w:r>
          </w:p>
        </w:tc>
      </w:tr>
      <w:tr w:rsidR="009A4FD0" w:rsidRPr="00367C0B" w14:paraId="7F3AC5FC" w14:textId="77777777" w:rsidTr="009A4FD0">
        <w:trPr>
          <w:trHeight w:val="442"/>
          <w:jc w:val="center"/>
        </w:trPr>
        <w:tc>
          <w:tcPr>
            <w:tcW w:w="1280" w:type="dxa"/>
            <w:shd w:val="clear" w:color="auto" w:fill="auto"/>
            <w:tcMar>
              <w:top w:w="15" w:type="dxa"/>
              <w:left w:w="108" w:type="dxa"/>
              <w:bottom w:w="0" w:type="dxa"/>
              <w:right w:w="108" w:type="dxa"/>
            </w:tcMar>
            <w:vAlign w:val="center"/>
            <w:hideMark/>
          </w:tcPr>
          <w:p w14:paraId="6B21E24B" w14:textId="77777777" w:rsidR="009A4FD0" w:rsidRPr="00367C0B" w:rsidRDefault="009A4FD0" w:rsidP="009A4FD0">
            <w:pPr>
              <w:spacing w:before="20" w:after="20" w:line="256" w:lineRule="auto"/>
              <w:jc w:val="center"/>
              <w:rPr>
                <w:rFonts w:eastAsia="Times New Roman" w:cs="Arial"/>
                <w:sz w:val="36"/>
                <w:szCs w:val="36"/>
                <w:lang w:val="en-US" w:eastAsia="fr-FR"/>
              </w:rPr>
            </w:pPr>
            <w:r w:rsidRPr="00FC75FA">
              <w:rPr>
                <w:rFonts w:eastAsia="Calibri" w:cs="Arial"/>
                <w:color w:val="2E2E38"/>
                <w:kern w:val="24"/>
                <w:sz w:val="18"/>
                <w:szCs w:val="18"/>
                <w:lang w:val="en-US" w:eastAsia="fr-FR"/>
              </w:rPr>
              <w:t>Flood</w:t>
            </w:r>
          </w:p>
        </w:tc>
        <w:tc>
          <w:tcPr>
            <w:tcW w:w="1070" w:type="dxa"/>
            <w:shd w:val="clear" w:color="auto" w:fill="C5E0B3" w:themeFill="accent6" w:themeFillTint="66"/>
            <w:tcMar>
              <w:top w:w="15" w:type="dxa"/>
              <w:left w:w="43" w:type="dxa"/>
              <w:bottom w:w="0" w:type="dxa"/>
              <w:right w:w="43" w:type="dxa"/>
            </w:tcMar>
            <w:vAlign w:val="center"/>
            <w:hideMark/>
          </w:tcPr>
          <w:p w14:paraId="0DF34A91" w14:textId="6453E982" w:rsidR="009A4FD0" w:rsidRPr="00367C0B" w:rsidRDefault="009A4FD0" w:rsidP="009A4FD0">
            <w:pPr>
              <w:spacing w:before="20" w:after="20" w:line="256" w:lineRule="auto"/>
              <w:jc w:val="center"/>
              <w:rPr>
                <w:rFonts w:eastAsia="Times New Roman" w:cs="Arial"/>
                <w:sz w:val="18"/>
                <w:szCs w:val="18"/>
                <w:lang w:val="en-US" w:eastAsia="fr-FR"/>
              </w:rPr>
            </w:pPr>
            <w:r w:rsidRPr="00367C0B">
              <w:rPr>
                <w:rFonts w:eastAsia="Times New Roman" w:cs="Arial"/>
                <w:sz w:val="18"/>
                <w:szCs w:val="18"/>
                <w:lang w:val="en-US" w:eastAsia="fr-FR"/>
              </w:rPr>
              <w:t>1</w:t>
            </w:r>
          </w:p>
        </w:tc>
        <w:tc>
          <w:tcPr>
            <w:tcW w:w="1039" w:type="dxa"/>
            <w:shd w:val="clear" w:color="auto" w:fill="auto"/>
            <w:tcMar>
              <w:top w:w="15" w:type="dxa"/>
              <w:left w:w="43" w:type="dxa"/>
              <w:bottom w:w="0" w:type="dxa"/>
              <w:right w:w="43" w:type="dxa"/>
            </w:tcMar>
            <w:vAlign w:val="center"/>
            <w:hideMark/>
          </w:tcPr>
          <w:p w14:paraId="498055B2" w14:textId="77777777" w:rsidR="009A4FD0" w:rsidRPr="00367C0B" w:rsidRDefault="009A4FD0" w:rsidP="009A4FD0">
            <w:pPr>
              <w:spacing w:before="20" w:after="20" w:line="256" w:lineRule="auto"/>
              <w:jc w:val="center"/>
              <w:rPr>
                <w:rFonts w:eastAsia="Times New Roman" w:cs="Arial"/>
                <w:sz w:val="18"/>
                <w:szCs w:val="18"/>
                <w:lang w:val="en-US" w:eastAsia="fr-FR"/>
              </w:rPr>
            </w:pPr>
            <w:r w:rsidRPr="00C62E6B">
              <w:rPr>
                <w:rFonts w:eastAsia="Calibri" w:cs="Arial"/>
                <w:b/>
                <w:color w:val="2E2E38"/>
                <w:kern w:val="24"/>
                <w:sz w:val="18"/>
                <w:szCs w:val="18"/>
                <w:lang w:val="en-US" w:eastAsia="fr-FR"/>
              </w:rPr>
              <w:t xml:space="preserve">Equal </w:t>
            </w:r>
          </w:p>
        </w:tc>
        <w:tc>
          <w:tcPr>
            <w:tcW w:w="1130" w:type="dxa"/>
            <w:shd w:val="clear" w:color="auto" w:fill="C5E0B3" w:themeFill="accent6" w:themeFillTint="66"/>
            <w:tcMar>
              <w:top w:w="15" w:type="dxa"/>
              <w:left w:w="43" w:type="dxa"/>
              <w:bottom w:w="0" w:type="dxa"/>
              <w:right w:w="43" w:type="dxa"/>
            </w:tcMar>
            <w:vAlign w:val="center"/>
            <w:hideMark/>
          </w:tcPr>
          <w:p w14:paraId="5B647045" w14:textId="5FEA2065" w:rsidR="009A4FD0" w:rsidRPr="00367C0B" w:rsidRDefault="009A4FD0" w:rsidP="009A4FD0">
            <w:pPr>
              <w:spacing w:before="20" w:after="20" w:line="256" w:lineRule="auto"/>
              <w:jc w:val="center"/>
              <w:rPr>
                <w:rFonts w:eastAsia="Times New Roman" w:cs="Arial"/>
                <w:sz w:val="18"/>
                <w:szCs w:val="18"/>
                <w:lang w:val="en-US" w:eastAsia="fr-FR"/>
              </w:rPr>
            </w:pPr>
            <w:r w:rsidRPr="00367C0B">
              <w:rPr>
                <w:rFonts w:eastAsia="Times New Roman" w:cs="Arial"/>
                <w:sz w:val="18"/>
                <w:szCs w:val="18"/>
                <w:lang w:val="en-US" w:eastAsia="fr-FR"/>
              </w:rPr>
              <w:t>1</w:t>
            </w:r>
          </w:p>
        </w:tc>
        <w:tc>
          <w:tcPr>
            <w:tcW w:w="1303" w:type="dxa"/>
            <w:shd w:val="clear" w:color="auto" w:fill="C5E0B3" w:themeFill="accent6" w:themeFillTint="66"/>
            <w:tcMar>
              <w:top w:w="15" w:type="dxa"/>
              <w:left w:w="43" w:type="dxa"/>
              <w:bottom w:w="0" w:type="dxa"/>
              <w:right w:w="43" w:type="dxa"/>
            </w:tcMar>
            <w:vAlign w:val="center"/>
            <w:hideMark/>
          </w:tcPr>
          <w:p w14:paraId="3733E268" w14:textId="2468FC1B" w:rsidR="009A4FD0" w:rsidRPr="00367C0B" w:rsidRDefault="009A4FD0" w:rsidP="009A4FD0">
            <w:pPr>
              <w:spacing w:before="20" w:after="20" w:line="256" w:lineRule="auto"/>
              <w:jc w:val="center"/>
              <w:rPr>
                <w:rFonts w:eastAsia="Times New Roman" w:cs="Arial"/>
                <w:sz w:val="18"/>
                <w:szCs w:val="18"/>
                <w:lang w:val="en-US" w:eastAsia="fr-FR"/>
              </w:rPr>
            </w:pPr>
            <w:r w:rsidRPr="00367C0B">
              <w:rPr>
                <w:rFonts w:eastAsia="Times New Roman" w:cs="Arial"/>
                <w:sz w:val="18"/>
                <w:szCs w:val="18"/>
                <w:lang w:val="en-US" w:eastAsia="fr-FR"/>
              </w:rPr>
              <w:t>1</w:t>
            </w:r>
          </w:p>
        </w:tc>
        <w:tc>
          <w:tcPr>
            <w:tcW w:w="1303" w:type="dxa"/>
            <w:shd w:val="clear" w:color="auto" w:fill="C5E0B3" w:themeFill="accent6" w:themeFillTint="66"/>
            <w:tcMar>
              <w:top w:w="15" w:type="dxa"/>
              <w:left w:w="43" w:type="dxa"/>
              <w:bottom w:w="0" w:type="dxa"/>
              <w:right w:w="43" w:type="dxa"/>
            </w:tcMar>
            <w:vAlign w:val="center"/>
            <w:hideMark/>
          </w:tcPr>
          <w:p w14:paraId="5C81735D" w14:textId="0BFABEEC" w:rsidR="009A4FD0" w:rsidRPr="00367C0B" w:rsidRDefault="009A4FD0" w:rsidP="009A4FD0">
            <w:pPr>
              <w:spacing w:before="20" w:after="20" w:line="256" w:lineRule="auto"/>
              <w:jc w:val="center"/>
              <w:rPr>
                <w:rFonts w:eastAsia="Times New Roman" w:cs="Arial"/>
                <w:sz w:val="18"/>
                <w:szCs w:val="18"/>
                <w:lang w:val="en-US" w:eastAsia="fr-FR"/>
              </w:rPr>
            </w:pPr>
            <w:r w:rsidRPr="00367C0B">
              <w:rPr>
                <w:rFonts w:eastAsia="Times New Roman" w:cs="Arial"/>
                <w:sz w:val="18"/>
                <w:szCs w:val="18"/>
                <w:lang w:val="en-US" w:eastAsia="fr-FR"/>
              </w:rPr>
              <w:t>1</w:t>
            </w:r>
          </w:p>
        </w:tc>
        <w:tc>
          <w:tcPr>
            <w:tcW w:w="1306" w:type="dxa"/>
            <w:shd w:val="clear" w:color="auto" w:fill="C5E0B3" w:themeFill="accent6" w:themeFillTint="66"/>
            <w:tcMar>
              <w:top w:w="15" w:type="dxa"/>
              <w:left w:w="43" w:type="dxa"/>
              <w:bottom w:w="0" w:type="dxa"/>
              <w:right w:w="43" w:type="dxa"/>
            </w:tcMar>
            <w:vAlign w:val="center"/>
            <w:hideMark/>
          </w:tcPr>
          <w:p w14:paraId="6D33B0D7" w14:textId="6935C1C2" w:rsidR="009A4FD0" w:rsidRPr="00367C0B" w:rsidRDefault="009A4FD0" w:rsidP="009A4FD0">
            <w:pPr>
              <w:spacing w:before="20" w:after="20" w:line="256" w:lineRule="auto"/>
              <w:jc w:val="center"/>
              <w:rPr>
                <w:rFonts w:eastAsia="Times New Roman" w:cs="Arial"/>
                <w:sz w:val="18"/>
                <w:szCs w:val="18"/>
                <w:lang w:val="en-US" w:eastAsia="fr-FR"/>
              </w:rPr>
            </w:pPr>
            <w:r w:rsidRPr="00367C0B">
              <w:rPr>
                <w:rFonts w:eastAsia="Times New Roman" w:cs="Arial"/>
                <w:sz w:val="18"/>
                <w:szCs w:val="18"/>
                <w:lang w:val="en-US" w:eastAsia="fr-FR"/>
              </w:rPr>
              <w:t>1</w:t>
            </w:r>
          </w:p>
        </w:tc>
        <w:tc>
          <w:tcPr>
            <w:tcW w:w="1286" w:type="dxa"/>
            <w:shd w:val="clear" w:color="auto" w:fill="C5E0B3" w:themeFill="accent6" w:themeFillTint="66"/>
            <w:tcMar>
              <w:top w:w="15" w:type="dxa"/>
              <w:left w:w="43" w:type="dxa"/>
              <w:bottom w:w="0" w:type="dxa"/>
              <w:right w:w="43" w:type="dxa"/>
            </w:tcMar>
            <w:vAlign w:val="center"/>
            <w:hideMark/>
          </w:tcPr>
          <w:p w14:paraId="7314242F" w14:textId="7DD085CA" w:rsidR="009A4FD0" w:rsidRPr="00367C0B" w:rsidRDefault="009A4FD0" w:rsidP="009A4FD0">
            <w:pPr>
              <w:spacing w:before="20" w:after="20" w:line="256" w:lineRule="auto"/>
              <w:jc w:val="center"/>
              <w:rPr>
                <w:rFonts w:eastAsia="Times New Roman" w:cs="Arial"/>
                <w:sz w:val="18"/>
                <w:szCs w:val="18"/>
                <w:lang w:val="en-US" w:eastAsia="fr-FR"/>
              </w:rPr>
            </w:pPr>
            <w:r w:rsidRPr="00367C0B">
              <w:rPr>
                <w:rFonts w:eastAsia="Times New Roman" w:cs="Arial"/>
                <w:sz w:val="18"/>
                <w:szCs w:val="18"/>
                <w:lang w:val="en-US" w:eastAsia="fr-FR"/>
              </w:rPr>
              <w:t>1</w:t>
            </w:r>
          </w:p>
        </w:tc>
        <w:tc>
          <w:tcPr>
            <w:tcW w:w="1303" w:type="dxa"/>
            <w:shd w:val="clear" w:color="auto" w:fill="C5E0B3" w:themeFill="accent6" w:themeFillTint="66"/>
            <w:tcMar>
              <w:top w:w="15" w:type="dxa"/>
              <w:left w:w="43" w:type="dxa"/>
              <w:bottom w:w="0" w:type="dxa"/>
              <w:right w:w="43" w:type="dxa"/>
            </w:tcMar>
            <w:vAlign w:val="center"/>
            <w:hideMark/>
          </w:tcPr>
          <w:p w14:paraId="66BD177B" w14:textId="5CB7E22A" w:rsidR="009A4FD0" w:rsidRPr="00367C0B" w:rsidRDefault="009A4FD0" w:rsidP="009A4FD0">
            <w:pPr>
              <w:spacing w:before="20" w:after="20" w:line="256" w:lineRule="auto"/>
              <w:jc w:val="center"/>
              <w:rPr>
                <w:rFonts w:eastAsia="Times New Roman" w:cs="Arial"/>
                <w:sz w:val="18"/>
                <w:szCs w:val="18"/>
                <w:lang w:val="en-US" w:eastAsia="fr-FR"/>
              </w:rPr>
            </w:pPr>
            <w:r w:rsidRPr="00367C0B">
              <w:rPr>
                <w:rFonts w:eastAsia="Times New Roman" w:cs="Arial"/>
                <w:sz w:val="18"/>
                <w:szCs w:val="18"/>
                <w:lang w:val="en-US" w:eastAsia="fr-FR"/>
              </w:rPr>
              <w:t>1</w:t>
            </w:r>
          </w:p>
        </w:tc>
      </w:tr>
      <w:tr w:rsidR="00BC1CD0" w:rsidRPr="00367C0B" w14:paraId="6C45B439" w14:textId="77777777">
        <w:trPr>
          <w:trHeight w:val="835"/>
          <w:jc w:val="center"/>
        </w:trPr>
        <w:tc>
          <w:tcPr>
            <w:tcW w:w="1280" w:type="dxa"/>
            <w:shd w:val="clear" w:color="auto" w:fill="auto"/>
            <w:tcMar>
              <w:top w:w="15" w:type="dxa"/>
              <w:left w:w="108" w:type="dxa"/>
              <w:bottom w:w="0" w:type="dxa"/>
              <w:right w:w="108" w:type="dxa"/>
            </w:tcMar>
            <w:vAlign w:val="center"/>
            <w:hideMark/>
          </w:tcPr>
          <w:p w14:paraId="0CCA61DD" w14:textId="77777777" w:rsidR="00BC1CD0" w:rsidRPr="00367C0B" w:rsidRDefault="00BC1CD0">
            <w:pPr>
              <w:spacing w:before="20" w:after="20" w:line="256" w:lineRule="auto"/>
              <w:jc w:val="center"/>
              <w:rPr>
                <w:rFonts w:eastAsia="Times New Roman" w:cs="Arial"/>
                <w:sz w:val="36"/>
                <w:szCs w:val="36"/>
                <w:lang w:val="en-US" w:eastAsia="fr-FR"/>
              </w:rPr>
            </w:pPr>
            <w:r>
              <w:rPr>
                <w:rFonts w:eastAsia="Calibri" w:cs="Arial"/>
                <w:color w:val="2E2E38"/>
                <w:kern w:val="24"/>
                <w:sz w:val="18"/>
                <w:szCs w:val="18"/>
                <w:lang w:val="en-US" w:eastAsia="fr-FR"/>
              </w:rPr>
              <w:lastRenderedPageBreak/>
              <w:t>Temperature</w:t>
            </w:r>
          </w:p>
        </w:tc>
        <w:tc>
          <w:tcPr>
            <w:tcW w:w="1070" w:type="dxa"/>
            <w:shd w:val="clear" w:color="auto" w:fill="FFC000"/>
            <w:tcMar>
              <w:top w:w="15" w:type="dxa"/>
              <w:left w:w="43" w:type="dxa"/>
              <w:bottom w:w="0" w:type="dxa"/>
              <w:right w:w="43" w:type="dxa"/>
            </w:tcMar>
            <w:vAlign w:val="center"/>
            <w:hideMark/>
          </w:tcPr>
          <w:p w14:paraId="4B1924F0" w14:textId="77777777" w:rsidR="00BC1CD0" w:rsidRPr="00367C0B" w:rsidRDefault="00BC1CD0">
            <w:pPr>
              <w:spacing w:before="20" w:after="20" w:line="256" w:lineRule="auto"/>
              <w:jc w:val="center"/>
              <w:rPr>
                <w:rFonts w:eastAsia="Times New Roman" w:cs="Arial"/>
                <w:sz w:val="18"/>
                <w:szCs w:val="18"/>
                <w:lang w:val="en-US" w:eastAsia="fr-FR"/>
              </w:rPr>
            </w:pPr>
            <w:r w:rsidRPr="00C62E6B">
              <w:rPr>
                <w:rFonts w:eastAsia="Calibri" w:cs="Arial"/>
                <w:b/>
                <w:color w:val="000000"/>
                <w:kern w:val="24"/>
                <w:sz w:val="18"/>
                <w:szCs w:val="18"/>
                <w:lang w:val="en-US" w:eastAsia="fr-FR"/>
              </w:rPr>
              <w:t>3</w:t>
            </w:r>
          </w:p>
        </w:tc>
        <w:tc>
          <w:tcPr>
            <w:tcW w:w="1039" w:type="dxa"/>
            <w:shd w:val="clear" w:color="auto" w:fill="auto"/>
            <w:tcMar>
              <w:top w:w="15" w:type="dxa"/>
              <w:left w:w="43" w:type="dxa"/>
              <w:bottom w:w="0" w:type="dxa"/>
              <w:right w:w="43" w:type="dxa"/>
            </w:tcMar>
            <w:vAlign w:val="center"/>
            <w:hideMark/>
          </w:tcPr>
          <w:p w14:paraId="1EAAFA3C" w14:textId="54943020" w:rsidR="00BC1CD0" w:rsidRPr="00367C0B" w:rsidRDefault="00EE2272">
            <w:pPr>
              <w:spacing w:before="20" w:after="20" w:line="256" w:lineRule="auto"/>
              <w:jc w:val="center"/>
              <w:rPr>
                <w:rFonts w:eastAsia="Times New Roman" w:cs="Arial"/>
                <w:sz w:val="18"/>
                <w:szCs w:val="18"/>
                <w:lang w:val="en-US" w:eastAsia="fr-FR"/>
              </w:rPr>
            </w:pPr>
            <w:r>
              <w:rPr>
                <w:rFonts w:eastAsia="Calibri" w:cs="Arial"/>
                <w:b/>
                <w:color w:val="2E2E38"/>
                <w:kern w:val="24"/>
                <w:sz w:val="18"/>
                <w:szCs w:val="18"/>
                <w:lang w:val="en-US" w:eastAsia="fr-FR"/>
              </w:rPr>
              <w:t>Equal</w:t>
            </w:r>
          </w:p>
        </w:tc>
        <w:tc>
          <w:tcPr>
            <w:tcW w:w="1130" w:type="dxa"/>
            <w:shd w:val="clear" w:color="auto" w:fill="FFC000" w:themeFill="accent4"/>
            <w:tcMar>
              <w:top w:w="15" w:type="dxa"/>
              <w:left w:w="43" w:type="dxa"/>
              <w:bottom w:w="0" w:type="dxa"/>
              <w:right w:w="43" w:type="dxa"/>
            </w:tcMar>
            <w:vAlign w:val="center"/>
            <w:hideMark/>
          </w:tcPr>
          <w:p w14:paraId="204E8A9E" w14:textId="77777777" w:rsidR="00BC1CD0" w:rsidRPr="00367C0B" w:rsidRDefault="00BC1CD0">
            <w:pPr>
              <w:spacing w:before="20" w:after="20" w:line="256" w:lineRule="auto"/>
              <w:jc w:val="center"/>
              <w:rPr>
                <w:rFonts w:eastAsia="Times New Roman" w:cs="Arial"/>
                <w:sz w:val="18"/>
                <w:szCs w:val="18"/>
                <w:lang w:val="en-US" w:eastAsia="fr-FR"/>
              </w:rPr>
            </w:pPr>
            <w:r w:rsidRPr="00FA4A70">
              <w:rPr>
                <w:rFonts w:eastAsia="Calibri" w:cs="Arial"/>
                <w:b/>
                <w:color w:val="000000"/>
                <w:kern w:val="24"/>
                <w:sz w:val="18"/>
                <w:szCs w:val="18"/>
                <w:lang w:val="en-US" w:eastAsia="fr-FR"/>
              </w:rPr>
              <w:t>3</w:t>
            </w:r>
          </w:p>
        </w:tc>
        <w:tc>
          <w:tcPr>
            <w:tcW w:w="1303" w:type="dxa"/>
            <w:shd w:val="clear" w:color="auto" w:fill="FFC000" w:themeFill="accent4"/>
            <w:tcMar>
              <w:top w:w="15" w:type="dxa"/>
              <w:left w:w="43" w:type="dxa"/>
              <w:bottom w:w="0" w:type="dxa"/>
              <w:right w:w="43" w:type="dxa"/>
            </w:tcMar>
            <w:vAlign w:val="center"/>
            <w:hideMark/>
          </w:tcPr>
          <w:p w14:paraId="0028996F" w14:textId="77777777" w:rsidR="00BC1CD0" w:rsidRPr="00367C0B" w:rsidRDefault="00BC1CD0">
            <w:pPr>
              <w:spacing w:before="20" w:after="20" w:line="256" w:lineRule="auto"/>
              <w:jc w:val="center"/>
              <w:rPr>
                <w:rFonts w:eastAsia="Times New Roman" w:cs="Arial"/>
                <w:sz w:val="18"/>
                <w:szCs w:val="18"/>
                <w:lang w:val="en-US" w:eastAsia="fr-FR"/>
              </w:rPr>
            </w:pPr>
            <w:r w:rsidRPr="00FA4A70">
              <w:rPr>
                <w:rFonts w:eastAsia="Calibri" w:cs="Arial"/>
                <w:b/>
                <w:color w:val="000000"/>
                <w:kern w:val="24"/>
                <w:sz w:val="18"/>
                <w:szCs w:val="18"/>
                <w:lang w:val="en-US" w:eastAsia="fr-FR"/>
              </w:rPr>
              <w:t>3</w:t>
            </w:r>
          </w:p>
        </w:tc>
        <w:tc>
          <w:tcPr>
            <w:tcW w:w="1303" w:type="dxa"/>
            <w:shd w:val="clear" w:color="auto" w:fill="FFC000" w:themeFill="accent4"/>
            <w:tcMar>
              <w:top w:w="15" w:type="dxa"/>
              <w:left w:w="43" w:type="dxa"/>
              <w:bottom w:w="0" w:type="dxa"/>
              <w:right w:w="43" w:type="dxa"/>
            </w:tcMar>
            <w:vAlign w:val="center"/>
            <w:hideMark/>
          </w:tcPr>
          <w:p w14:paraId="3092D61F" w14:textId="77777777" w:rsidR="00BC1CD0" w:rsidRPr="00367C0B" w:rsidRDefault="00BC1CD0">
            <w:pPr>
              <w:spacing w:before="20" w:after="20" w:line="256" w:lineRule="auto"/>
              <w:jc w:val="center"/>
              <w:rPr>
                <w:rFonts w:eastAsia="Times New Roman" w:cs="Arial"/>
                <w:sz w:val="18"/>
                <w:szCs w:val="18"/>
                <w:lang w:val="en-US" w:eastAsia="fr-FR"/>
              </w:rPr>
            </w:pPr>
            <w:r w:rsidRPr="00FA4A70">
              <w:rPr>
                <w:rFonts w:eastAsia="Calibri" w:cs="Arial"/>
                <w:b/>
                <w:color w:val="000000"/>
                <w:kern w:val="24"/>
                <w:sz w:val="18"/>
                <w:szCs w:val="18"/>
                <w:lang w:val="en-US" w:eastAsia="fr-FR"/>
              </w:rPr>
              <w:t>3</w:t>
            </w:r>
          </w:p>
        </w:tc>
        <w:tc>
          <w:tcPr>
            <w:tcW w:w="1306" w:type="dxa"/>
            <w:shd w:val="clear" w:color="auto" w:fill="FFC000" w:themeFill="accent4"/>
            <w:tcMar>
              <w:top w:w="15" w:type="dxa"/>
              <w:left w:w="43" w:type="dxa"/>
              <w:bottom w:w="0" w:type="dxa"/>
              <w:right w:w="43" w:type="dxa"/>
            </w:tcMar>
            <w:vAlign w:val="center"/>
            <w:hideMark/>
          </w:tcPr>
          <w:p w14:paraId="0C2D2FD8" w14:textId="77777777" w:rsidR="00BC1CD0" w:rsidRPr="00367C0B" w:rsidRDefault="00BC1CD0">
            <w:pPr>
              <w:spacing w:before="20" w:after="20" w:line="256" w:lineRule="auto"/>
              <w:jc w:val="center"/>
              <w:rPr>
                <w:rFonts w:eastAsia="Times New Roman" w:cs="Arial"/>
                <w:sz w:val="18"/>
                <w:szCs w:val="18"/>
                <w:lang w:val="en-US" w:eastAsia="fr-FR"/>
              </w:rPr>
            </w:pPr>
            <w:r w:rsidRPr="00FA4A70">
              <w:rPr>
                <w:rFonts w:eastAsia="Calibri" w:cs="Arial"/>
                <w:b/>
                <w:color w:val="000000"/>
                <w:kern w:val="24"/>
                <w:sz w:val="18"/>
                <w:szCs w:val="18"/>
                <w:lang w:val="en-US" w:eastAsia="fr-FR"/>
              </w:rPr>
              <w:t>3</w:t>
            </w:r>
          </w:p>
        </w:tc>
        <w:tc>
          <w:tcPr>
            <w:tcW w:w="1286" w:type="dxa"/>
            <w:shd w:val="clear" w:color="auto" w:fill="FFC000" w:themeFill="accent4"/>
            <w:tcMar>
              <w:top w:w="15" w:type="dxa"/>
              <w:left w:w="43" w:type="dxa"/>
              <w:bottom w:w="0" w:type="dxa"/>
              <w:right w:w="43" w:type="dxa"/>
            </w:tcMar>
            <w:vAlign w:val="center"/>
            <w:hideMark/>
          </w:tcPr>
          <w:p w14:paraId="3C912565" w14:textId="77777777" w:rsidR="00BC1CD0" w:rsidRPr="00367C0B" w:rsidRDefault="00BC1CD0">
            <w:pPr>
              <w:spacing w:before="20" w:after="20" w:line="256" w:lineRule="auto"/>
              <w:jc w:val="center"/>
              <w:rPr>
                <w:rFonts w:eastAsia="Times New Roman" w:cs="Arial"/>
                <w:sz w:val="18"/>
                <w:szCs w:val="18"/>
                <w:lang w:val="en-US" w:eastAsia="fr-FR"/>
              </w:rPr>
            </w:pPr>
            <w:r w:rsidRPr="00FA4A70">
              <w:rPr>
                <w:rFonts w:eastAsia="Calibri" w:cs="Arial"/>
                <w:b/>
                <w:color w:val="000000"/>
                <w:kern w:val="24"/>
                <w:sz w:val="18"/>
                <w:szCs w:val="18"/>
                <w:lang w:val="en-US" w:eastAsia="fr-FR"/>
              </w:rPr>
              <w:t>3</w:t>
            </w:r>
          </w:p>
        </w:tc>
        <w:tc>
          <w:tcPr>
            <w:tcW w:w="1303" w:type="dxa"/>
            <w:shd w:val="clear" w:color="auto" w:fill="FFC000" w:themeFill="accent4"/>
            <w:tcMar>
              <w:top w:w="15" w:type="dxa"/>
              <w:left w:w="43" w:type="dxa"/>
              <w:bottom w:w="0" w:type="dxa"/>
              <w:right w:w="43" w:type="dxa"/>
            </w:tcMar>
            <w:vAlign w:val="center"/>
            <w:hideMark/>
          </w:tcPr>
          <w:p w14:paraId="275468D0" w14:textId="77777777" w:rsidR="00BC1CD0" w:rsidRPr="00367C0B" w:rsidRDefault="00BC1CD0">
            <w:pPr>
              <w:spacing w:before="20" w:after="20" w:line="256" w:lineRule="auto"/>
              <w:jc w:val="center"/>
              <w:rPr>
                <w:rFonts w:eastAsia="Times New Roman" w:cs="Arial"/>
                <w:sz w:val="18"/>
                <w:szCs w:val="18"/>
                <w:lang w:val="en-US" w:eastAsia="fr-FR"/>
              </w:rPr>
            </w:pPr>
            <w:r w:rsidRPr="00FA4A70">
              <w:rPr>
                <w:rFonts w:eastAsia="Calibri" w:cs="Arial"/>
                <w:b/>
                <w:color w:val="000000"/>
                <w:kern w:val="24"/>
                <w:sz w:val="18"/>
                <w:szCs w:val="18"/>
                <w:lang w:val="en-US" w:eastAsia="fr-FR"/>
              </w:rPr>
              <w:t>3</w:t>
            </w:r>
          </w:p>
        </w:tc>
      </w:tr>
      <w:tr w:rsidR="00200243" w:rsidRPr="00367C0B" w14:paraId="5ABA489D" w14:textId="77777777" w:rsidTr="00790CE8">
        <w:trPr>
          <w:trHeight w:val="905"/>
          <w:jc w:val="center"/>
        </w:trPr>
        <w:tc>
          <w:tcPr>
            <w:tcW w:w="1280" w:type="dxa"/>
            <w:shd w:val="clear" w:color="auto" w:fill="auto"/>
            <w:tcMar>
              <w:top w:w="15" w:type="dxa"/>
              <w:left w:w="108" w:type="dxa"/>
              <w:bottom w:w="0" w:type="dxa"/>
              <w:right w:w="108" w:type="dxa"/>
            </w:tcMar>
            <w:vAlign w:val="center"/>
            <w:hideMark/>
          </w:tcPr>
          <w:p w14:paraId="491FE58B" w14:textId="77777777" w:rsidR="00200243" w:rsidRPr="00367C0B" w:rsidRDefault="00200243" w:rsidP="00200243">
            <w:pPr>
              <w:spacing w:before="20" w:after="20" w:line="256" w:lineRule="auto"/>
              <w:jc w:val="center"/>
              <w:rPr>
                <w:rFonts w:eastAsia="Times New Roman" w:cs="Arial"/>
                <w:sz w:val="36"/>
                <w:szCs w:val="36"/>
                <w:lang w:val="en-US" w:eastAsia="fr-FR"/>
              </w:rPr>
            </w:pPr>
            <w:r>
              <w:rPr>
                <w:rFonts w:eastAsia="Calibri" w:cs="Arial"/>
                <w:color w:val="2E2E38"/>
                <w:kern w:val="24"/>
                <w:sz w:val="18"/>
                <w:szCs w:val="18"/>
                <w:lang w:val="en-US" w:eastAsia="fr-FR"/>
              </w:rPr>
              <w:t>Heat</w:t>
            </w:r>
          </w:p>
        </w:tc>
        <w:tc>
          <w:tcPr>
            <w:tcW w:w="1070" w:type="dxa"/>
            <w:shd w:val="clear" w:color="auto" w:fill="FFC000"/>
            <w:tcMar>
              <w:top w:w="15" w:type="dxa"/>
              <w:left w:w="43" w:type="dxa"/>
              <w:bottom w:w="0" w:type="dxa"/>
              <w:right w:w="43" w:type="dxa"/>
            </w:tcMar>
            <w:vAlign w:val="center"/>
            <w:hideMark/>
          </w:tcPr>
          <w:p w14:paraId="67B5E2A1" w14:textId="77777777" w:rsidR="00200243" w:rsidRPr="00367C0B" w:rsidRDefault="00200243" w:rsidP="00200243">
            <w:pPr>
              <w:spacing w:before="20" w:after="20" w:line="256" w:lineRule="auto"/>
              <w:jc w:val="center"/>
              <w:rPr>
                <w:rFonts w:eastAsia="Times New Roman" w:cs="Arial"/>
                <w:sz w:val="18"/>
                <w:szCs w:val="18"/>
                <w:lang w:val="en-US" w:eastAsia="fr-FR"/>
              </w:rPr>
            </w:pPr>
            <w:r w:rsidRPr="00C62E6B">
              <w:rPr>
                <w:rFonts w:eastAsia="Calibri" w:cs="Arial"/>
                <w:b/>
                <w:color w:val="000000"/>
                <w:kern w:val="24"/>
                <w:sz w:val="18"/>
                <w:szCs w:val="18"/>
                <w:lang w:val="en-US" w:eastAsia="fr-FR"/>
              </w:rPr>
              <w:t>3</w:t>
            </w:r>
          </w:p>
        </w:tc>
        <w:tc>
          <w:tcPr>
            <w:tcW w:w="1039" w:type="dxa"/>
            <w:shd w:val="clear" w:color="auto" w:fill="auto"/>
            <w:tcMar>
              <w:top w:w="15" w:type="dxa"/>
              <w:left w:w="43" w:type="dxa"/>
              <w:bottom w:w="0" w:type="dxa"/>
              <w:right w:w="43" w:type="dxa"/>
            </w:tcMar>
            <w:vAlign w:val="center"/>
            <w:hideMark/>
          </w:tcPr>
          <w:p w14:paraId="47C43239" w14:textId="1842A826" w:rsidR="00200243" w:rsidRPr="00367C0B" w:rsidRDefault="00790CE8" w:rsidP="00200243">
            <w:pPr>
              <w:spacing w:before="20" w:after="20" w:line="256" w:lineRule="auto"/>
              <w:jc w:val="center"/>
              <w:rPr>
                <w:rFonts w:eastAsia="Times New Roman" w:cs="Arial"/>
                <w:sz w:val="18"/>
                <w:szCs w:val="18"/>
                <w:lang w:val="en-US" w:eastAsia="fr-FR"/>
              </w:rPr>
            </w:pPr>
            <w:r>
              <w:rPr>
                <w:rFonts w:eastAsia="Calibri" w:cs="Arial"/>
                <w:b/>
                <w:color w:val="2E2E38"/>
                <w:kern w:val="24"/>
                <w:sz w:val="18"/>
                <w:szCs w:val="18"/>
                <w:lang w:val="en-US" w:eastAsia="fr-FR"/>
              </w:rPr>
              <w:t>I</w:t>
            </w:r>
            <w:r w:rsidR="00200243" w:rsidRPr="00C62E6B">
              <w:rPr>
                <w:rFonts w:eastAsia="Calibri" w:cs="Arial"/>
                <w:b/>
                <w:color w:val="2E2E38"/>
                <w:kern w:val="24"/>
                <w:sz w:val="18"/>
                <w:szCs w:val="18"/>
                <w:lang w:val="en-US" w:eastAsia="fr-FR"/>
              </w:rPr>
              <w:t>ncrease</w:t>
            </w:r>
          </w:p>
        </w:tc>
        <w:tc>
          <w:tcPr>
            <w:tcW w:w="1130" w:type="dxa"/>
            <w:shd w:val="clear" w:color="auto" w:fill="FFC000" w:themeFill="accent4"/>
            <w:tcMar>
              <w:top w:w="15" w:type="dxa"/>
              <w:left w:w="43" w:type="dxa"/>
              <w:bottom w:w="0" w:type="dxa"/>
              <w:right w:w="43" w:type="dxa"/>
            </w:tcMar>
            <w:vAlign w:val="center"/>
            <w:hideMark/>
          </w:tcPr>
          <w:p w14:paraId="4CC79896" w14:textId="77777777" w:rsidR="00200243" w:rsidRPr="00367C0B" w:rsidRDefault="00200243" w:rsidP="00200243">
            <w:pPr>
              <w:spacing w:before="20" w:after="20" w:line="256" w:lineRule="auto"/>
              <w:jc w:val="center"/>
              <w:rPr>
                <w:rFonts w:eastAsia="Times New Roman" w:cs="Arial"/>
                <w:sz w:val="18"/>
                <w:szCs w:val="18"/>
                <w:lang w:val="en-US" w:eastAsia="fr-FR"/>
              </w:rPr>
            </w:pPr>
            <w:r w:rsidRPr="0036455E">
              <w:rPr>
                <w:rFonts w:eastAsia="Calibri" w:cs="Arial"/>
                <w:b/>
                <w:color w:val="000000"/>
                <w:kern w:val="24"/>
                <w:sz w:val="18"/>
                <w:szCs w:val="18"/>
                <w:lang w:val="en-US" w:eastAsia="fr-FR"/>
              </w:rPr>
              <w:t>3</w:t>
            </w:r>
          </w:p>
        </w:tc>
        <w:tc>
          <w:tcPr>
            <w:tcW w:w="1303" w:type="dxa"/>
            <w:shd w:val="clear" w:color="auto" w:fill="FFC000" w:themeFill="accent4"/>
            <w:tcMar>
              <w:top w:w="15" w:type="dxa"/>
              <w:left w:w="43" w:type="dxa"/>
              <w:bottom w:w="0" w:type="dxa"/>
              <w:right w:w="43" w:type="dxa"/>
            </w:tcMar>
            <w:vAlign w:val="center"/>
            <w:hideMark/>
          </w:tcPr>
          <w:p w14:paraId="20359134" w14:textId="77777777" w:rsidR="00200243" w:rsidRPr="00367C0B" w:rsidRDefault="00200243" w:rsidP="00200243">
            <w:pPr>
              <w:spacing w:before="20" w:after="20" w:line="256" w:lineRule="auto"/>
              <w:jc w:val="center"/>
              <w:rPr>
                <w:rFonts w:eastAsia="Times New Roman" w:cs="Arial"/>
                <w:sz w:val="18"/>
                <w:szCs w:val="18"/>
                <w:lang w:val="en-US" w:eastAsia="fr-FR"/>
              </w:rPr>
            </w:pPr>
            <w:r w:rsidRPr="0036455E">
              <w:rPr>
                <w:rFonts w:eastAsia="Calibri" w:cs="Arial"/>
                <w:b/>
                <w:color w:val="000000"/>
                <w:kern w:val="24"/>
                <w:sz w:val="18"/>
                <w:szCs w:val="18"/>
                <w:lang w:val="en-US" w:eastAsia="fr-FR"/>
              </w:rPr>
              <w:t>3</w:t>
            </w:r>
          </w:p>
        </w:tc>
        <w:tc>
          <w:tcPr>
            <w:tcW w:w="1303" w:type="dxa"/>
            <w:shd w:val="clear" w:color="auto" w:fill="FFC000" w:themeFill="accent4"/>
            <w:tcMar>
              <w:top w:w="15" w:type="dxa"/>
              <w:left w:w="43" w:type="dxa"/>
              <w:bottom w:w="0" w:type="dxa"/>
              <w:right w:w="43" w:type="dxa"/>
            </w:tcMar>
            <w:vAlign w:val="center"/>
            <w:hideMark/>
          </w:tcPr>
          <w:p w14:paraId="42104225" w14:textId="77777777" w:rsidR="00200243" w:rsidRPr="00367C0B" w:rsidRDefault="00200243" w:rsidP="00200243">
            <w:pPr>
              <w:spacing w:before="20" w:after="20" w:line="256" w:lineRule="auto"/>
              <w:jc w:val="center"/>
              <w:rPr>
                <w:rFonts w:eastAsia="Times New Roman" w:cs="Arial"/>
                <w:sz w:val="18"/>
                <w:szCs w:val="18"/>
                <w:lang w:val="en-US" w:eastAsia="fr-FR"/>
              </w:rPr>
            </w:pPr>
            <w:r w:rsidRPr="0036455E">
              <w:rPr>
                <w:rFonts w:eastAsia="Calibri" w:cs="Arial"/>
                <w:b/>
                <w:color w:val="000000"/>
                <w:kern w:val="24"/>
                <w:sz w:val="18"/>
                <w:szCs w:val="18"/>
                <w:lang w:val="en-US" w:eastAsia="fr-FR"/>
              </w:rPr>
              <w:t>3</w:t>
            </w:r>
          </w:p>
        </w:tc>
        <w:tc>
          <w:tcPr>
            <w:tcW w:w="1306" w:type="dxa"/>
            <w:shd w:val="clear" w:color="auto" w:fill="ED7D31" w:themeFill="accent2"/>
            <w:tcMar>
              <w:top w:w="15" w:type="dxa"/>
              <w:left w:w="43" w:type="dxa"/>
              <w:bottom w:w="0" w:type="dxa"/>
              <w:right w:w="43" w:type="dxa"/>
            </w:tcMar>
            <w:vAlign w:val="center"/>
            <w:hideMark/>
          </w:tcPr>
          <w:p w14:paraId="04C65F82" w14:textId="2DCD3977" w:rsidR="00200243" w:rsidRPr="00367C0B" w:rsidRDefault="00200243" w:rsidP="00200243">
            <w:pPr>
              <w:spacing w:before="20" w:after="20" w:line="256" w:lineRule="auto"/>
              <w:jc w:val="center"/>
              <w:rPr>
                <w:rFonts w:eastAsia="Times New Roman" w:cs="Arial"/>
                <w:sz w:val="18"/>
                <w:szCs w:val="18"/>
                <w:lang w:val="en-US" w:eastAsia="fr-FR"/>
              </w:rPr>
            </w:pPr>
            <w:r w:rsidRPr="004E7A83">
              <w:rPr>
                <w:rFonts w:eastAsia="Calibri" w:cs="Arial"/>
                <w:b/>
                <w:color w:val="000000"/>
                <w:kern w:val="24"/>
                <w:sz w:val="18"/>
                <w:szCs w:val="18"/>
                <w:lang w:val="en-US" w:eastAsia="fr-FR"/>
              </w:rPr>
              <w:t>4</w:t>
            </w:r>
          </w:p>
        </w:tc>
        <w:tc>
          <w:tcPr>
            <w:tcW w:w="1286" w:type="dxa"/>
            <w:shd w:val="clear" w:color="auto" w:fill="ED7D31" w:themeFill="accent2"/>
            <w:tcMar>
              <w:top w:w="15" w:type="dxa"/>
              <w:left w:w="43" w:type="dxa"/>
              <w:bottom w:w="0" w:type="dxa"/>
              <w:right w:w="43" w:type="dxa"/>
            </w:tcMar>
            <w:vAlign w:val="center"/>
            <w:hideMark/>
          </w:tcPr>
          <w:p w14:paraId="494ABE71" w14:textId="01F5E8C5" w:rsidR="00200243" w:rsidRPr="00367C0B" w:rsidRDefault="00200243" w:rsidP="00200243">
            <w:pPr>
              <w:spacing w:before="20" w:after="20" w:line="256" w:lineRule="auto"/>
              <w:jc w:val="center"/>
              <w:rPr>
                <w:rFonts w:eastAsia="Times New Roman" w:cs="Arial"/>
                <w:sz w:val="18"/>
                <w:szCs w:val="18"/>
                <w:lang w:val="en-US" w:eastAsia="fr-FR"/>
              </w:rPr>
            </w:pPr>
            <w:r w:rsidRPr="004E7A83">
              <w:rPr>
                <w:rFonts w:eastAsia="Calibri" w:cs="Arial"/>
                <w:b/>
                <w:color w:val="000000"/>
                <w:kern w:val="24"/>
                <w:sz w:val="18"/>
                <w:szCs w:val="18"/>
                <w:lang w:val="en-US" w:eastAsia="fr-FR"/>
              </w:rPr>
              <w:t>4</w:t>
            </w:r>
          </w:p>
        </w:tc>
        <w:tc>
          <w:tcPr>
            <w:tcW w:w="1303" w:type="dxa"/>
            <w:shd w:val="clear" w:color="auto" w:fill="ED7D31" w:themeFill="accent2"/>
            <w:tcMar>
              <w:top w:w="15" w:type="dxa"/>
              <w:left w:w="43" w:type="dxa"/>
              <w:bottom w:w="0" w:type="dxa"/>
              <w:right w:w="43" w:type="dxa"/>
            </w:tcMar>
            <w:vAlign w:val="center"/>
            <w:hideMark/>
          </w:tcPr>
          <w:p w14:paraId="5378C214" w14:textId="6AB525FF" w:rsidR="00200243" w:rsidRPr="00367C0B" w:rsidRDefault="00200243" w:rsidP="00200243">
            <w:pPr>
              <w:spacing w:before="20" w:after="20" w:line="256" w:lineRule="auto"/>
              <w:jc w:val="center"/>
              <w:rPr>
                <w:rFonts w:eastAsia="Times New Roman" w:cs="Arial"/>
                <w:sz w:val="18"/>
                <w:szCs w:val="18"/>
                <w:lang w:val="en-US" w:eastAsia="fr-FR"/>
              </w:rPr>
            </w:pPr>
            <w:r w:rsidRPr="004E7A83">
              <w:rPr>
                <w:rFonts w:eastAsia="Calibri" w:cs="Arial"/>
                <w:b/>
                <w:color w:val="000000"/>
                <w:kern w:val="24"/>
                <w:sz w:val="18"/>
                <w:szCs w:val="18"/>
                <w:lang w:val="en-US" w:eastAsia="fr-FR"/>
              </w:rPr>
              <w:t>4</w:t>
            </w:r>
          </w:p>
        </w:tc>
      </w:tr>
      <w:tr w:rsidR="00BC1CD0" w:rsidRPr="00367C0B" w14:paraId="1969834E" w14:textId="77777777">
        <w:trPr>
          <w:trHeight w:val="448"/>
          <w:jc w:val="center"/>
        </w:trPr>
        <w:tc>
          <w:tcPr>
            <w:tcW w:w="1280" w:type="dxa"/>
            <w:shd w:val="clear" w:color="auto" w:fill="auto"/>
            <w:tcMar>
              <w:top w:w="15" w:type="dxa"/>
              <w:left w:w="108" w:type="dxa"/>
              <w:bottom w:w="0" w:type="dxa"/>
              <w:right w:w="108" w:type="dxa"/>
            </w:tcMar>
            <w:vAlign w:val="center"/>
            <w:hideMark/>
          </w:tcPr>
          <w:p w14:paraId="37809696" w14:textId="77777777" w:rsidR="00BC1CD0" w:rsidRPr="00367C0B" w:rsidRDefault="00BC1CD0">
            <w:pPr>
              <w:spacing w:before="20" w:after="20" w:line="256" w:lineRule="auto"/>
              <w:jc w:val="center"/>
              <w:rPr>
                <w:rFonts w:eastAsia="Times New Roman" w:cs="Arial"/>
                <w:sz w:val="36"/>
                <w:szCs w:val="36"/>
                <w:lang w:val="en-US" w:eastAsia="fr-FR"/>
              </w:rPr>
            </w:pPr>
            <w:r>
              <w:rPr>
                <w:rFonts w:eastAsia="Calibri" w:cs="Arial"/>
                <w:color w:val="2E2E38"/>
                <w:kern w:val="24"/>
                <w:sz w:val="18"/>
                <w:szCs w:val="18"/>
                <w:lang w:val="en-US" w:eastAsia="fr-FR"/>
              </w:rPr>
              <w:t>Extreme Weather</w:t>
            </w:r>
          </w:p>
        </w:tc>
        <w:tc>
          <w:tcPr>
            <w:tcW w:w="1070" w:type="dxa"/>
            <w:shd w:val="clear" w:color="auto" w:fill="FFC000"/>
            <w:tcMar>
              <w:top w:w="15" w:type="dxa"/>
              <w:left w:w="43" w:type="dxa"/>
              <w:bottom w:w="0" w:type="dxa"/>
              <w:right w:w="43" w:type="dxa"/>
            </w:tcMar>
            <w:vAlign w:val="center"/>
            <w:hideMark/>
          </w:tcPr>
          <w:p w14:paraId="5B1DD361" w14:textId="77BA723E" w:rsidR="00BC1CD0" w:rsidRPr="00367C0B" w:rsidRDefault="00BC1CD0">
            <w:pPr>
              <w:spacing w:before="20" w:after="20" w:line="256" w:lineRule="auto"/>
              <w:jc w:val="center"/>
              <w:rPr>
                <w:rFonts w:eastAsia="Times New Roman" w:cs="Arial"/>
                <w:sz w:val="18"/>
                <w:szCs w:val="18"/>
                <w:lang w:val="en-US" w:eastAsia="fr-FR"/>
              </w:rPr>
            </w:pPr>
            <w:r w:rsidRPr="00C62E6B">
              <w:rPr>
                <w:rFonts w:eastAsia="Calibri" w:cs="Arial"/>
                <w:b/>
                <w:color w:val="000000"/>
                <w:kern w:val="24"/>
                <w:sz w:val="18"/>
                <w:szCs w:val="18"/>
                <w:lang w:val="en-US" w:eastAsia="fr-FR"/>
              </w:rPr>
              <w:t>3</w:t>
            </w:r>
          </w:p>
        </w:tc>
        <w:tc>
          <w:tcPr>
            <w:tcW w:w="1039" w:type="dxa"/>
            <w:shd w:val="clear" w:color="auto" w:fill="auto"/>
            <w:tcMar>
              <w:top w:w="15" w:type="dxa"/>
              <w:left w:w="43" w:type="dxa"/>
              <w:bottom w:w="0" w:type="dxa"/>
              <w:right w:w="43" w:type="dxa"/>
            </w:tcMar>
            <w:vAlign w:val="center"/>
            <w:hideMark/>
          </w:tcPr>
          <w:p w14:paraId="224316BE" w14:textId="7BB60688" w:rsidR="00BC1CD0" w:rsidRPr="00367C0B" w:rsidRDefault="00EE2272">
            <w:pPr>
              <w:spacing w:before="20" w:after="20" w:line="256" w:lineRule="auto"/>
              <w:jc w:val="center"/>
              <w:rPr>
                <w:rFonts w:eastAsia="Times New Roman" w:cs="Arial"/>
                <w:sz w:val="18"/>
                <w:szCs w:val="18"/>
                <w:lang w:val="en-US" w:eastAsia="fr-FR"/>
              </w:rPr>
            </w:pPr>
            <w:r>
              <w:rPr>
                <w:rFonts w:eastAsia="Calibri" w:cs="Arial"/>
                <w:b/>
                <w:color w:val="2E2E38"/>
                <w:kern w:val="24"/>
                <w:sz w:val="18"/>
                <w:szCs w:val="18"/>
                <w:lang w:val="en-US" w:eastAsia="fr-FR"/>
              </w:rPr>
              <w:t>Increase</w:t>
            </w:r>
          </w:p>
        </w:tc>
        <w:tc>
          <w:tcPr>
            <w:tcW w:w="1130" w:type="dxa"/>
            <w:shd w:val="clear" w:color="auto" w:fill="ED7D31" w:themeFill="accent2"/>
            <w:tcMar>
              <w:top w:w="15" w:type="dxa"/>
              <w:left w:w="43" w:type="dxa"/>
              <w:bottom w:w="0" w:type="dxa"/>
              <w:right w:w="43" w:type="dxa"/>
            </w:tcMar>
            <w:vAlign w:val="center"/>
            <w:hideMark/>
          </w:tcPr>
          <w:p w14:paraId="02CC3D16" w14:textId="77777777" w:rsidR="00BC1CD0" w:rsidRPr="00367C0B" w:rsidRDefault="00BC1CD0">
            <w:pPr>
              <w:spacing w:before="20" w:after="20" w:line="256" w:lineRule="auto"/>
              <w:jc w:val="center"/>
              <w:rPr>
                <w:rFonts w:eastAsia="Times New Roman" w:cs="Arial"/>
                <w:sz w:val="18"/>
                <w:szCs w:val="18"/>
                <w:lang w:val="en-US" w:eastAsia="fr-FR"/>
              </w:rPr>
            </w:pPr>
            <w:r>
              <w:rPr>
                <w:rFonts w:eastAsia="Calibri" w:cs="Arial"/>
                <w:b/>
                <w:color w:val="000000"/>
                <w:kern w:val="24"/>
                <w:sz w:val="18"/>
                <w:szCs w:val="18"/>
                <w:lang w:val="en-US" w:eastAsia="fr-FR"/>
              </w:rPr>
              <w:t>4</w:t>
            </w:r>
          </w:p>
        </w:tc>
        <w:tc>
          <w:tcPr>
            <w:tcW w:w="1303" w:type="dxa"/>
            <w:shd w:val="clear" w:color="auto" w:fill="ED7D31" w:themeFill="accent2"/>
            <w:tcMar>
              <w:top w:w="15" w:type="dxa"/>
              <w:left w:w="43" w:type="dxa"/>
              <w:bottom w:w="0" w:type="dxa"/>
              <w:right w:w="43" w:type="dxa"/>
            </w:tcMar>
            <w:vAlign w:val="center"/>
            <w:hideMark/>
          </w:tcPr>
          <w:p w14:paraId="70502219" w14:textId="77777777" w:rsidR="00BC1CD0" w:rsidRPr="00367C0B" w:rsidRDefault="00BC1CD0">
            <w:pPr>
              <w:spacing w:before="20" w:after="20" w:line="256" w:lineRule="auto"/>
              <w:jc w:val="center"/>
              <w:rPr>
                <w:rFonts w:eastAsia="Times New Roman" w:cs="Arial"/>
                <w:sz w:val="18"/>
                <w:szCs w:val="18"/>
                <w:lang w:val="en-US" w:eastAsia="fr-FR"/>
              </w:rPr>
            </w:pPr>
            <w:r w:rsidRPr="004E7A83">
              <w:rPr>
                <w:rFonts w:eastAsia="Calibri" w:cs="Arial"/>
                <w:b/>
                <w:color w:val="000000"/>
                <w:kern w:val="24"/>
                <w:sz w:val="18"/>
                <w:szCs w:val="18"/>
                <w:lang w:val="en-US" w:eastAsia="fr-FR"/>
              </w:rPr>
              <w:t>4</w:t>
            </w:r>
          </w:p>
        </w:tc>
        <w:tc>
          <w:tcPr>
            <w:tcW w:w="1303" w:type="dxa"/>
            <w:shd w:val="clear" w:color="auto" w:fill="ED7D31" w:themeFill="accent2"/>
            <w:tcMar>
              <w:top w:w="15" w:type="dxa"/>
              <w:left w:w="43" w:type="dxa"/>
              <w:bottom w:w="0" w:type="dxa"/>
              <w:right w:w="43" w:type="dxa"/>
            </w:tcMar>
            <w:vAlign w:val="center"/>
            <w:hideMark/>
          </w:tcPr>
          <w:p w14:paraId="4D390043" w14:textId="77777777" w:rsidR="00BC1CD0" w:rsidRPr="00367C0B" w:rsidRDefault="00BC1CD0">
            <w:pPr>
              <w:spacing w:before="20" w:after="20" w:line="256" w:lineRule="auto"/>
              <w:jc w:val="center"/>
              <w:rPr>
                <w:rFonts w:eastAsia="Times New Roman" w:cs="Arial"/>
                <w:sz w:val="18"/>
                <w:szCs w:val="18"/>
                <w:lang w:val="en-US" w:eastAsia="fr-FR"/>
              </w:rPr>
            </w:pPr>
            <w:r w:rsidRPr="004E7A83">
              <w:rPr>
                <w:rFonts w:eastAsia="Calibri" w:cs="Arial"/>
                <w:b/>
                <w:color w:val="000000"/>
                <w:kern w:val="24"/>
                <w:sz w:val="18"/>
                <w:szCs w:val="18"/>
                <w:lang w:val="en-US" w:eastAsia="fr-FR"/>
              </w:rPr>
              <w:t>4</w:t>
            </w:r>
          </w:p>
        </w:tc>
        <w:tc>
          <w:tcPr>
            <w:tcW w:w="1306" w:type="dxa"/>
            <w:shd w:val="clear" w:color="auto" w:fill="ED7D31" w:themeFill="accent2"/>
            <w:tcMar>
              <w:top w:w="15" w:type="dxa"/>
              <w:left w:w="43" w:type="dxa"/>
              <w:bottom w:w="0" w:type="dxa"/>
              <w:right w:w="43" w:type="dxa"/>
            </w:tcMar>
            <w:vAlign w:val="center"/>
            <w:hideMark/>
          </w:tcPr>
          <w:p w14:paraId="1ECBD964" w14:textId="77777777" w:rsidR="00BC1CD0" w:rsidRPr="00367C0B" w:rsidRDefault="00BC1CD0">
            <w:pPr>
              <w:spacing w:before="20" w:after="20" w:line="256" w:lineRule="auto"/>
              <w:jc w:val="center"/>
              <w:rPr>
                <w:rFonts w:eastAsia="Times New Roman" w:cs="Arial"/>
                <w:sz w:val="18"/>
                <w:szCs w:val="18"/>
                <w:lang w:val="en-US" w:eastAsia="fr-FR"/>
              </w:rPr>
            </w:pPr>
            <w:r w:rsidRPr="004E7A83">
              <w:rPr>
                <w:rFonts w:eastAsia="Calibri" w:cs="Arial"/>
                <w:b/>
                <w:color w:val="000000"/>
                <w:kern w:val="24"/>
                <w:sz w:val="18"/>
                <w:szCs w:val="18"/>
                <w:lang w:val="en-US" w:eastAsia="fr-FR"/>
              </w:rPr>
              <w:t>4</w:t>
            </w:r>
          </w:p>
        </w:tc>
        <w:tc>
          <w:tcPr>
            <w:tcW w:w="1286" w:type="dxa"/>
            <w:shd w:val="clear" w:color="auto" w:fill="ED7D31" w:themeFill="accent2"/>
            <w:tcMar>
              <w:top w:w="15" w:type="dxa"/>
              <w:left w:w="43" w:type="dxa"/>
              <w:bottom w:w="0" w:type="dxa"/>
              <w:right w:w="43" w:type="dxa"/>
            </w:tcMar>
            <w:vAlign w:val="center"/>
            <w:hideMark/>
          </w:tcPr>
          <w:p w14:paraId="0D5F9D02" w14:textId="77777777" w:rsidR="00BC1CD0" w:rsidRPr="00367C0B" w:rsidRDefault="00BC1CD0">
            <w:pPr>
              <w:spacing w:before="20" w:after="20" w:line="256" w:lineRule="auto"/>
              <w:jc w:val="center"/>
              <w:rPr>
                <w:rFonts w:eastAsia="Times New Roman" w:cs="Arial"/>
                <w:sz w:val="18"/>
                <w:szCs w:val="18"/>
                <w:lang w:val="en-US" w:eastAsia="fr-FR"/>
              </w:rPr>
            </w:pPr>
            <w:r w:rsidRPr="004E7A83">
              <w:rPr>
                <w:rFonts w:eastAsia="Calibri" w:cs="Arial"/>
                <w:b/>
                <w:color w:val="000000"/>
                <w:kern w:val="24"/>
                <w:sz w:val="18"/>
                <w:szCs w:val="18"/>
                <w:lang w:val="en-US" w:eastAsia="fr-FR"/>
              </w:rPr>
              <w:t>4</w:t>
            </w:r>
          </w:p>
        </w:tc>
        <w:tc>
          <w:tcPr>
            <w:tcW w:w="1303" w:type="dxa"/>
            <w:shd w:val="clear" w:color="auto" w:fill="ED7D31" w:themeFill="accent2"/>
            <w:tcMar>
              <w:top w:w="15" w:type="dxa"/>
              <w:left w:w="43" w:type="dxa"/>
              <w:bottom w:w="0" w:type="dxa"/>
              <w:right w:w="43" w:type="dxa"/>
            </w:tcMar>
            <w:vAlign w:val="center"/>
            <w:hideMark/>
          </w:tcPr>
          <w:p w14:paraId="28171ABD" w14:textId="77777777" w:rsidR="00BC1CD0" w:rsidRPr="00367C0B" w:rsidRDefault="00BC1CD0">
            <w:pPr>
              <w:spacing w:before="20" w:after="20" w:line="256" w:lineRule="auto"/>
              <w:jc w:val="center"/>
              <w:rPr>
                <w:rFonts w:eastAsia="Times New Roman" w:cs="Arial"/>
                <w:sz w:val="18"/>
                <w:szCs w:val="18"/>
                <w:lang w:val="en-US" w:eastAsia="fr-FR"/>
              </w:rPr>
            </w:pPr>
            <w:r w:rsidRPr="004E7A83">
              <w:rPr>
                <w:rFonts w:eastAsia="Calibri" w:cs="Arial"/>
                <w:b/>
                <w:color w:val="000000"/>
                <w:kern w:val="24"/>
                <w:sz w:val="18"/>
                <w:szCs w:val="18"/>
                <w:lang w:val="en-US" w:eastAsia="fr-FR"/>
              </w:rPr>
              <w:t>4</w:t>
            </w:r>
          </w:p>
        </w:tc>
      </w:tr>
    </w:tbl>
    <w:p w14:paraId="3DBB05D7" w14:textId="77777777" w:rsidR="00BC1CD0" w:rsidRPr="00367C0B" w:rsidRDefault="00BC1CD0" w:rsidP="00E61227">
      <w:pPr>
        <w:rPr>
          <w:lang w:val="en-US"/>
        </w:rPr>
      </w:pPr>
    </w:p>
    <w:p w14:paraId="31EF9668" w14:textId="65942F74" w:rsidR="00DF04E9" w:rsidRPr="00367C0B" w:rsidRDefault="00B7777A" w:rsidP="000615AC">
      <w:pPr>
        <w:pStyle w:val="Paragraphedeliste"/>
        <w:numPr>
          <w:ilvl w:val="0"/>
          <w:numId w:val="9"/>
        </w:numPr>
        <w:rPr>
          <w:lang w:val="en-US"/>
        </w:rPr>
      </w:pPr>
      <w:r w:rsidRPr="00367C0B">
        <w:rPr>
          <w:b/>
          <w:lang w:val="en-US"/>
        </w:rPr>
        <w:t>Flood</w:t>
      </w:r>
      <w:r w:rsidRPr="00367C0B">
        <w:rPr>
          <w:lang w:val="en-US"/>
        </w:rPr>
        <w:t xml:space="preserve">: </w:t>
      </w:r>
      <w:r w:rsidR="005D4247" w:rsidRPr="00367C0B">
        <w:rPr>
          <w:lang w:val="en-US"/>
        </w:rPr>
        <w:t>Analyzed</w:t>
      </w:r>
      <w:r w:rsidR="00025D16" w:rsidRPr="00367C0B">
        <w:rPr>
          <w:lang w:val="en-US"/>
        </w:rPr>
        <w:t xml:space="preserve"> assets are </w:t>
      </w:r>
      <w:r w:rsidR="00D447F0">
        <w:rPr>
          <w:lang w:val="en-US"/>
        </w:rPr>
        <w:t>subject to a low</w:t>
      </w:r>
      <w:r w:rsidR="00D447F0" w:rsidRPr="00367C0B">
        <w:rPr>
          <w:lang w:val="en-US"/>
        </w:rPr>
        <w:t xml:space="preserve"> expos</w:t>
      </w:r>
      <w:r w:rsidR="00D447F0">
        <w:rPr>
          <w:lang w:val="en-US"/>
        </w:rPr>
        <w:t>ure</w:t>
      </w:r>
      <w:r w:rsidR="00D447F0" w:rsidRPr="00367C0B">
        <w:rPr>
          <w:lang w:val="en-US"/>
        </w:rPr>
        <w:t xml:space="preserve"> </w:t>
      </w:r>
      <w:r w:rsidR="00025D16" w:rsidRPr="00367C0B">
        <w:rPr>
          <w:lang w:val="en-US"/>
        </w:rPr>
        <w:t xml:space="preserve">to </w:t>
      </w:r>
      <w:r w:rsidR="008331D1" w:rsidRPr="00367C0B">
        <w:rPr>
          <w:lang w:val="en-US"/>
        </w:rPr>
        <w:t>flood, either from precipitation or from a river</w:t>
      </w:r>
      <w:r w:rsidR="008A7AA0" w:rsidRPr="00367C0B">
        <w:rPr>
          <w:lang w:val="en-US"/>
        </w:rPr>
        <w:t xml:space="preserve">. </w:t>
      </w:r>
      <w:proofErr w:type="spellStart"/>
      <w:r w:rsidR="00BA319D" w:rsidRPr="00367C0B">
        <w:rPr>
          <w:lang w:val="en-US"/>
        </w:rPr>
        <w:t>Zygh</w:t>
      </w:r>
      <w:proofErr w:type="spellEnd"/>
      <w:r w:rsidR="00BA319D" w:rsidRPr="00367C0B">
        <w:rPr>
          <w:lang w:val="en-US"/>
        </w:rPr>
        <w:t xml:space="preserve"> Shipyard is the only asset slightly exposed to a potential flooding</w:t>
      </w:r>
      <w:r w:rsidR="00447F47" w:rsidRPr="00367C0B">
        <w:rPr>
          <w:lang w:val="en-US"/>
        </w:rPr>
        <w:t xml:space="preserve"> due to high precipitation levels</w:t>
      </w:r>
      <w:r w:rsidR="007F44E3" w:rsidRPr="00367C0B">
        <w:rPr>
          <w:lang w:val="en-US"/>
        </w:rPr>
        <w:t>, but flo</w:t>
      </w:r>
      <w:r w:rsidR="002636B2" w:rsidRPr="00367C0B">
        <w:rPr>
          <w:lang w:val="en-US"/>
        </w:rPr>
        <w:t>oding levels remain very low</w:t>
      </w:r>
      <w:r w:rsidR="00EA527C" w:rsidRPr="00367C0B">
        <w:rPr>
          <w:lang w:val="en-US"/>
        </w:rPr>
        <w:t xml:space="preserve">, around 10 cm, </w:t>
      </w:r>
      <w:r w:rsidR="002636B2" w:rsidRPr="00367C0B">
        <w:rPr>
          <w:lang w:val="en-US"/>
        </w:rPr>
        <w:t>and tend to decrease under both climate scenarios</w:t>
      </w:r>
      <w:r w:rsidR="00447F47" w:rsidRPr="00367C0B">
        <w:rPr>
          <w:lang w:val="en-US"/>
        </w:rPr>
        <w:t xml:space="preserve"> </w:t>
      </w:r>
      <w:r w:rsidR="002636B2" w:rsidRPr="00367C0B">
        <w:rPr>
          <w:lang w:val="en-US"/>
        </w:rPr>
        <w:t>4.5 and 8.5</w:t>
      </w:r>
      <w:r w:rsidR="00EA527C" w:rsidRPr="00367C0B">
        <w:rPr>
          <w:lang w:val="en-US"/>
        </w:rPr>
        <w:t xml:space="preserve">. </w:t>
      </w:r>
      <w:r w:rsidR="00DF04E9" w:rsidRPr="00367C0B">
        <w:rPr>
          <w:lang w:val="en-US"/>
        </w:rPr>
        <w:t xml:space="preserve">This suggests that </w:t>
      </w:r>
      <w:r w:rsidR="00EA527C" w:rsidRPr="00367C0B">
        <w:rPr>
          <w:lang w:val="en-US"/>
        </w:rPr>
        <w:t>ASCO</w:t>
      </w:r>
      <w:r w:rsidR="00DF04E9" w:rsidRPr="00367C0B">
        <w:rPr>
          <w:lang w:val="en-US"/>
        </w:rPr>
        <w:t xml:space="preserve">'s assets are </w:t>
      </w:r>
      <w:r w:rsidR="00EA527C" w:rsidRPr="00367C0B">
        <w:rPr>
          <w:lang w:val="en-US"/>
        </w:rPr>
        <w:t>not</w:t>
      </w:r>
      <w:r w:rsidR="005344B8" w:rsidRPr="00367C0B">
        <w:rPr>
          <w:lang w:val="en-US"/>
        </w:rPr>
        <w:t xml:space="preserve"> very</w:t>
      </w:r>
      <w:r w:rsidR="00DF04E9" w:rsidRPr="00367C0B">
        <w:rPr>
          <w:lang w:val="en-US"/>
        </w:rPr>
        <w:t xml:space="preserve"> vulnerable to floodin</w:t>
      </w:r>
      <w:r w:rsidR="005344B8" w:rsidRPr="00367C0B">
        <w:rPr>
          <w:lang w:val="en-US"/>
        </w:rPr>
        <w:t>g</w:t>
      </w:r>
      <w:r w:rsidR="00AF5EB8" w:rsidRPr="00367C0B">
        <w:rPr>
          <w:lang w:val="en-US"/>
        </w:rPr>
        <w:t>.</w:t>
      </w:r>
    </w:p>
    <w:p w14:paraId="3AF0C31A" w14:textId="77777777" w:rsidR="00834E77" w:rsidRPr="00681DC0" w:rsidRDefault="00834E77" w:rsidP="00C84098">
      <w:pPr>
        <w:pStyle w:val="Paragraphedeliste"/>
        <w:rPr>
          <w:rFonts w:cstheme="minorHAnsi"/>
          <w:lang w:val="en-US"/>
        </w:rPr>
      </w:pPr>
    </w:p>
    <w:p w14:paraId="45582DCB" w14:textId="4BD6F937" w:rsidR="00240228" w:rsidRPr="00367C0B" w:rsidRDefault="00EA25F2" w:rsidP="00AA0497">
      <w:pPr>
        <w:pStyle w:val="Paragraphedeliste"/>
        <w:numPr>
          <w:ilvl w:val="0"/>
          <w:numId w:val="6"/>
        </w:numPr>
        <w:rPr>
          <w:lang w:val="en-US"/>
        </w:rPr>
      </w:pPr>
      <w:r w:rsidRPr="00367C0B">
        <w:rPr>
          <w:b/>
          <w:lang w:val="en-US"/>
        </w:rPr>
        <w:t>High temperature and h</w:t>
      </w:r>
      <w:r w:rsidR="00DF04E9" w:rsidRPr="00367C0B">
        <w:rPr>
          <w:b/>
          <w:lang w:val="en-US"/>
        </w:rPr>
        <w:t>eat</w:t>
      </w:r>
      <w:r w:rsidR="00DF04E9" w:rsidRPr="00367C0B">
        <w:rPr>
          <w:lang w:val="en-US"/>
        </w:rPr>
        <w:t xml:space="preserve">: </w:t>
      </w:r>
      <w:r w:rsidR="00411008" w:rsidRPr="00367C0B">
        <w:rPr>
          <w:lang w:val="en-US"/>
        </w:rPr>
        <w:t xml:space="preserve">Baku area </w:t>
      </w:r>
      <w:r w:rsidR="00194E27" w:rsidRPr="00367C0B">
        <w:rPr>
          <w:lang w:val="en-US"/>
        </w:rPr>
        <w:t>is located in</w:t>
      </w:r>
      <w:r w:rsidR="00411008" w:rsidRPr="00367C0B">
        <w:rPr>
          <w:lang w:val="en-US"/>
        </w:rPr>
        <w:t xml:space="preserve"> an </w:t>
      </w:r>
      <w:r w:rsidR="00194E27" w:rsidRPr="00367C0B">
        <w:rPr>
          <w:lang w:val="en-US"/>
        </w:rPr>
        <w:t>a</w:t>
      </w:r>
      <w:r w:rsidR="00411008" w:rsidRPr="00367C0B">
        <w:rPr>
          <w:lang w:val="en-US"/>
        </w:rPr>
        <w:t>rid region</w:t>
      </w:r>
      <w:r w:rsidRPr="00367C0B">
        <w:rPr>
          <w:lang w:val="en-US"/>
        </w:rPr>
        <w:t xml:space="preserve"> and has historically been </w:t>
      </w:r>
      <w:r w:rsidR="00F56868">
        <w:rPr>
          <w:lang w:val="en-US"/>
        </w:rPr>
        <w:t>subject</w:t>
      </w:r>
      <w:r w:rsidR="00F56868" w:rsidRPr="00367C0B">
        <w:rPr>
          <w:lang w:val="en-US"/>
        </w:rPr>
        <w:t xml:space="preserve"> </w:t>
      </w:r>
      <w:r w:rsidRPr="00367C0B">
        <w:rPr>
          <w:lang w:val="en-US"/>
        </w:rPr>
        <w:t>to</w:t>
      </w:r>
      <w:r w:rsidR="00194E27" w:rsidRPr="00367C0B">
        <w:rPr>
          <w:lang w:val="en-US"/>
        </w:rPr>
        <w:t xml:space="preserve"> summer high temperatures and heat. </w:t>
      </w:r>
      <w:r w:rsidR="00DF04E9" w:rsidRPr="00367C0B">
        <w:rPr>
          <w:lang w:val="en-US"/>
        </w:rPr>
        <w:t xml:space="preserve">Heat exposure has </w:t>
      </w:r>
      <w:r w:rsidR="00010597" w:rsidRPr="00367C0B">
        <w:rPr>
          <w:lang w:val="en-US"/>
        </w:rPr>
        <w:t xml:space="preserve">historically </w:t>
      </w:r>
      <w:r w:rsidR="00DF04E9" w:rsidRPr="00367C0B">
        <w:rPr>
          <w:lang w:val="en-US"/>
        </w:rPr>
        <w:t>been between moderate and is expected to</w:t>
      </w:r>
      <w:r w:rsidR="006846BD" w:rsidRPr="00367C0B">
        <w:rPr>
          <w:lang w:val="en-US"/>
        </w:rPr>
        <w:t xml:space="preserve"> </w:t>
      </w:r>
      <w:r w:rsidR="00DF04E9" w:rsidRPr="00367C0B">
        <w:rPr>
          <w:lang w:val="en-US"/>
        </w:rPr>
        <w:t>increase</w:t>
      </w:r>
      <w:r w:rsidR="0024082D" w:rsidRPr="00367C0B">
        <w:rPr>
          <w:lang w:val="en-US"/>
        </w:rPr>
        <w:t xml:space="preserve"> in both climate scenarios. </w:t>
      </w:r>
      <w:r w:rsidR="002C51E4" w:rsidRPr="00367C0B">
        <w:rPr>
          <w:lang w:val="en-US"/>
        </w:rPr>
        <w:t>Maximum t</w:t>
      </w:r>
      <w:r w:rsidR="0024082D" w:rsidRPr="00367C0B">
        <w:rPr>
          <w:lang w:val="en-US"/>
        </w:rPr>
        <w:t xml:space="preserve">emperatures could </w:t>
      </w:r>
      <w:r w:rsidR="006846BD" w:rsidRPr="00367C0B">
        <w:rPr>
          <w:lang w:val="en-US"/>
        </w:rPr>
        <w:t>increase by</w:t>
      </w:r>
      <w:r w:rsidR="002C51E4" w:rsidRPr="00367C0B">
        <w:rPr>
          <w:lang w:val="en-US"/>
        </w:rPr>
        <w:t xml:space="preserve"> up to 5°C</w:t>
      </w:r>
      <w:r w:rsidR="00F73B39" w:rsidRPr="00367C0B">
        <w:rPr>
          <w:lang w:val="en-US"/>
        </w:rPr>
        <w:t xml:space="preserve"> in</w:t>
      </w:r>
      <w:r w:rsidR="00672479" w:rsidRPr="00367C0B">
        <w:rPr>
          <w:lang w:val="en-US"/>
        </w:rPr>
        <w:t xml:space="preserve"> 2050 under scenario </w:t>
      </w:r>
      <w:r w:rsidR="00D341EC" w:rsidRPr="00367C0B">
        <w:rPr>
          <w:lang w:val="en-US"/>
        </w:rPr>
        <w:t>SSP</w:t>
      </w:r>
      <w:r w:rsidR="00F73B39" w:rsidRPr="00367C0B">
        <w:rPr>
          <w:lang w:val="en-US"/>
        </w:rPr>
        <w:t>5</w:t>
      </w:r>
      <w:r w:rsidR="00D341EC" w:rsidRPr="00367C0B">
        <w:rPr>
          <w:lang w:val="en-US"/>
        </w:rPr>
        <w:t>-</w:t>
      </w:r>
      <w:r w:rsidR="00F73B39" w:rsidRPr="00367C0B">
        <w:rPr>
          <w:lang w:val="en-US"/>
        </w:rPr>
        <w:t>8</w:t>
      </w:r>
      <w:r w:rsidR="00672479" w:rsidRPr="00367C0B">
        <w:rPr>
          <w:lang w:val="en-US"/>
        </w:rPr>
        <w:t>.5</w:t>
      </w:r>
      <w:r w:rsidR="00DE6811" w:rsidRPr="00367C0B">
        <w:rPr>
          <w:lang w:val="en-US"/>
        </w:rPr>
        <w:t xml:space="preserve">. Additional details on </w:t>
      </w:r>
      <w:r w:rsidR="008911C8" w:rsidRPr="00367C0B">
        <w:rPr>
          <w:lang w:val="en-US"/>
        </w:rPr>
        <w:t xml:space="preserve">evolution of temperature and heat conditions are detailed in the next section. </w:t>
      </w:r>
      <w:r w:rsidR="007653C9" w:rsidRPr="00367C0B">
        <w:rPr>
          <w:lang w:val="en-US"/>
        </w:rPr>
        <w:t xml:space="preserve">To adapt to </w:t>
      </w:r>
      <w:r w:rsidR="00966E07" w:rsidRPr="00367C0B">
        <w:rPr>
          <w:lang w:val="en-US"/>
        </w:rPr>
        <w:t>increasing temperatures and heatwaves</w:t>
      </w:r>
      <w:r w:rsidR="007653C9" w:rsidRPr="00367C0B">
        <w:rPr>
          <w:lang w:val="en-US"/>
        </w:rPr>
        <w:t xml:space="preserve">, </w:t>
      </w:r>
      <w:r w:rsidR="00966E07" w:rsidRPr="00367C0B">
        <w:rPr>
          <w:lang w:val="en-US"/>
        </w:rPr>
        <w:t>ASCO</w:t>
      </w:r>
      <w:r w:rsidR="007653C9" w:rsidRPr="00367C0B">
        <w:rPr>
          <w:lang w:val="en-US"/>
        </w:rPr>
        <w:t xml:space="preserve"> </w:t>
      </w:r>
      <w:r w:rsidR="00C109E5">
        <w:rPr>
          <w:lang w:val="en-US"/>
        </w:rPr>
        <w:t>c</w:t>
      </w:r>
      <w:r w:rsidR="00C109E5" w:rsidRPr="00367C0B">
        <w:rPr>
          <w:lang w:val="en-US"/>
        </w:rPr>
        <w:t xml:space="preserve">ould </w:t>
      </w:r>
      <w:r w:rsidR="007653C9" w:rsidRPr="00367C0B">
        <w:rPr>
          <w:lang w:val="en-US"/>
        </w:rPr>
        <w:t xml:space="preserve">implement measures such as optimizing cooling processes in </w:t>
      </w:r>
      <w:r w:rsidR="00CD3445" w:rsidRPr="00367C0B">
        <w:rPr>
          <w:lang w:val="en-US"/>
        </w:rPr>
        <w:t>buildings</w:t>
      </w:r>
      <w:r w:rsidR="007653C9" w:rsidRPr="00367C0B">
        <w:rPr>
          <w:lang w:val="en-US"/>
        </w:rPr>
        <w:t>, using heat-resistant materials in infrastructure</w:t>
      </w:r>
      <w:r w:rsidR="00B72F96" w:rsidRPr="00367C0B">
        <w:rPr>
          <w:lang w:val="en-US"/>
        </w:rPr>
        <w:t xml:space="preserve">, adjust the </w:t>
      </w:r>
      <w:r w:rsidR="00C109E5" w:rsidRPr="00367C0B">
        <w:rPr>
          <w:lang w:val="en-US"/>
        </w:rPr>
        <w:t>color</w:t>
      </w:r>
      <w:r w:rsidR="00B72F96" w:rsidRPr="00367C0B">
        <w:rPr>
          <w:lang w:val="en-US"/>
        </w:rPr>
        <w:t xml:space="preserve"> of the asphalt on the ground of the ports</w:t>
      </w:r>
      <w:r w:rsidR="00E56B42" w:rsidRPr="00367C0B">
        <w:rPr>
          <w:lang w:val="en-US"/>
        </w:rPr>
        <w:t xml:space="preserve"> and develop an adaptation plan for workers safety in case of a heat wave.</w:t>
      </w:r>
    </w:p>
    <w:p w14:paraId="3E07278C" w14:textId="77777777" w:rsidR="00834E77" w:rsidRPr="00367C0B" w:rsidRDefault="00834E77" w:rsidP="008E561E">
      <w:pPr>
        <w:pStyle w:val="Paragraphedeliste"/>
        <w:rPr>
          <w:lang w:val="en-US"/>
        </w:rPr>
      </w:pPr>
    </w:p>
    <w:p w14:paraId="2181D658" w14:textId="5E9CB470" w:rsidR="00DF04E9" w:rsidRPr="00367C0B" w:rsidRDefault="003C6243" w:rsidP="00AA0497">
      <w:pPr>
        <w:pStyle w:val="Paragraphedeliste"/>
        <w:numPr>
          <w:ilvl w:val="0"/>
          <w:numId w:val="6"/>
        </w:numPr>
        <w:rPr>
          <w:lang w:val="en-US"/>
        </w:rPr>
      </w:pPr>
      <w:r w:rsidRPr="00367C0B">
        <w:rPr>
          <w:b/>
          <w:lang w:val="en-US"/>
        </w:rPr>
        <w:t>Extreme weather</w:t>
      </w:r>
      <w:r w:rsidR="00DF04E9" w:rsidRPr="00367C0B">
        <w:rPr>
          <w:lang w:val="en-US"/>
        </w:rPr>
        <w:t xml:space="preserve">: The </w:t>
      </w:r>
      <w:r w:rsidRPr="00367C0B">
        <w:rPr>
          <w:lang w:val="en-US"/>
        </w:rPr>
        <w:t xml:space="preserve">historical </w:t>
      </w:r>
      <w:r w:rsidR="00DF04E9" w:rsidRPr="00367C0B">
        <w:rPr>
          <w:lang w:val="en-US"/>
        </w:rPr>
        <w:t xml:space="preserve">exposure to </w:t>
      </w:r>
      <w:r w:rsidR="00E122C7" w:rsidRPr="00367C0B">
        <w:rPr>
          <w:lang w:val="en-US"/>
        </w:rPr>
        <w:t>ext</w:t>
      </w:r>
      <w:r w:rsidR="00E62E86" w:rsidRPr="00367C0B">
        <w:rPr>
          <w:lang w:val="en-US"/>
        </w:rPr>
        <w:t xml:space="preserve">reme weather </w:t>
      </w:r>
      <w:r w:rsidR="000D5D00" w:rsidRPr="00367C0B">
        <w:rPr>
          <w:lang w:val="en-US"/>
        </w:rPr>
        <w:t xml:space="preserve">is moderate. </w:t>
      </w:r>
      <w:r w:rsidR="00ED6464" w:rsidRPr="00367C0B">
        <w:rPr>
          <w:lang w:val="en-US"/>
        </w:rPr>
        <w:t>The e</w:t>
      </w:r>
      <w:r w:rsidR="004D46B2" w:rsidRPr="00367C0B">
        <w:rPr>
          <w:lang w:val="en-US"/>
        </w:rPr>
        <w:t>xtreme weather</w:t>
      </w:r>
      <w:r w:rsidR="00ED6464" w:rsidRPr="00367C0B">
        <w:rPr>
          <w:lang w:val="en-US"/>
        </w:rPr>
        <w:t xml:space="preserve"> indicator is composed of two main risks: atmospheric instability (which is conducive to thunderstorms and storms) and </w:t>
      </w:r>
      <w:r w:rsidR="00FC3226" w:rsidRPr="00367C0B">
        <w:rPr>
          <w:lang w:val="en-US"/>
        </w:rPr>
        <w:t xml:space="preserve">high </w:t>
      </w:r>
      <w:r w:rsidR="00ED6464" w:rsidRPr="00367C0B">
        <w:rPr>
          <w:lang w:val="en-US"/>
        </w:rPr>
        <w:t>wind</w:t>
      </w:r>
      <w:r w:rsidR="00FC3226" w:rsidRPr="00367C0B">
        <w:rPr>
          <w:lang w:val="en-US"/>
        </w:rPr>
        <w:t xml:space="preserve"> and gusts</w:t>
      </w:r>
      <w:r w:rsidR="00ED6464" w:rsidRPr="00367C0B">
        <w:rPr>
          <w:lang w:val="en-US"/>
        </w:rPr>
        <w:t>.</w:t>
      </w:r>
      <w:r w:rsidR="004D46B2" w:rsidRPr="00367C0B">
        <w:rPr>
          <w:lang w:val="en-US"/>
        </w:rPr>
        <w:t xml:space="preserve"> </w:t>
      </w:r>
      <w:r w:rsidR="006E4005" w:rsidRPr="00367C0B">
        <w:rPr>
          <w:lang w:val="en-US"/>
        </w:rPr>
        <w:t>While high wind and gust are</w:t>
      </w:r>
      <w:r w:rsidR="00DF04E9" w:rsidRPr="00367C0B">
        <w:rPr>
          <w:lang w:val="en-US"/>
        </w:rPr>
        <w:t xml:space="preserve"> expected to remain stable through the 2030s to 2050s under both scenarios</w:t>
      </w:r>
      <w:r w:rsidR="005850FE" w:rsidRPr="00367C0B">
        <w:rPr>
          <w:lang w:val="en-US"/>
        </w:rPr>
        <w:t>, with moderate</w:t>
      </w:r>
      <w:r w:rsidR="00C63131" w:rsidRPr="00367C0B">
        <w:rPr>
          <w:lang w:val="en-US"/>
        </w:rPr>
        <w:t xml:space="preserve"> exposure</w:t>
      </w:r>
      <w:r w:rsidR="00B5111E" w:rsidRPr="00367C0B">
        <w:rPr>
          <w:lang w:val="en-US"/>
        </w:rPr>
        <w:t>, atmospheric instability is expected to increase</w:t>
      </w:r>
      <w:r w:rsidR="00DA062C" w:rsidRPr="00367C0B">
        <w:rPr>
          <w:lang w:val="en-US"/>
        </w:rPr>
        <w:t xml:space="preserve"> and r</w:t>
      </w:r>
      <w:r w:rsidR="00633241">
        <w:rPr>
          <w:lang w:val="en-US"/>
        </w:rPr>
        <w:t>ea</w:t>
      </w:r>
      <w:r w:rsidR="00DA062C" w:rsidRPr="00367C0B">
        <w:rPr>
          <w:lang w:val="en-US"/>
        </w:rPr>
        <w:t>ch a high level of risk exposure</w:t>
      </w:r>
      <w:r w:rsidR="00442CF7" w:rsidRPr="00367C0B">
        <w:rPr>
          <w:lang w:val="en-US"/>
        </w:rPr>
        <w:t xml:space="preserve"> by 2030 under scenario SSP5-8.5 and by 2040 under scenario SSP2-</w:t>
      </w:r>
      <w:r w:rsidR="007D7C43" w:rsidRPr="00367C0B">
        <w:rPr>
          <w:lang w:val="en-US"/>
        </w:rPr>
        <w:t>8.5.</w:t>
      </w:r>
      <w:r w:rsidR="00DF04E9" w:rsidRPr="00367C0B">
        <w:rPr>
          <w:lang w:val="en-US"/>
        </w:rPr>
        <w:t xml:space="preserve"> </w:t>
      </w:r>
      <w:r w:rsidR="007D7C43" w:rsidRPr="00367C0B">
        <w:rPr>
          <w:lang w:val="en-US"/>
        </w:rPr>
        <w:t xml:space="preserve">ASCO should </w:t>
      </w:r>
      <w:r w:rsidR="000D4A7A">
        <w:rPr>
          <w:lang w:val="en-US"/>
        </w:rPr>
        <w:t>keep the same standards and</w:t>
      </w:r>
      <w:r w:rsidR="002E7811">
        <w:rPr>
          <w:lang w:val="en-US"/>
        </w:rPr>
        <w:t xml:space="preserve"> pursue its</w:t>
      </w:r>
      <w:r w:rsidR="000D4A7A">
        <w:rPr>
          <w:lang w:val="en-US"/>
        </w:rPr>
        <w:t xml:space="preserve"> continuous improvement processes in term of preparedness</w:t>
      </w:r>
      <w:r w:rsidR="00FE6CA8">
        <w:rPr>
          <w:lang w:val="en-US"/>
        </w:rPr>
        <w:t xml:space="preserve"> </w:t>
      </w:r>
      <w:r w:rsidR="000D4A7A">
        <w:rPr>
          <w:lang w:val="en-US"/>
        </w:rPr>
        <w:t>to cope with</w:t>
      </w:r>
      <w:r w:rsidR="007D7C43" w:rsidRPr="00367C0B">
        <w:rPr>
          <w:lang w:val="en-US"/>
        </w:rPr>
        <w:t xml:space="preserve"> extreme weather events, as they are likely to increase in the future,</w:t>
      </w:r>
      <w:r w:rsidR="00C55727" w:rsidRPr="00367C0B">
        <w:rPr>
          <w:lang w:val="en-US"/>
        </w:rPr>
        <w:t xml:space="preserve"> </w:t>
      </w:r>
      <w:r w:rsidR="000D4A7A">
        <w:rPr>
          <w:lang w:val="en-US"/>
        </w:rPr>
        <w:t>by</w:t>
      </w:r>
      <w:r w:rsidR="007B14E9">
        <w:rPr>
          <w:lang w:val="en-US"/>
        </w:rPr>
        <w:t xml:space="preserve"> reassessing periodically</w:t>
      </w:r>
      <w:r w:rsidR="00C55727" w:rsidRPr="00367C0B">
        <w:rPr>
          <w:lang w:val="en-US"/>
        </w:rPr>
        <w:t xml:space="preserve"> emergency plans for</w:t>
      </w:r>
      <w:r w:rsidR="00CD3AAF" w:rsidRPr="00367C0B">
        <w:rPr>
          <w:lang w:val="en-US"/>
        </w:rPr>
        <w:t xml:space="preserve"> </w:t>
      </w:r>
      <w:r w:rsidR="00C55727" w:rsidRPr="00367C0B">
        <w:rPr>
          <w:lang w:val="en-US"/>
        </w:rPr>
        <w:t>events that could disrupt operations</w:t>
      </w:r>
      <w:r w:rsidR="00CD3AAF" w:rsidRPr="00367C0B">
        <w:rPr>
          <w:lang w:val="en-US"/>
        </w:rPr>
        <w:t xml:space="preserve"> </w:t>
      </w:r>
      <w:r w:rsidR="002E7811">
        <w:rPr>
          <w:lang w:val="en-US"/>
        </w:rPr>
        <w:t>in order to</w:t>
      </w:r>
      <w:r w:rsidR="002E7811" w:rsidRPr="00367C0B">
        <w:rPr>
          <w:lang w:val="en-US"/>
        </w:rPr>
        <w:t xml:space="preserve"> </w:t>
      </w:r>
      <w:r w:rsidR="00C55727" w:rsidRPr="00367C0B">
        <w:rPr>
          <w:lang w:val="en-US"/>
        </w:rPr>
        <w:t>protect the welfare of employees.</w:t>
      </w:r>
    </w:p>
    <w:p w14:paraId="50E34836" w14:textId="77777777" w:rsidR="007854C5" w:rsidRPr="00367C0B" w:rsidRDefault="007854C5" w:rsidP="007854C5">
      <w:pPr>
        <w:pStyle w:val="Paragraphedeliste"/>
        <w:rPr>
          <w:lang w:val="en-US"/>
        </w:rPr>
      </w:pPr>
    </w:p>
    <w:p w14:paraId="695083F5" w14:textId="74684B5D" w:rsidR="007854C5" w:rsidRPr="00367C0B" w:rsidRDefault="0093125B" w:rsidP="00550018">
      <w:pPr>
        <w:pStyle w:val="Titre3"/>
        <w:numPr>
          <w:ilvl w:val="0"/>
          <w:numId w:val="17"/>
        </w:numPr>
        <w:rPr>
          <w:lang w:val="en-US"/>
        </w:rPr>
      </w:pPr>
      <w:bookmarkStart w:id="29" w:name="_Toc183015099"/>
      <w:r w:rsidRPr="00367C0B">
        <w:rPr>
          <w:lang w:val="en-US"/>
        </w:rPr>
        <w:t xml:space="preserve">Focus results on </w:t>
      </w:r>
      <w:r w:rsidR="009130C1" w:rsidRPr="00367C0B">
        <w:rPr>
          <w:lang w:val="en-US"/>
        </w:rPr>
        <w:t>h</w:t>
      </w:r>
      <w:r w:rsidRPr="00367C0B">
        <w:rPr>
          <w:lang w:val="en-US"/>
        </w:rPr>
        <w:t>igh temp</w:t>
      </w:r>
      <w:r w:rsidR="00FB0E14" w:rsidRPr="00367C0B">
        <w:rPr>
          <w:lang w:val="en-US"/>
        </w:rPr>
        <w:t>e</w:t>
      </w:r>
      <w:r w:rsidRPr="00367C0B">
        <w:rPr>
          <w:lang w:val="en-US"/>
        </w:rPr>
        <w:t>ra</w:t>
      </w:r>
      <w:r w:rsidR="00FB0E14" w:rsidRPr="00367C0B">
        <w:rPr>
          <w:lang w:val="en-US"/>
        </w:rPr>
        <w:t>t</w:t>
      </w:r>
      <w:r w:rsidRPr="00367C0B">
        <w:rPr>
          <w:lang w:val="en-US"/>
        </w:rPr>
        <w:t xml:space="preserve">ure and </w:t>
      </w:r>
      <w:r w:rsidR="009130C1" w:rsidRPr="00367C0B">
        <w:rPr>
          <w:lang w:val="en-US"/>
        </w:rPr>
        <w:t>h</w:t>
      </w:r>
      <w:r w:rsidRPr="00367C0B">
        <w:rPr>
          <w:lang w:val="en-US"/>
        </w:rPr>
        <w:t xml:space="preserve">eat </w:t>
      </w:r>
      <w:r w:rsidR="008911C8" w:rsidRPr="00367C0B">
        <w:rPr>
          <w:lang w:val="en-US"/>
        </w:rPr>
        <w:t>for ASCO’s assets</w:t>
      </w:r>
      <w:bookmarkEnd w:id="29"/>
    </w:p>
    <w:p w14:paraId="56535E99" w14:textId="4C6D8426" w:rsidR="008911C8" w:rsidRPr="00367C0B" w:rsidRDefault="0091331A" w:rsidP="008911C8">
      <w:pPr>
        <w:rPr>
          <w:lang w:val="en-US"/>
        </w:rPr>
      </w:pPr>
      <w:r w:rsidRPr="00367C0B">
        <w:rPr>
          <w:lang w:val="en-US"/>
        </w:rPr>
        <w:t xml:space="preserve">While the exposure level for high temperatures, heatwaves and </w:t>
      </w:r>
      <w:r w:rsidR="003D67C5" w:rsidRPr="00367C0B">
        <w:rPr>
          <w:lang w:val="en-US"/>
        </w:rPr>
        <w:t>heat stress</w:t>
      </w:r>
      <w:r w:rsidRPr="00367C0B">
        <w:rPr>
          <w:lang w:val="en-US"/>
        </w:rPr>
        <w:t xml:space="preserve"> remain</w:t>
      </w:r>
      <w:r w:rsidR="003D67C5" w:rsidRPr="00367C0B">
        <w:rPr>
          <w:lang w:val="en-US"/>
        </w:rPr>
        <w:t xml:space="preserve">s </w:t>
      </w:r>
      <w:r w:rsidRPr="00367C0B">
        <w:rPr>
          <w:lang w:val="en-US"/>
        </w:rPr>
        <w:t>moderate</w:t>
      </w:r>
      <w:r w:rsidR="003D67C5" w:rsidRPr="00367C0B">
        <w:rPr>
          <w:lang w:val="en-US"/>
        </w:rPr>
        <w:t xml:space="preserve"> (level 3) for all three ASCO assets</w:t>
      </w:r>
      <w:r w:rsidR="00FC35DF" w:rsidRPr="00367C0B">
        <w:rPr>
          <w:lang w:val="en-US"/>
        </w:rPr>
        <w:t xml:space="preserve"> </w:t>
      </w:r>
      <w:r w:rsidR="00041E4A" w:rsidRPr="00367C0B">
        <w:rPr>
          <w:lang w:val="en-US"/>
        </w:rPr>
        <w:t>through</w:t>
      </w:r>
      <w:r w:rsidR="00FC35DF" w:rsidRPr="00367C0B">
        <w:rPr>
          <w:lang w:val="en-US"/>
        </w:rPr>
        <w:t xml:space="preserve"> 2050, </w:t>
      </w:r>
      <w:r w:rsidR="00A6588F" w:rsidRPr="00367C0B">
        <w:rPr>
          <w:lang w:val="en-US"/>
        </w:rPr>
        <w:t>important</w:t>
      </w:r>
      <w:r w:rsidR="00E4559A" w:rsidRPr="00367C0B">
        <w:rPr>
          <w:lang w:val="en-US"/>
        </w:rPr>
        <w:t xml:space="preserve"> increases are still expected</w:t>
      </w:r>
      <w:r w:rsidR="00041E4A" w:rsidRPr="00367C0B">
        <w:rPr>
          <w:lang w:val="en-US"/>
        </w:rPr>
        <w:t xml:space="preserve">. </w:t>
      </w:r>
      <w:r w:rsidR="008A29FB" w:rsidRPr="00367C0B">
        <w:rPr>
          <w:lang w:val="en-US"/>
        </w:rPr>
        <w:t>Graphs</w:t>
      </w:r>
      <w:r w:rsidR="00EC720C" w:rsidRPr="00367C0B">
        <w:rPr>
          <w:lang w:val="en-US"/>
        </w:rPr>
        <w:t xml:space="preserve"> below </w:t>
      </w:r>
      <w:r w:rsidR="008A29FB" w:rsidRPr="00367C0B">
        <w:rPr>
          <w:lang w:val="en-US"/>
        </w:rPr>
        <w:t>present</w:t>
      </w:r>
      <w:r w:rsidR="0035299E">
        <w:rPr>
          <w:lang w:val="en-US"/>
        </w:rPr>
        <w:t xml:space="preserve"> the</w:t>
      </w:r>
      <w:r w:rsidR="008A29FB" w:rsidRPr="00367C0B">
        <w:rPr>
          <w:lang w:val="en-US"/>
        </w:rPr>
        <w:t xml:space="preserve"> main</w:t>
      </w:r>
      <w:r w:rsidR="0035299E">
        <w:rPr>
          <w:lang w:val="en-US"/>
        </w:rPr>
        <w:t xml:space="preserve"> climate</w:t>
      </w:r>
      <w:r w:rsidR="008A29FB" w:rsidRPr="00367C0B">
        <w:rPr>
          <w:lang w:val="en-US"/>
        </w:rPr>
        <w:t xml:space="preserve"> indicators of heat</w:t>
      </w:r>
      <w:r w:rsidR="00507ED9" w:rsidRPr="00367C0B">
        <w:rPr>
          <w:lang w:val="en-US"/>
        </w:rPr>
        <w:t xml:space="preserve"> and high temperature.</w:t>
      </w:r>
    </w:p>
    <w:p w14:paraId="428637E2" w14:textId="308E16C5" w:rsidR="00213469" w:rsidRPr="00367C0B" w:rsidRDefault="00213469" w:rsidP="00213469">
      <w:pPr>
        <w:rPr>
          <w:lang w:val="en-US"/>
        </w:rPr>
      </w:pPr>
      <w:r w:rsidRPr="00367C0B">
        <w:rPr>
          <w:lang w:val="en-US"/>
        </w:rPr>
        <w:t>The first graph represents the evolution of heatwave frequency and gravity through various times horizons and climate scenarios. A heat wave occurs when daily minimum and maximum temperatures exceed 22°C and 30°C, respectively, over at least 3 days.</w:t>
      </w:r>
      <w:r w:rsidR="006970B7" w:rsidRPr="00367C0B">
        <w:rPr>
          <w:lang w:val="en-US"/>
        </w:rPr>
        <w:t xml:space="preserve"> </w:t>
      </w:r>
      <w:r w:rsidR="00AB7915" w:rsidRPr="00367C0B">
        <w:rPr>
          <w:lang w:val="en-US"/>
        </w:rPr>
        <w:t>Heatwave frequency is therefore expected to almost double by 2030 in both studied climate scenarios</w:t>
      </w:r>
      <w:r w:rsidR="003C0965" w:rsidRPr="00367C0B">
        <w:rPr>
          <w:lang w:val="en-US"/>
        </w:rPr>
        <w:t xml:space="preserve"> </w:t>
      </w:r>
      <w:r w:rsidR="003C0965" w:rsidRPr="00367C0B">
        <w:rPr>
          <w:lang w:val="en-US"/>
        </w:rPr>
        <w:lastRenderedPageBreak/>
        <w:t xml:space="preserve">while its maximum length, measuring the gravity of heatwaves, </w:t>
      </w:r>
      <w:r w:rsidR="008C5F2E" w:rsidRPr="00367C0B">
        <w:rPr>
          <w:lang w:val="en-US"/>
        </w:rPr>
        <w:t>will increase by five time</w:t>
      </w:r>
      <w:r w:rsidR="00334A6B" w:rsidRPr="00367C0B">
        <w:rPr>
          <w:lang w:val="en-US"/>
        </w:rPr>
        <w:t>s</w:t>
      </w:r>
      <w:r w:rsidR="008C5F2E" w:rsidRPr="00367C0B">
        <w:rPr>
          <w:lang w:val="en-US"/>
        </w:rPr>
        <w:t xml:space="preserve"> in 2050 under SSP5-8.5 scenario and by </w:t>
      </w:r>
      <w:r w:rsidR="00334A6B" w:rsidRPr="00367C0B">
        <w:rPr>
          <w:lang w:val="en-US"/>
        </w:rPr>
        <w:t xml:space="preserve">three times in SSP2-4.5 scenario. </w:t>
      </w:r>
    </w:p>
    <w:p w14:paraId="24158069" w14:textId="207382DE" w:rsidR="0087463F" w:rsidRPr="00367C0B" w:rsidRDefault="00CD1BD6" w:rsidP="008911C8">
      <w:pPr>
        <w:rPr>
          <w:lang w:val="en-US"/>
        </w:rPr>
      </w:pPr>
      <w:r w:rsidRPr="00367C0B">
        <w:rPr>
          <w:lang w:val="en-US"/>
        </w:rPr>
        <w:t>The second graph represents the evolution of mean and maximum annual temperatures</w:t>
      </w:r>
      <w:r w:rsidR="0033290B" w:rsidRPr="00367C0B">
        <w:rPr>
          <w:lang w:val="en-US"/>
        </w:rPr>
        <w:t xml:space="preserve"> across the three ASCO assets</w:t>
      </w:r>
      <w:r w:rsidR="007C6E8A">
        <w:rPr>
          <w:lang w:val="en-US"/>
        </w:rPr>
        <w:t xml:space="preserve"> </w:t>
      </w:r>
      <w:proofErr w:type="spellStart"/>
      <w:r w:rsidR="007C6E8A">
        <w:rPr>
          <w:lang w:val="en-US"/>
        </w:rPr>
        <w:t>analysed</w:t>
      </w:r>
      <w:proofErr w:type="spellEnd"/>
      <w:r w:rsidR="0033290B" w:rsidRPr="00367C0B">
        <w:rPr>
          <w:lang w:val="en-US"/>
        </w:rPr>
        <w:t xml:space="preserve">. </w:t>
      </w:r>
      <w:r w:rsidR="00B9425D" w:rsidRPr="00367C0B">
        <w:rPr>
          <w:lang w:val="en-US"/>
        </w:rPr>
        <w:t xml:space="preserve">Both indicators increase by an average of 4°C by 2050 in both scenarios. </w:t>
      </w:r>
    </w:p>
    <w:p w14:paraId="6AD12DF2" w14:textId="5A52CCE0" w:rsidR="00F2177C" w:rsidRPr="007B147B" w:rsidRDefault="0087463F" w:rsidP="00060EDB">
      <w:pPr>
        <w:rPr>
          <w:lang w:val="en-US"/>
        </w:rPr>
      </w:pPr>
      <w:r w:rsidRPr="00367C0B">
        <w:rPr>
          <w:noProof/>
          <w:lang w:val="en-US"/>
        </w:rPr>
        <mc:AlternateContent>
          <mc:Choice Requires="wps">
            <w:drawing>
              <wp:anchor distT="0" distB="0" distL="114300" distR="114300" simplePos="0" relativeHeight="251658243" behindDoc="0" locked="0" layoutInCell="1" allowOverlap="1" wp14:anchorId="687D6F23" wp14:editId="52F4815B">
                <wp:simplePos x="0" y="0"/>
                <wp:positionH relativeFrom="column">
                  <wp:posOffset>0</wp:posOffset>
                </wp:positionH>
                <wp:positionV relativeFrom="paragraph">
                  <wp:posOffset>4340860</wp:posOffset>
                </wp:positionV>
                <wp:extent cx="5752465" cy="635"/>
                <wp:effectExtent l="0" t="0" r="0" b="0"/>
                <wp:wrapTopAndBottom/>
                <wp:docPr id="1107473968" name="Text Box 1"/>
                <wp:cNvGraphicFramePr/>
                <a:graphic xmlns:a="http://schemas.openxmlformats.org/drawingml/2006/main">
                  <a:graphicData uri="http://schemas.microsoft.com/office/word/2010/wordprocessingShape">
                    <wps:wsp>
                      <wps:cNvSpPr txBox="1"/>
                      <wps:spPr>
                        <a:xfrm>
                          <a:off x="0" y="0"/>
                          <a:ext cx="5752465" cy="635"/>
                        </a:xfrm>
                        <a:prstGeom prst="rect">
                          <a:avLst/>
                        </a:prstGeom>
                        <a:solidFill>
                          <a:prstClr val="white"/>
                        </a:solidFill>
                        <a:ln>
                          <a:noFill/>
                        </a:ln>
                      </wps:spPr>
                      <wps:txbx>
                        <w:txbxContent>
                          <w:p w14:paraId="42C6E821" w14:textId="6523937B" w:rsidR="0087463F" w:rsidRPr="0087463F" w:rsidRDefault="0087463F" w:rsidP="0087463F">
                            <w:pPr>
                              <w:pStyle w:val="Lgende"/>
                              <w:rPr>
                                <w:b/>
                                <w:i/>
                                <w:sz w:val="22"/>
                                <w:szCs w:val="22"/>
                                <w:lang w:val="en-GB"/>
                              </w:rPr>
                            </w:pPr>
                            <w:r w:rsidRPr="0087463F">
                              <w:rPr>
                                <w:i/>
                              </w:rPr>
                              <w:t xml:space="preserve">Figure </w:t>
                            </w:r>
                            <w:r w:rsidR="00784108">
                              <w:rPr>
                                <w:b/>
                                <w:i/>
                              </w:rPr>
                              <w:fldChar w:fldCharType="begin"/>
                            </w:r>
                            <w:r w:rsidR="00784108">
                              <w:rPr>
                                <w:i/>
                              </w:rPr>
                              <w:instrText xml:space="preserve"> SEQ Figure \* ARABIC </w:instrText>
                            </w:r>
                            <w:r w:rsidR="00784108">
                              <w:rPr>
                                <w:b/>
                                <w:i/>
                              </w:rPr>
                              <w:fldChar w:fldCharType="separate"/>
                            </w:r>
                            <w:r w:rsidR="00227941">
                              <w:rPr>
                                <w:i/>
                                <w:noProof/>
                              </w:rPr>
                              <w:t>6</w:t>
                            </w:r>
                            <w:r w:rsidR="00784108">
                              <w:rPr>
                                <w:b/>
                                <w:i/>
                              </w:rPr>
                              <w:fldChar w:fldCharType="end"/>
                            </w:r>
                            <w:r w:rsidRPr="0087463F">
                              <w:rPr>
                                <w:i/>
                              </w:rPr>
                              <w:t xml:space="preserve"> - Evolution of high temperature and heat indicators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87D6F23" id="_x0000_s1027" type="#_x0000_t202" style="position:absolute;left:0;text-align:left;margin-left:0;margin-top:341.8pt;width:452.95pt;height:.05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" stroked="f">
                <v:textbox style="mso-fit-shape-to-text:t" inset="0,0,0,0">
                  <w:txbxContent>
                    <w:p w14:paraId="42C6E821" w14:textId="6523937B" w:rsidR="0087463F" w:rsidRPr="0087463F" w:rsidRDefault="0087463F" w:rsidP="0087463F">
                      <w:pPr>
                        <w:pStyle w:val="Lgende"/>
                        <w:rPr>
                          <w:b/>
                          <w:i/>
                          <w:sz w:val="22"/>
                          <w:szCs w:val="22"/>
                          <w:lang w:val="en-GB"/>
                        </w:rPr>
                      </w:pPr>
                      <w:r w:rsidRPr="0087463F">
                        <w:rPr>
                          <w:i/>
                        </w:rPr>
                        <w:t xml:space="preserve">Figure </w:t>
                      </w:r>
                      <w:r w:rsidR="00784108">
                        <w:rPr>
                          <w:b/>
                          <w:i/>
                        </w:rPr>
                        <w:fldChar w:fldCharType="begin"/>
                      </w:r>
                      <w:r w:rsidR="00784108">
                        <w:rPr>
                          <w:i/>
                        </w:rPr>
                        <w:instrText xml:space="preserve"> SEQ Figure \* ARABIC </w:instrText>
                      </w:r>
                      <w:r w:rsidR="00784108">
                        <w:rPr>
                          <w:b/>
                          <w:i/>
                        </w:rPr>
                        <w:fldChar w:fldCharType="separate"/>
                      </w:r>
                      <w:r w:rsidR="00227941">
                        <w:rPr>
                          <w:i/>
                          <w:noProof/>
                        </w:rPr>
                        <w:t>6</w:t>
                      </w:r>
                      <w:r w:rsidR="00784108">
                        <w:rPr>
                          <w:b/>
                          <w:i/>
                        </w:rPr>
                        <w:fldChar w:fldCharType="end"/>
                      </w:r>
                      <w:r w:rsidRPr="0087463F">
                        <w:rPr>
                          <w:i/>
                        </w:rPr>
                        <w:t xml:space="preserve"> - Evolution of high temperature and heat indicators</w:t>
                      </w:r>
                    </w:p>
                  </w:txbxContent>
                </v:textbox>
                <w10:wrap type="topAndBottom"/>
              </v:shape>
            </w:pict>
          </mc:Fallback>
        </mc:AlternateContent>
      </w:r>
      <w:r w:rsidR="00507ED9" w:rsidRPr="00367C0B">
        <w:rPr>
          <w:noProof/>
          <w:lang w:val="en-US"/>
        </w:rPr>
        <mc:AlternateContent>
          <mc:Choice Requires="wpg">
            <w:drawing>
              <wp:anchor distT="0" distB="0" distL="114300" distR="114300" simplePos="0" relativeHeight="251658242" behindDoc="0" locked="0" layoutInCell="1" allowOverlap="1" wp14:anchorId="3230F656" wp14:editId="145A7AB6">
                <wp:simplePos x="0" y="0"/>
                <wp:positionH relativeFrom="margin">
                  <wp:align>left</wp:align>
                </wp:positionH>
                <wp:positionV relativeFrom="paragraph">
                  <wp:posOffset>301</wp:posOffset>
                </wp:positionV>
                <wp:extent cx="5752648" cy="4283710"/>
                <wp:effectExtent l="0" t="0" r="635" b="2540"/>
                <wp:wrapTopAndBottom/>
                <wp:docPr id="1138904186" name="Group 1"/>
                <wp:cNvGraphicFramePr/>
                <a:graphic xmlns:a="http://schemas.openxmlformats.org/drawingml/2006/main">
                  <a:graphicData uri="http://schemas.microsoft.com/office/word/2010/wordprocessingGroup">
                    <wpg:wgp>
                      <wpg:cNvGrpSpPr/>
                      <wpg:grpSpPr>
                        <a:xfrm>
                          <a:off x="0" y="0"/>
                          <a:ext cx="5752648" cy="4283710"/>
                          <a:chOff x="0" y="0"/>
                          <a:chExt cx="5752648" cy="4283710"/>
                        </a:xfrm>
                      </wpg:grpSpPr>
                      <wpg:graphicFrame>
                        <wpg:cNvPr id="169761076" name="Chart 1">
                          <a:extLst>
                            <a:ext uri="{FF2B5EF4-FFF2-40B4-BE49-F238E27FC236}">
                              <a16:creationId xmlns:a16="http://schemas.microsoft.com/office/drawing/2014/main" id="{AC020A10-3FBD-347F-E656-7330C624CFD8}"/>
                            </a:ext>
                          </a:extLst>
                        </wpg:cNvPr>
                        <wpg:cNvFrPr/>
                        <wpg:xfrm>
                          <a:off x="0" y="0"/>
                          <a:ext cx="2967355" cy="4283710"/>
                        </wpg:xfrm>
                        <a:graphic>
                          <a:graphicData uri="http://schemas.openxmlformats.org/drawingml/2006/chart">
                            <c:chart xmlns:c="http://schemas.openxmlformats.org/drawingml/2006/chart" xmlns:r="http://schemas.openxmlformats.org/officeDocument/2006/relationships" r:id="rId19"/>
                          </a:graphicData>
                        </a:graphic>
                      </wpg:graphicFrame>
                      <wpg:graphicFrame>
                        <wpg:cNvPr id="1416684663" name="Chart 1">
                          <a:extLst>
                            <a:ext uri="{FF2B5EF4-FFF2-40B4-BE49-F238E27FC236}">
                              <a16:creationId xmlns:a16="http://schemas.microsoft.com/office/drawing/2014/main" id="{270BE3EF-33D3-40B1-A6D4-5DE5193AD21E}"/>
                            </a:ext>
                          </a:extLst>
                        </wpg:cNvPr>
                        <wpg:cNvFrPr/>
                        <wpg:xfrm>
                          <a:off x="2944678" y="0"/>
                          <a:ext cx="2807970" cy="4283710"/>
                        </wpg:xfrm>
                        <a:graphic>
                          <a:graphicData uri="http://schemas.openxmlformats.org/drawingml/2006/chart">
                            <c:chart xmlns:c="http://schemas.openxmlformats.org/drawingml/2006/chart" xmlns:r="http://schemas.openxmlformats.org/officeDocument/2006/relationships" r:id="rId20"/>
                          </a:graphicData>
                        </a:graphic>
                      </wpg:graphicFrame>
                    </wpg:wgp>
                  </a:graphicData>
                </a:graphic>
              </wp:anchor>
            </w:drawing>
          </mc:Choice>
          <mc:Fallback xmlns:arto="http://schemas.microsoft.com/office/word/2006/arto">
            <w:pict>
              <v:group w14:anchorId="4550C1E9" id="Group 1" o:spid="_x0000_s1026" style="position:absolute;margin-left:0;margin-top:0;width:452.95pt;height:337.3pt;z-index:251660289;mso-position-horizontal:left;mso-position-horizontal-relative:margin" coordsize="57526,42837" o:gfxdata="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1" o:spid="_x0000_s1027" type="#_x0000_t75" style="position:absolute;width:29687;height:4285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">
                  <v:imagedata r:id="rId25" o:title=""/>
                  <o:lock v:ext="edit" aspectratio="f"/>
                </v:shape>
                <v:shape id="Chart 1" o:spid="_x0000_s1028" type="#_x0000_t75" style="position:absolute;left:29443;width:28103;height:4285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">
                  <v:imagedata r:id="rId26" o:title=""/>
                  <o:lock v:ext="edit" aspectratio="f"/>
                </v:shape>
                <w10:wrap type="topAndBottom" anchorx="margin"/>
              </v:group>
            </w:pict>
          </mc:Fallback>
        </mc:AlternateContent>
      </w:r>
      <w:r w:rsidR="00632A6B" w:rsidRPr="007B147B">
        <w:rPr>
          <w:lang w:val="en-US"/>
        </w:rPr>
        <w:t xml:space="preserve">Particularly high temperatures and </w:t>
      </w:r>
      <w:r w:rsidR="00BC5CF8" w:rsidRPr="007B147B">
        <w:rPr>
          <w:lang w:val="en-US"/>
        </w:rPr>
        <w:t>extensive</w:t>
      </w:r>
      <w:r w:rsidR="00632A6B" w:rsidRPr="007B147B">
        <w:rPr>
          <w:lang w:val="en-US"/>
        </w:rPr>
        <w:t xml:space="preserve"> heatwaves are </w:t>
      </w:r>
      <w:r w:rsidR="00BC5CF8" w:rsidRPr="007B147B">
        <w:rPr>
          <w:lang w:val="en-US"/>
        </w:rPr>
        <w:t>especially</w:t>
      </w:r>
      <w:r w:rsidR="00632A6B" w:rsidRPr="007B147B">
        <w:rPr>
          <w:lang w:val="en-US"/>
        </w:rPr>
        <w:t xml:space="preserve"> dangerous for </w:t>
      </w:r>
      <w:r w:rsidR="00BC5CF8" w:rsidRPr="007B147B">
        <w:rPr>
          <w:lang w:val="en-US"/>
        </w:rPr>
        <w:t>employees</w:t>
      </w:r>
      <w:r w:rsidR="005A6E9C" w:rsidRPr="007B147B">
        <w:rPr>
          <w:lang w:val="en-US"/>
        </w:rPr>
        <w:t xml:space="preserve"> and affect both their health and </w:t>
      </w:r>
      <w:r w:rsidR="003C0854" w:rsidRPr="007B147B">
        <w:rPr>
          <w:lang w:val="en-US"/>
        </w:rPr>
        <w:t>productivity</w:t>
      </w:r>
      <w:r w:rsidR="005A6E9C" w:rsidRPr="007B147B">
        <w:rPr>
          <w:lang w:val="en-US"/>
        </w:rPr>
        <w:t xml:space="preserve">. </w:t>
      </w:r>
      <w:r w:rsidR="007B0459" w:rsidRPr="007B147B">
        <w:rPr>
          <w:lang w:val="en-US"/>
        </w:rPr>
        <w:t xml:space="preserve">Safety guidelines should be </w:t>
      </w:r>
      <w:r w:rsidR="001D7FD8" w:rsidRPr="007B147B">
        <w:rPr>
          <w:lang w:val="en-US"/>
        </w:rPr>
        <w:t xml:space="preserve">in line </w:t>
      </w:r>
      <w:r w:rsidR="007B0459" w:rsidRPr="007B147B">
        <w:rPr>
          <w:lang w:val="en-US"/>
        </w:rPr>
        <w:t xml:space="preserve"> with </w:t>
      </w:r>
      <w:r w:rsidR="00CC02BE" w:rsidRPr="007B147B">
        <w:rPr>
          <w:lang w:val="en-US"/>
        </w:rPr>
        <w:t>local regulations and</w:t>
      </w:r>
      <w:r w:rsidR="001D7FD8" w:rsidRPr="007B147B">
        <w:rPr>
          <w:lang w:val="en-US"/>
        </w:rPr>
        <w:t xml:space="preserve"> </w:t>
      </w:r>
      <w:r w:rsidR="00101056" w:rsidRPr="007B147B">
        <w:rPr>
          <w:lang w:val="en-US"/>
        </w:rPr>
        <w:t>strengthen with</w:t>
      </w:r>
      <w:r w:rsidR="00CC02BE" w:rsidRPr="007B147B">
        <w:rPr>
          <w:lang w:val="en-US"/>
        </w:rPr>
        <w:t xml:space="preserve"> medical guidance to </w:t>
      </w:r>
      <w:r w:rsidR="00E66F40" w:rsidRPr="007B147B">
        <w:rPr>
          <w:lang w:val="en-US"/>
        </w:rPr>
        <w:t xml:space="preserve">protect employees from high temperatures. Mitigation measure such as </w:t>
      </w:r>
      <w:r w:rsidR="00F2177C" w:rsidRPr="007B147B">
        <w:rPr>
          <w:lang w:val="en-US"/>
        </w:rPr>
        <w:t>retrofitting</w:t>
      </w:r>
      <w:r w:rsidR="00E66F40" w:rsidRPr="007B147B">
        <w:rPr>
          <w:lang w:val="en-US"/>
        </w:rPr>
        <w:t xml:space="preserve"> grounds and </w:t>
      </w:r>
      <w:r w:rsidR="00F2177C" w:rsidRPr="007B147B">
        <w:rPr>
          <w:lang w:val="en-US"/>
        </w:rPr>
        <w:t xml:space="preserve">roofs </w:t>
      </w:r>
      <w:r w:rsidR="00E66F40" w:rsidRPr="007B147B">
        <w:rPr>
          <w:lang w:val="en-US"/>
        </w:rPr>
        <w:t xml:space="preserve">into lighter </w:t>
      </w:r>
      <w:r w:rsidR="00A12468" w:rsidRPr="007B147B">
        <w:rPr>
          <w:lang w:val="en-US"/>
        </w:rPr>
        <w:t>colors</w:t>
      </w:r>
      <w:r w:rsidR="00E66F40" w:rsidRPr="007B147B">
        <w:rPr>
          <w:lang w:val="en-US"/>
        </w:rPr>
        <w:t xml:space="preserve"> </w:t>
      </w:r>
      <w:r w:rsidR="00F2177C" w:rsidRPr="007B147B">
        <w:rPr>
          <w:lang w:val="en-US"/>
        </w:rPr>
        <w:t>can also be considered by ASCO.</w:t>
      </w:r>
      <w:r w:rsidR="00101056" w:rsidRPr="007B147B">
        <w:rPr>
          <w:lang w:val="en-US"/>
        </w:rPr>
        <w:t xml:space="preserve"> For instance, </w:t>
      </w:r>
      <w:r w:rsidR="00053BD1" w:rsidRPr="007B147B">
        <w:rPr>
          <w:lang w:val="en-US"/>
        </w:rPr>
        <w:t xml:space="preserve">painting </w:t>
      </w:r>
      <w:r w:rsidR="00294B7F" w:rsidRPr="007B147B">
        <w:rPr>
          <w:lang w:val="en-US"/>
        </w:rPr>
        <w:t xml:space="preserve">rooftops in white </w:t>
      </w:r>
      <w:r w:rsidR="0023209F" w:rsidRPr="007B147B">
        <w:rPr>
          <w:lang w:val="en-US"/>
        </w:rPr>
        <w:t>could prove to decrease</w:t>
      </w:r>
      <w:r w:rsidR="00E422E2" w:rsidRPr="007B147B">
        <w:rPr>
          <w:lang w:val="en-US"/>
        </w:rPr>
        <w:t xml:space="preserve"> overall</w:t>
      </w:r>
      <w:r w:rsidR="0023209F" w:rsidRPr="007B147B">
        <w:rPr>
          <w:lang w:val="en-US"/>
        </w:rPr>
        <w:t xml:space="preserve"> temperatures in buildings</w:t>
      </w:r>
      <w:r w:rsidR="00E422E2" w:rsidRPr="007B147B">
        <w:rPr>
          <w:lang w:val="en-US"/>
        </w:rPr>
        <w:t xml:space="preserve"> by </w:t>
      </w:r>
      <w:r w:rsidR="00BB1454" w:rsidRPr="007B147B">
        <w:rPr>
          <w:lang w:val="en-US"/>
        </w:rPr>
        <w:t>1 to 5</w:t>
      </w:r>
      <w:r w:rsidR="00E422E2" w:rsidRPr="007B147B">
        <w:rPr>
          <w:lang w:val="en-US"/>
        </w:rPr>
        <w:t>°C</w:t>
      </w:r>
      <w:r w:rsidR="0023209F" w:rsidRPr="007B147B">
        <w:rPr>
          <w:lang w:val="en-US"/>
        </w:rPr>
        <w:t xml:space="preserve"> and decrease the need for air conditioning </w:t>
      </w:r>
      <w:r w:rsidR="00E422E2" w:rsidRPr="007B147B">
        <w:rPr>
          <w:lang w:val="en-US"/>
        </w:rPr>
        <w:t xml:space="preserve">to </w:t>
      </w:r>
      <w:r w:rsidR="000F4EE6" w:rsidRPr="007B147B">
        <w:rPr>
          <w:lang w:val="en-US"/>
        </w:rPr>
        <w:t>keep temperatures stables for employees in their workplaces</w:t>
      </w:r>
      <w:r w:rsidR="00000909" w:rsidRPr="007B147B">
        <w:rPr>
          <w:lang w:val="en-US"/>
        </w:rPr>
        <w:t xml:space="preserve">. By setting the air conditioning by 1°C warmer could decrease </w:t>
      </w:r>
      <w:r w:rsidR="00C27151" w:rsidRPr="007B147B">
        <w:rPr>
          <w:lang w:val="en-US"/>
        </w:rPr>
        <w:t xml:space="preserve">the </w:t>
      </w:r>
      <w:r w:rsidR="00000909" w:rsidRPr="007B147B">
        <w:rPr>
          <w:lang w:val="en-US"/>
        </w:rPr>
        <w:t xml:space="preserve">average </w:t>
      </w:r>
      <w:r w:rsidR="00C27151" w:rsidRPr="007B147B">
        <w:rPr>
          <w:lang w:val="en-US"/>
        </w:rPr>
        <w:t xml:space="preserve">amount of </w:t>
      </w:r>
      <w:r w:rsidR="00000909" w:rsidRPr="007B147B">
        <w:rPr>
          <w:lang w:val="en-US"/>
        </w:rPr>
        <w:t>electricity use</w:t>
      </w:r>
      <w:r w:rsidR="00C27151" w:rsidRPr="007B147B">
        <w:rPr>
          <w:lang w:val="en-US"/>
        </w:rPr>
        <w:t>d</w:t>
      </w:r>
      <w:r w:rsidR="00000909" w:rsidRPr="007B147B">
        <w:rPr>
          <w:lang w:val="en-US"/>
        </w:rPr>
        <w:t xml:space="preserve"> by 10%</w:t>
      </w:r>
      <w:r w:rsidR="000F4EE6" w:rsidRPr="007B147B">
        <w:rPr>
          <w:lang w:val="en-US"/>
        </w:rPr>
        <w:t>.</w:t>
      </w:r>
      <w:r w:rsidR="00C27151">
        <w:rPr>
          <w:rStyle w:val="Appelnotedebasdep"/>
          <w:lang w:val="en-US"/>
        </w:rPr>
        <w:footnoteReference w:id="3"/>
      </w:r>
    </w:p>
    <w:p w14:paraId="3FA9FF02" w14:textId="4163F364" w:rsidR="00F96C12" w:rsidRPr="00F96C12" w:rsidRDefault="00F96C12" w:rsidP="00F96C12">
      <w:pPr>
        <w:rPr>
          <w:lang w:val="en-US"/>
        </w:rPr>
      </w:pPr>
    </w:p>
    <w:p w14:paraId="37ABBB76" w14:textId="5A72AB0F" w:rsidR="009738BA" w:rsidRPr="0038184F" w:rsidRDefault="00B77676" w:rsidP="00532184">
      <w:pPr>
        <w:pStyle w:val="Titre2"/>
        <w:rPr>
          <w:lang w:val="en-US"/>
        </w:rPr>
      </w:pPr>
      <w:bookmarkStart w:id="30" w:name="_Toc183015100"/>
      <w:r>
        <w:rPr>
          <w:lang w:val="en-US"/>
        </w:rPr>
        <w:t>4</w:t>
      </w:r>
      <w:r w:rsidR="00F85CA9" w:rsidRPr="0038184F">
        <w:rPr>
          <w:lang w:val="en-US"/>
        </w:rPr>
        <w:t xml:space="preserve">. </w:t>
      </w:r>
      <w:r w:rsidR="003D0A4F" w:rsidRPr="0038184F">
        <w:rPr>
          <w:lang w:val="en-US"/>
        </w:rPr>
        <w:t>Analysis of the potential impact of perils</w:t>
      </w:r>
      <w:bookmarkEnd w:id="30"/>
    </w:p>
    <w:p w14:paraId="0C54A4E1" w14:textId="1655BCD3" w:rsidR="009738BA" w:rsidRPr="009738BA" w:rsidRDefault="009738BA" w:rsidP="0095178F">
      <w:pPr>
        <w:rPr>
          <w:lang w:val="en-US"/>
        </w:rPr>
      </w:pPr>
      <w:r w:rsidRPr="009738BA">
        <w:rPr>
          <w:lang w:val="en-US"/>
        </w:rPr>
        <w:t xml:space="preserve">The following table provides a comprehensive overview of the potential impacts that </w:t>
      </w:r>
      <w:r w:rsidR="002A2B26">
        <w:rPr>
          <w:lang w:val="en-US"/>
        </w:rPr>
        <w:t>select</w:t>
      </w:r>
      <w:r w:rsidR="002A2B26" w:rsidRPr="009738BA">
        <w:rPr>
          <w:lang w:val="en-US"/>
        </w:rPr>
        <w:t xml:space="preserve">ed </w:t>
      </w:r>
      <w:r w:rsidRPr="009738BA">
        <w:rPr>
          <w:lang w:val="en-US"/>
        </w:rPr>
        <w:t xml:space="preserve">physical risks may have on the operations of </w:t>
      </w:r>
      <w:r w:rsidR="00C03AEB">
        <w:rPr>
          <w:lang w:val="en-US"/>
        </w:rPr>
        <w:t>ASCO</w:t>
      </w:r>
      <w:r w:rsidRPr="009738BA">
        <w:rPr>
          <w:lang w:val="en-US"/>
        </w:rPr>
        <w:t xml:space="preserve">. These risks, which range from </w:t>
      </w:r>
      <w:r w:rsidR="00C41C32">
        <w:rPr>
          <w:lang w:val="en-US"/>
        </w:rPr>
        <w:lastRenderedPageBreak/>
        <w:t>sea level change</w:t>
      </w:r>
      <w:r w:rsidRPr="009738BA">
        <w:rPr>
          <w:lang w:val="en-US"/>
        </w:rPr>
        <w:t xml:space="preserve"> to extreme temperatures</w:t>
      </w:r>
      <w:r w:rsidR="00C41C32">
        <w:rPr>
          <w:lang w:val="en-US"/>
        </w:rPr>
        <w:t xml:space="preserve"> and storms</w:t>
      </w:r>
      <w:r w:rsidRPr="009738BA">
        <w:rPr>
          <w:lang w:val="en-US"/>
        </w:rPr>
        <w:t xml:space="preserve">, can affect various aspects such as physical damage to assets, operational </w:t>
      </w:r>
      <w:r w:rsidR="00481F8F">
        <w:rPr>
          <w:lang w:val="en-US"/>
        </w:rPr>
        <w:t>discontinuities and employee’s health condition.</w:t>
      </w:r>
      <w:r w:rsidR="00385CF5">
        <w:rPr>
          <w:lang w:val="en-US"/>
        </w:rPr>
        <w:t xml:space="preserve"> As</w:t>
      </w:r>
      <w:r w:rsidR="004721A1">
        <w:rPr>
          <w:lang w:val="en-US"/>
        </w:rPr>
        <w:t xml:space="preserve"> </w:t>
      </w:r>
      <w:r w:rsidR="009D6308">
        <w:rPr>
          <w:lang w:val="en-US"/>
        </w:rPr>
        <w:t xml:space="preserve">all </w:t>
      </w:r>
      <w:r w:rsidR="00C14CC4">
        <w:rPr>
          <w:lang w:val="en-US"/>
        </w:rPr>
        <w:t xml:space="preserve">selected </w:t>
      </w:r>
      <w:r w:rsidR="009D6308">
        <w:rPr>
          <w:lang w:val="en-US"/>
        </w:rPr>
        <w:t xml:space="preserve">assets </w:t>
      </w:r>
      <w:r w:rsidR="00BD41C2">
        <w:rPr>
          <w:lang w:val="en-US"/>
        </w:rPr>
        <w:t xml:space="preserve">have been analyzed as </w:t>
      </w:r>
      <w:r w:rsidR="006256AF">
        <w:rPr>
          <w:lang w:val="en-US"/>
        </w:rPr>
        <w:t xml:space="preserve">subject to low exposure </w:t>
      </w:r>
      <w:r w:rsidR="009D6308">
        <w:rPr>
          <w:lang w:val="en-US"/>
        </w:rPr>
        <w:t>to flood, this risk was excluded from the</w:t>
      </w:r>
      <w:r w:rsidR="0004377D">
        <w:rPr>
          <w:lang w:val="en-US"/>
        </w:rPr>
        <w:t xml:space="preserve"> following analysis.</w:t>
      </w:r>
    </w:p>
    <w:p w14:paraId="2645FCF8" w14:textId="36692216" w:rsidR="009738BA" w:rsidRDefault="009738BA" w:rsidP="0095178F">
      <w:pPr>
        <w:rPr>
          <w:lang w:val="en-US"/>
        </w:rPr>
      </w:pPr>
      <w:r w:rsidRPr="009738BA">
        <w:rPr>
          <w:lang w:val="en-US"/>
        </w:rPr>
        <w:t xml:space="preserve">The construction of this table is based on insights drawn from reports of similar enterprises and is </w:t>
      </w:r>
      <w:r w:rsidR="006E328F">
        <w:rPr>
          <w:lang w:val="en-US"/>
        </w:rPr>
        <w:t>rooted by</w:t>
      </w:r>
      <w:r w:rsidRPr="009738BA">
        <w:rPr>
          <w:lang w:val="en-US"/>
        </w:rPr>
        <w:t xml:space="preserve"> our prior analysis regarding the exposure </w:t>
      </w:r>
      <w:r w:rsidR="003A5B91">
        <w:rPr>
          <w:lang w:val="en-US"/>
        </w:rPr>
        <w:t xml:space="preserve">analysis </w:t>
      </w:r>
      <w:r w:rsidRPr="009738BA">
        <w:rPr>
          <w:lang w:val="en-US"/>
        </w:rPr>
        <w:t xml:space="preserve">and vulnerability of </w:t>
      </w:r>
      <w:r w:rsidR="00481F8F">
        <w:rPr>
          <w:lang w:val="en-US"/>
        </w:rPr>
        <w:t>ASCO</w:t>
      </w:r>
      <w:r w:rsidRPr="009738BA">
        <w:rPr>
          <w:lang w:val="en-US"/>
        </w:rPr>
        <w:t xml:space="preserve">'s assets. This structured approach enables us to anticipate challenges and </w:t>
      </w:r>
      <w:r w:rsidR="003F4B79">
        <w:rPr>
          <w:lang w:val="en-US"/>
        </w:rPr>
        <w:t>strategically prioritize</w:t>
      </w:r>
      <w:r w:rsidRPr="009738BA">
        <w:rPr>
          <w:lang w:val="en-US"/>
        </w:rPr>
        <w:t xml:space="preserve"> </w:t>
      </w:r>
      <w:r w:rsidR="003F4B79">
        <w:rPr>
          <w:lang w:val="en-US"/>
        </w:rPr>
        <w:t>the course of action</w:t>
      </w:r>
      <w:r w:rsidRPr="009738BA">
        <w:rPr>
          <w:lang w:val="en-US"/>
        </w:rPr>
        <w:t xml:space="preserve"> to ensure resilience and continuity in the face of evolving climate-related risks.</w:t>
      </w:r>
    </w:p>
    <w:p w14:paraId="3BA2A0C9" w14:textId="76783F3F" w:rsidR="00C821E7" w:rsidRPr="00481F8F" w:rsidRDefault="005453E3" w:rsidP="00943258">
      <w:pPr>
        <w:rPr>
          <w:lang w:val="en-US"/>
        </w:rPr>
      </w:pPr>
      <w:r w:rsidRPr="005453E3">
        <w:rPr>
          <w:lang w:val="en-US"/>
        </w:rPr>
        <w:t xml:space="preserve">The various potential impacts do not take into account the different adaptation policies already implemented by </w:t>
      </w:r>
      <w:r w:rsidR="00481F8F">
        <w:rPr>
          <w:lang w:val="en-US"/>
        </w:rPr>
        <w:t>ASCO</w:t>
      </w:r>
      <w:r w:rsidR="00E7591B">
        <w:rPr>
          <w:lang w:val="en-US"/>
        </w:rPr>
        <w:t xml:space="preserve"> or its clients</w:t>
      </w:r>
      <w:r w:rsidRPr="005453E3">
        <w:rPr>
          <w:lang w:val="en-US"/>
        </w:rPr>
        <w:t>.</w:t>
      </w:r>
      <w:r w:rsidR="00C821E7" w:rsidRPr="00E7591B">
        <w:rPr>
          <w:lang w:val="en-US"/>
        </w:rPr>
        <w:br w:type="page"/>
      </w:r>
    </w:p>
    <w:p w14:paraId="1BC7ADE3" w14:textId="77777777" w:rsidR="00515DBD" w:rsidRPr="00E7591B" w:rsidRDefault="00515DBD">
      <w:pPr>
        <w:spacing w:after="60" w:line="240" w:lineRule="auto"/>
        <w:jc w:val="center"/>
        <w:rPr>
          <w:b/>
          <w:sz w:val="16"/>
          <w:szCs w:val="16"/>
          <w:lang w:val="en-US"/>
        </w:rPr>
        <w:sectPr w:rsidR="00515DBD" w:rsidRPr="00E7591B" w:rsidSect="00515DBD">
          <w:pgSz w:w="11906" w:h="16838"/>
          <w:pgMar w:top="1418" w:right="1418" w:bottom="1418" w:left="1418" w:header="709" w:footer="709" w:gutter="0"/>
          <w:cols w:space="708"/>
          <w:docGrid w:linePitch="360"/>
        </w:sectPr>
      </w:pPr>
    </w:p>
    <w:p w14:paraId="2C504745" w14:textId="6FF9CE47" w:rsidR="00AA3EE9" w:rsidRDefault="00AA3EE9" w:rsidP="00690D20">
      <w:pPr>
        <w:pStyle w:val="Lgende"/>
      </w:pPr>
      <w:r>
        <w:lastRenderedPageBreak/>
        <w:t xml:space="preserve">Table </w:t>
      </w:r>
      <w:r>
        <w:fldChar w:fldCharType="begin"/>
      </w:r>
      <w:r>
        <w:instrText xml:space="preserve"> SEQ Table \* ARABIC </w:instrText>
      </w:r>
      <w:r>
        <w:fldChar w:fldCharType="separate"/>
      </w:r>
      <w:r w:rsidR="009B31C6">
        <w:rPr>
          <w:noProof/>
        </w:rPr>
        <w:t>5</w:t>
      </w:r>
      <w:r>
        <w:fldChar w:fldCharType="end"/>
      </w:r>
      <w:r>
        <w:t xml:space="preserve">: </w:t>
      </w:r>
      <w:r w:rsidR="00601DA7">
        <w:t>P</w:t>
      </w:r>
      <w:r w:rsidR="00934447" w:rsidRPr="00934447">
        <w:t>otential impacts that identified physical risks could have on ASCO's operations</w:t>
      </w:r>
      <w:r w:rsidRPr="00E4759A">
        <w:t>.</w:t>
      </w:r>
    </w:p>
    <w:tbl>
      <w:tblPr>
        <w:tblW w:w="13982" w:type="dxa"/>
        <w:tblBorders>
          <w:top w:val="single" w:sz="12" w:space="0" w:color="auto"/>
          <w:left w:val="single" w:sz="12" w:space="0" w:color="auto"/>
          <w:bottom w:val="single" w:sz="12" w:space="0" w:color="auto"/>
          <w:right w:val="single" w:sz="12" w:space="0" w:color="auto"/>
          <w:insideH w:val="single" w:sz="8" w:space="0" w:color="CCCCCC"/>
          <w:insideV w:val="single" w:sz="8" w:space="0" w:color="CCCCCC"/>
        </w:tblBorders>
        <w:tblCellMar>
          <w:left w:w="0" w:type="dxa"/>
          <w:right w:w="0" w:type="dxa"/>
        </w:tblCellMar>
        <w:tblLook w:val="0420" w:firstRow="1" w:lastRow="0" w:firstColumn="0" w:lastColumn="0" w:noHBand="0" w:noVBand="1"/>
      </w:tblPr>
      <w:tblGrid>
        <w:gridCol w:w="1472"/>
        <w:gridCol w:w="2084"/>
        <w:gridCol w:w="2242"/>
        <w:gridCol w:w="8184"/>
      </w:tblGrid>
      <w:tr w:rsidR="00ED7BD7" w:rsidRPr="00367C0B" w14:paraId="4354E42E" w14:textId="77777777" w:rsidTr="00DA0DBF">
        <w:trPr>
          <w:trHeight w:val="83"/>
          <w:tblHeader/>
        </w:trPr>
        <w:tc>
          <w:tcPr>
            <w:tcW w:w="1472" w:type="dxa"/>
            <w:shd w:val="clear" w:color="auto" w:fill="5B9BD5" w:themeFill="accent5"/>
            <w:tcMar>
              <w:top w:w="72" w:type="dxa"/>
              <w:left w:w="144" w:type="dxa"/>
              <w:bottom w:w="72" w:type="dxa"/>
              <w:right w:w="144" w:type="dxa"/>
            </w:tcMar>
            <w:vAlign w:val="center"/>
            <w:hideMark/>
          </w:tcPr>
          <w:p w14:paraId="25EEF0D3" w14:textId="77777777" w:rsidR="000033EE" w:rsidRPr="00367C0B" w:rsidRDefault="000033EE">
            <w:pPr>
              <w:spacing w:after="60" w:line="240" w:lineRule="auto"/>
              <w:jc w:val="center"/>
              <w:rPr>
                <w:sz w:val="16"/>
                <w:szCs w:val="16"/>
                <w:lang w:val="en-US"/>
              </w:rPr>
            </w:pPr>
            <w:r w:rsidRPr="00FC75FA">
              <w:rPr>
                <w:b/>
                <w:sz w:val="16"/>
                <w:szCs w:val="16"/>
                <w:lang w:val="en-US"/>
              </w:rPr>
              <w:t>Type</w:t>
            </w:r>
          </w:p>
        </w:tc>
        <w:tc>
          <w:tcPr>
            <w:tcW w:w="2084" w:type="dxa"/>
            <w:shd w:val="clear" w:color="auto" w:fill="5B9BD5" w:themeFill="accent5"/>
          </w:tcPr>
          <w:p w14:paraId="12B814C7" w14:textId="139B4509" w:rsidR="000033EE" w:rsidRPr="00FC75FA" w:rsidRDefault="00E95AC3">
            <w:pPr>
              <w:spacing w:after="60" w:line="240" w:lineRule="auto"/>
              <w:jc w:val="center"/>
              <w:rPr>
                <w:b/>
                <w:sz w:val="16"/>
                <w:szCs w:val="16"/>
                <w:lang w:val="en-US"/>
              </w:rPr>
            </w:pPr>
            <w:r>
              <w:rPr>
                <w:b/>
                <w:sz w:val="16"/>
                <w:szCs w:val="16"/>
                <w:lang w:val="en-US"/>
              </w:rPr>
              <w:t>Category</w:t>
            </w:r>
          </w:p>
        </w:tc>
        <w:tc>
          <w:tcPr>
            <w:tcW w:w="2242" w:type="dxa"/>
            <w:shd w:val="clear" w:color="auto" w:fill="5B9BD5" w:themeFill="accent5"/>
            <w:tcMar>
              <w:top w:w="72" w:type="dxa"/>
              <w:left w:w="144" w:type="dxa"/>
              <w:bottom w:w="72" w:type="dxa"/>
              <w:right w:w="144" w:type="dxa"/>
            </w:tcMar>
            <w:vAlign w:val="center"/>
            <w:hideMark/>
          </w:tcPr>
          <w:p w14:paraId="511E9B42" w14:textId="0C9115D8" w:rsidR="000033EE" w:rsidRPr="00367C0B" w:rsidRDefault="000033EE">
            <w:pPr>
              <w:spacing w:after="60" w:line="240" w:lineRule="auto"/>
              <w:jc w:val="center"/>
              <w:rPr>
                <w:sz w:val="16"/>
                <w:szCs w:val="16"/>
                <w:lang w:val="en-US"/>
              </w:rPr>
            </w:pPr>
            <w:r w:rsidRPr="00FC75FA">
              <w:rPr>
                <w:b/>
                <w:sz w:val="16"/>
                <w:szCs w:val="16"/>
                <w:lang w:val="en-US"/>
              </w:rPr>
              <w:t>Risk</w:t>
            </w:r>
          </w:p>
        </w:tc>
        <w:tc>
          <w:tcPr>
            <w:tcW w:w="8184" w:type="dxa"/>
            <w:shd w:val="clear" w:color="auto" w:fill="5B9BD5" w:themeFill="accent5"/>
            <w:tcMar>
              <w:top w:w="72" w:type="dxa"/>
              <w:left w:w="144" w:type="dxa"/>
              <w:bottom w:w="72" w:type="dxa"/>
              <w:right w:w="144" w:type="dxa"/>
            </w:tcMar>
            <w:vAlign w:val="center"/>
            <w:hideMark/>
          </w:tcPr>
          <w:p w14:paraId="1E371CB4" w14:textId="77777777" w:rsidR="000033EE" w:rsidRPr="00367C0B" w:rsidRDefault="000033EE">
            <w:pPr>
              <w:spacing w:after="60" w:line="240" w:lineRule="auto"/>
              <w:jc w:val="center"/>
              <w:rPr>
                <w:sz w:val="16"/>
                <w:szCs w:val="16"/>
                <w:lang w:val="en-US"/>
              </w:rPr>
            </w:pPr>
            <w:r w:rsidRPr="00FC75FA">
              <w:rPr>
                <w:b/>
                <w:sz w:val="16"/>
                <w:szCs w:val="16"/>
                <w:lang w:val="en-US"/>
              </w:rPr>
              <w:t>Impacts (indicative)</w:t>
            </w:r>
          </w:p>
        </w:tc>
      </w:tr>
      <w:tr w:rsidR="006C0F95" w:rsidRPr="00FA7359" w14:paraId="1D0556C6" w14:textId="77777777" w:rsidTr="00DA0DBF">
        <w:trPr>
          <w:trHeight w:val="1020"/>
        </w:trPr>
        <w:tc>
          <w:tcPr>
            <w:tcW w:w="1472" w:type="dxa"/>
            <w:shd w:val="clear" w:color="auto" w:fill="C9E7A7"/>
            <w:tcMar>
              <w:top w:w="72" w:type="dxa"/>
              <w:left w:w="144" w:type="dxa"/>
              <w:bottom w:w="72" w:type="dxa"/>
              <w:right w:w="144" w:type="dxa"/>
            </w:tcMar>
            <w:vAlign w:val="center"/>
            <w:hideMark/>
          </w:tcPr>
          <w:p w14:paraId="2AC29ACB" w14:textId="6687590A" w:rsidR="000033EE" w:rsidRPr="00367C0B" w:rsidRDefault="000033EE">
            <w:pPr>
              <w:spacing w:after="60" w:line="240" w:lineRule="auto"/>
              <w:rPr>
                <w:sz w:val="16"/>
                <w:szCs w:val="16"/>
                <w:lang w:val="en-US"/>
              </w:rPr>
            </w:pPr>
            <w:r w:rsidRPr="00FC75FA">
              <w:rPr>
                <w:b/>
                <w:sz w:val="16"/>
                <w:szCs w:val="16"/>
                <w:lang w:val="en-US"/>
              </w:rPr>
              <w:t>Physical</w:t>
            </w:r>
          </w:p>
        </w:tc>
        <w:tc>
          <w:tcPr>
            <w:tcW w:w="2084" w:type="dxa"/>
            <w:vAlign w:val="center"/>
          </w:tcPr>
          <w:p w14:paraId="474F6A4F" w14:textId="6AB5F12E" w:rsidR="000033EE" w:rsidRDefault="003B30CD" w:rsidP="003B30CD">
            <w:pPr>
              <w:spacing w:after="60" w:line="240" w:lineRule="auto"/>
              <w:jc w:val="center"/>
              <w:rPr>
                <w:sz w:val="16"/>
                <w:szCs w:val="16"/>
                <w:lang w:val="en-US"/>
              </w:rPr>
            </w:pPr>
            <w:r>
              <w:rPr>
                <w:sz w:val="16"/>
                <w:szCs w:val="16"/>
                <w:lang w:val="en-US"/>
              </w:rPr>
              <w:t>Chronic</w:t>
            </w:r>
          </w:p>
        </w:tc>
        <w:tc>
          <w:tcPr>
            <w:tcW w:w="2242" w:type="dxa"/>
            <w:shd w:val="clear" w:color="auto" w:fill="auto"/>
            <w:tcMar>
              <w:top w:w="72" w:type="dxa"/>
              <w:left w:w="144" w:type="dxa"/>
              <w:bottom w:w="72" w:type="dxa"/>
              <w:right w:w="144" w:type="dxa"/>
            </w:tcMar>
            <w:vAlign w:val="center"/>
            <w:hideMark/>
          </w:tcPr>
          <w:p w14:paraId="0940368F" w14:textId="5C67CAD0" w:rsidR="000033EE" w:rsidRPr="00FC75FA" w:rsidRDefault="00481F8F">
            <w:pPr>
              <w:spacing w:after="60" w:line="240" w:lineRule="auto"/>
              <w:rPr>
                <w:sz w:val="16"/>
                <w:szCs w:val="16"/>
                <w:lang w:val="en-US"/>
              </w:rPr>
            </w:pPr>
            <w:r>
              <w:rPr>
                <w:sz w:val="16"/>
                <w:szCs w:val="16"/>
                <w:lang w:val="en-US"/>
              </w:rPr>
              <w:t>Sea level change</w:t>
            </w:r>
          </w:p>
        </w:tc>
        <w:tc>
          <w:tcPr>
            <w:tcW w:w="8184" w:type="dxa"/>
            <w:shd w:val="clear" w:color="auto" w:fill="auto"/>
            <w:tcMar>
              <w:top w:w="72" w:type="dxa"/>
              <w:left w:w="144" w:type="dxa"/>
              <w:bottom w:w="72" w:type="dxa"/>
              <w:right w:w="144" w:type="dxa"/>
            </w:tcMar>
            <w:vAlign w:val="center"/>
            <w:hideMark/>
          </w:tcPr>
          <w:p w14:paraId="0F597E02" w14:textId="33B72600" w:rsidR="00796F78" w:rsidRPr="00367C0B" w:rsidRDefault="00796F78" w:rsidP="00796F78">
            <w:pPr>
              <w:spacing w:after="60" w:line="240" w:lineRule="auto"/>
              <w:rPr>
                <w:sz w:val="16"/>
                <w:szCs w:val="16"/>
                <w:lang w:val="en-US"/>
              </w:rPr>
            </w:pPr>
            <w:r w:rsidRPr="00DD3498">
              <w:rPr>
                <w:bCs/>
                <w:sz w:val="16"/>
                <w:szCs w:val="16"/>
                <w:lang w:val="en-US"/>
              </w:rPr>
              <w:t>Operating conditions:</w:t>
            </w:r>
          </w:p>
          <w:p w14:paraId="7030BCCF" w14:textId="2FD0BDAE" w:rsidR="0039675B" w:rsidRDefault="00F15E7A" w:rsidP="000615AC">
            <w:pPr>
              <w:pStyle w:val="Paragraphedeliste"/>
              <w:numPr>
                <w:ilvl w:val="0"/>
                <w:numId w:val="13"/>
              </w:numPr>
              <w:spacing w:after="60" w:line="240" w:lineRule="auto"/>
              <w:rPr>
                <w:bCs/>
                <w:sz w:val="16"/>
                <w:szCs w:val="16"/>
                <w:lang w:val="en-US"/>
              </w:rPr>
            </w:pPr>
            <w:r>
              <w:rPr>
                <w:bCs/>
                <w:sz w:val="16"/>
                <w:szCs w:val="16"/>
                <w:lang w:val="en-US"/>
              </w:rPr>
              <w:t>Sea level decrease</w:t>
            </w:r>
            <w:r w:rsidR="00EB0F35" w:rsidRPr="00EB0F35">
              <w:rPr>
                <w:bCs/>
                <w:sz w:val="16"/>
                <w:szCs w:val="16"/>
                <w:lang w:val="en-US"/>
              </w:rPr>
              <w:t xml:space="preserve"> can lead to reduced accessibility to ports and harbors, </w:t>
            </w:r>
            <w:r w:rsidR="002B1AFD">
              <w:rPr>
                <w:bCs/>
                <w:sz w:val="16"/>
                <w:szCs w:val="16"/>
                <w:lang w:val="en-US"/>
              </w:rPr>
              <w:t>requiring necessary</w:t>
            </w:r>
            <w:r w:rsidR="002B1AFD" w:rsidRPr="00EB0F35">
              <w:rPr>
                <w:bCs/>
                <w:sz w:val="16"/>
                <w:szCs w:val="16"/>
                <w:lang w:val="en-US"/>
              </w:rPr>
              <w:t xml:space="preserve"> </w:t>
            </w:r>
            <w:r w:rsidR="00EB0F35" w:rsidRPr="00EB0F35">
              <w:rPr>
                <w:bCs/>
                <w:sz w:val="16"/>
                <w:szCs w:val="16"/>
                <w:lang w:val="en-US"/>
              </w:rPr>
              <w:t>adjustments in shipping routes and schedules</w:t>
            </w:r>
            <w:r w:rsidR="001B62C6">
              <w:rPr>
                <w:bCs/>
                <w:sz w:val="16"/>
                <w:szCs w:val="16"/>
                <w:lang w:val="en-US"/>
              </w:rPr>
              <w:t xml:space="preserve"> </w:t>
            </w:r>
            <w:r w:rsidR="008001B9">
              <w:rPr>
                <w:bCs/>
                <w:sz w:val="16"/>
                <w:szCs w:val="16"/>
                <w:lang w:val="en-US"/>
              </w:rPr>
              <w:t>weather temporarily</w:t>
            </w:r>
            <w:r w:rsidR="007D4E22">
              <w:rPr>
                <w:bCs/>
                <w:sz w:val="16"/>
                <w:szCs w:val="16"/>
                <w:lang w:val="en-US"/>
              </w:rPr>
              <w:t xml:space="preserve"> to cope with </w:t>
            </w:r>
            <w:r w:rsidR="001317D3">
              <w:rPr>
                <w:bCs/>
                <w:sz w:val="16"/>
                <w:szCs w:val="16"/>
                <w:lang w:val="en-US"/>
              </w:rPr>
              <w:t>port infrastructure upgrade</w:t>
            </w:r>
            <w:r w:rsidR="001B62C6">
              <w:rPr>
                <w:bCs/>
                <w:sz w:val="16"/>
                <w:szCs w:val="16"/>
                <w:lang w:val="en-US"/>
              </w:rPr>
              <w:t xml:space="preserve"> </w:t>
            </w:r>
            <w:r w:rsidR="008001B9">
              <w:rPr>
                <w:bCs/>
                <w:sz w:val="16"/>
                <w:szCs w:val="16"/>
                <w:lang w:val="en-US"/>
              </w:rPr>
              <w:t>or permanently</w:t>
            </w:r>
            <w:r w:rsidR="00EB0F35" w:rsidRPr="00EB0F35">
              <w:rPr>
                <w:bCs/>
                <w:sz w:val="16"/>
                <w:szCs w:val="16"/>
                <w:lang w:val="en-US"/>
              </w:rPr>
              <w:t>. This could increase transit times and operational costs.</w:t>
            </w:r>
          </w:p>
          <w:p w14:paraId="1040D131" w14:textId="0BA12E76" w:rsidR="00F671A8" w:rsidRDefault="00F671A8" w:rsidP="000615AC">
            <w:pPr>
              <w:pStyle w:val="Paragraphedeliste"/>
              <w:numPr>
                <w:ilvl w:val="0"/>
                <w:numId w:val="13"/>
              </w:numPr>
              <w:spacing w:after="60" w:line="240" w:lineRule="auto"/>
              <w:rPr>
                <w:bCs/>
                <w:sz w:val="16"/>
                <w:szCs w:val="16"/>
                <w:lang w:val="en-US"/>
              </w:rPr>
            </w:pPr>
            <w:r w:rsidRPr="00F671A8">
              <w:rPr>
                <w:bCs/>
                <w:sz w:val="16"/>
                <w:szCs w:val="16"/>
                <w:lang w:val="en-US"/>
              </w:rPr>
              <w:t>Additionally, disruptions in shipping schedules could lead to delays in cargo delivery, affecting customer satisfaction and potentially leading to a loss of business.</w:t>
            </w:r>
          </w:p>
          <w:p w14:paraId="4C2DF92C" w14:textId="77777777" w:rsidR="000033EE" w:rsidRPr="00DD3498" w:rsidRDefault="000033EE">
            <w:pPr>
              <w:spacing w:after="60" w:line="240" w:lineRule="auto"/>
              <w:rPr>
                <w:bCs/>
                <w:sz w:val="16"/>
                <w:szCs w:val="16"/>
                <w:lang w:val="en-US"/>
              </w:rPr>
            </w:pPr>
          </w:p>
          <w:p w14:paraId="0D5F7692" w14:textId="4E4E19F5" w:rsidR="000033EE" w:rsidRPr="00DD3498" w:rsidRDefault="0099090F">
            <w:pPr>
              <w:spacing w:after="60" w:line="240" w:lineRule="auto"/>
              <w:rPr>
                <w:bCs/>
                <w:sz w:val="16"/>
                <w:szCs w:val="16"/>
                <w:lang w:val="en-US"/>
              </w:rPr>
            </w:pPr>
            <w:r>
              <w:rPr>
                <w:bCs/>
                <w:sz w:val="16"/>
                <w:szCs w:val="16"/>
                <w:lang w:val="en-US"/>
              </w:rPr>
              <w:t>Infrastructure Modifications</w:t>
            </w:r>
            <w:r w:rsidR="00F671A8">
              <w:rPr>
                <w:bCs/>
                <w:sz w:val="16"/>
                <w:szCs w:val="16"/>
                <w:lang w:val="en-US"/>
              </w:rPr>
              <w:t xml:space="preserve"> and fleet adaptation</w:t>
            </w:r>
            <w:r w:rsidR="000033EE" w:rsidRPr="00DD3498">
              <w:rPr>
                <w:bCs/>
                <w:sz w:val="16"/>
                <w:szCs w:val="16"/>
                <w:lang w:val="en-US"/>
              </w:rPr>
              <w:t>:</w:t>
            </w:r>
          </w:p>
          <w:p w14:paraId="1A031A96" w14:textId="7D529D68" w:rsidR="000033EE" w:rsidRPr="00F671A8" w:rsidRDefault="0099090F" w:rsidP="000615AC">
            <w:pPr>
              <w:numPr>
                <w:ilvl w:val="0"/>
                <w:numId w:val="12"/>
              </w:numPr>
              <w:spacing w:after="60" w:line="240" w:lineRule="auto"/>
              <w:rPr>
                <w:bCs/>
                <w:sz w:val="16"/>
                <w:szCs w:val="16"/>
                <w:lang w:val="en-US"/>
              </w:rPr>
            </w:pPr>
            <w:r w:rsidRPr="0099090F">
              <w:rPr>
                <w:rFonts w:cs="Arial"/>
                <w:bCs/>
                <w:sz w:val="16"/>
                <w:szCs w:val="16"/>
                <w:lang w:val="en-US"/>
              </w:rPr>
              <w:t xml:space="preserve">Ports and docking facilities may require modifications to accommodate the new water levels. </w:t>
            </w:r>
            <w:r w:rsidR="00BA5C51">
              <w:rPr>
                <w:rFonts w:cs="Arial"/>
                <w:bCs/>
                <w:sz w:val="16"/>
                <w:szCs w:val="16"/>
                <w:lang w:val="en-US"/>
              </w:rPr>
              <w:t>Lower water levels</w:t>
            </w:r>
            <w:r w:rsidR="00BA5C51" w:rsidRPr="0099090F">
              <w:rPr>
                <w:rFonts w:cs="Arial"/>
                <w:bCs/>
                <w:sz w:val="16"/>
                <w:szCs w:val="16"/>
                <w:lang w:val="en-US"/>
              </w:rPr>
              <w:t xml:space="preserve"> </w:t>
            </w:r>
            <w:r w:rsidRPr="0099090F">
              <w:rPr>
                <w:rFonts w:cs="Arial"/>
                <w:bCs/>
                <w:sz w:val="16"/>
                <w:szCs w:val="16"/>
                <w:lang w:val="en-US"/>
              </w:rPr>
              <w:t>could involve dredging to deepen channels and harbors, and adjusting or rebuilding docking infrastructure,</w:t>
            </w:r>
            <w:r w:rsidR="00F00112">
              <w:rPr>
                <w:rFonts w:cs="Arial"/>
                <w:bCs/>
                <w:sz w:val="16"/>
                <w:szCs w:val="16"/>
                <w:lang w:val="en-US"/>
              </w:rPr>
              <w:t xml:space="preserve"> potentially </w:t>
            </w:r>
            <w:r w:rsidR="001C40A1">
              <w:rPr>
                <w:rFonts w:cs="Arial"/>
                <w:bCs/>
                <w:sz w:val="16"/>
                <w:szCs w:val="16"/>
                <w:lang w:val="en-US"/>
              </w:rPr>
              <w:t>multiple</w:t>
            </w:r>
            <w:r w:rsidR="00F00112">
              <w:rPr>
                <w:rFonts w:cs="Arial"/>
                <w:bCs/>
                <w:sz w:val="16"/>
                <w:szCs w:val="16"/>
                <w:lang w:val="en-US"/>
              </w:rPr>
              <w:t xml:space="preserve"> times as</w:t>
            </w:r>
            <w:r w:rsidR="001C40A1">
              <w:rPr>
                <w:rFonts w:cs="Arial"/>
                <w:bCs/>
                <w:sz w:val="16"/>
                <w:szCs w:val="16"/>
                <w:lang w:val="en-US"/>
              </w:rPr>
              <w:t xml:space="preserve"> water level decreases.</w:t>
            </w:r>
            <w:r w:rsidRPr="0099090F">
              <w:rPr>
                <w:rFonts w:cs="Arial"/>
                <w:bCs/>
                <w:sz w:val="16"/>
                <w:szCs w:val="16"/>
                <w:lang w:val="en-US"/>
              </w:rPr>
              <w:t xml:space="preserve"> </w:t>
            </w:r>
            <w:r w:rsidR="0085203C">
              <w:rPr>
                <w:rFonts w:cs="Arial"/>
                <w:bCs/>
                <w:sz w:val="16"/>
                <w:szCs w:val="16"/>
                <w:lang w:val="en-US"/>
              </w:rPr>
              <w:t xml:space="preserve">This would generate </w:t>
            </w:r>
            <w:r w:rsidRPr="0099090F">
              <w:rPr>
                <w:rFonts w:cs="Arial"/>
                <w:bCs/>
                <w:sz w:val="16"/>
                <w:szCs w:val="16"/>
                <w:lang w:val="en-US"/>
              </w:rPr>
              <w:t>significant capital expenditures.</w:t>
            </w:r>
            <w:r w:rsidR="000033EE" w:rsidRPr="00DD3498">
              <w:rPr>
                <w:rFonts w:cs="Arial"/>
                <w:bCs/>
                <w:sz w:val="16"/>
                <w:szCs w:val="16"/>
                <w:lang w:val="en-US"/>
              </w:rPr>
              <w:t xml:space="preserve"> </w:t>
            </w:r>
          </w:p>
          <w:p w14:paraId="11FD4D43" w14:textId="0D64F9BA" w:rsidR="00F671A8" w:rsidRDefault="00F671A8" w:rsidP="000615AC">
            <w:pPr>
              <w:numPr>
                <w:ilvl w:val="0"/>
                <w:numId w:val="12"/>
              </w:numPr>
              <w:spacing w:after="60" w:line="240" w:lineRule="auto"/>
              <w:rPr>
                <w:bCs/>
                <w:sz w:val="16"/>
                <w:szCs w:val="16"/>
                <w:lang w:val="en-US"/>
              </w:rPr>
            </w:pPr>
            <w:r w:rsidRPr="00F671A8">
              <w:rPr>
                <w:bCs/>
                <w:sz w:val="16"/>
                <w:szCs w:val="16"/>
                <w:lang w:val="en-US"/>
              </w:rPr>
              <w:t>The company might need to consider investing in smaller or vessels</w:t>
            </w:r>
            <w:r w:rsidR="007A7C00">
              <w:rPr>
                <w:bCs/>
                <w:sz w:val="16"/>
                <w:szCs w:val="16"/>
                <w:lang w:val="en-US"/>
              </w:rPr>
              <w:t xml:space="preserve"> with adjusted characteristics</w:t>
            </w:r>
            <w:r w:rsidRPr="00F671A8">
              <w:rPr>
                <w:bCs/>
                <w:sz w:val="16"/>
                <w:szCs w:val="16"/>
                <w:lang w:val="en-US"/>
              </w:rPr>
              <w:t xml:space="preserve"> that can operate more effectively in shallower waters, which could entail significant investment in new ships or retrofitting existing ones.</w:t>
            </w:r>
          </w:p>
          <w:p w14:paraId="74CB8885" w14:textId="77777777" w:rsidR="00FC7A38" w:rsidRDefault="00FC7A38" w:rsidP="00FC7A38">
            <w:pPr>
              <w:spacing w:after="60" w:line="240" w:lineRule="auto"/>
              <w:rPr>
                <w:bCs/>
                <w:sz w:val="16"/>
                <w:szCs w:val="16"/>
                <w:lang w:val="en-US"/>
              </w:rPr>
            </w:pPr>
          </w:p>
          <w:p w14:paraId="15482028" w14:textId="347783E9" w:rsidR="009F393B" w:rsidRDefault="00FC7A38" w:rsidP="009F393B">
            <w:pPr>
              <w:spacing w:after="60" w:line="240" w:lineRule="auto"/>
              <w:rPr>
                <w:bCs/>
                <w:sz w:val="16"/>
                <w:szCs w:val="16"/>
                <w:lang w:val="en-US"/>
              </w:rPr>
            </w:pPr>
            <w:r>
              <w:rPr>
                <w:bCs/>
                <w:sz w:val="16"/>
                <w:szCs w:val="16"/>
                <w:lang w:val="en-US"/>
              </w:rPr>
              <w:t>Specific impact</w:t>
            </w:r>
            <w:r w:rsidR="00856F3A">
              <w:rPr>
                <w:bCs/>
                <w:sz w:val="16"/>
                <w:szCs w:val="16"/>
                <w:lang w:val="en-US"/>
              </w:rPr>
              <w:t>s</w:t>
            </w:r>
            <w:r>
              <w:rPr>
                <w:bCs/>
                <w:sz w:val="16"/>
                <w:szCs w:val="16"/>
                <w:lang w:val="en-US"/>
              </w:rPr>
              <w:t xml:space="preserve"> for oil and gas offshore platforms:</w:t>
            </w:r>
          </w:p>
          <w:p w14:paraId="77F4F1A0" w14:textId="28D5851D" w:rsidR="00FC7A38" w:rsidRDefault="00695057" w:rsidP="000615AC">
            <w:pPr>
              <w:pStyle w:val="Paragraphedeliste"/>
              <w:numPr>
                <w:ilvl w:val="0"/>
                <w:numId w:val="18"/>
              </w:numPr>
              <w:spacing w:after="60" w:line="240" w:lineRule="auto"/>
              <w:rPr>
                <w:bCs/>
                <w:sz w:val="16"/>
                <w:szCs w:val="16"/>
                <w:lang w:val="en-US"/>
              </w:rPr>
            </w:pPr>
            <w:r w:rsidRPr="00695057">
              <w:rPr>
                <w:bCs/>
                <w:i/>
                <w:iCs/>
                <w:sz w:val="16"/>
                <w:szCs w:val="16"/>
                <w:lang w:val="en-US"/>
              </w:rPr>
              <w:t>Operational adjustments:</w:t>
            </w:r>
            <w:r>
              <w:rPr>
                <w:bCs/>
                <w:sz w:val="16"/>
                <w:szCs w:val="16"/>
                <w:lang w:val="en-US"/>
              </w:rPr>
              <w:t xml:space="preserve"> </w:t>
            </w:r>
            <w:r w:rsidRPr="00695057">
              <w:rPr>
                <w:bCs/>
                <w:sz w:val="16"/>
                <w:szCs w:val="16"/>
                <w:lang w:val="en-US"/>
              </w:rPr>
              <w:t>Lower Sea levels may expose additional hazards to navigation around the platform, such as previously submerged obstacles or changes in seabed topography, requiring alterations to operational procedures and safety measures</w:t>
            </w:r>
            <w:r w:rsidR="00F11B2A">
              <w:rPr>
                <w:bCs/>
                <w:sz w:val="16"/>
                <w:szCs w:val="16"/>
                <w:lang w:val="en-US"/>
              </w:rPr>
              <w:t xml:space="preserve"> and leading to logistical challenges and potential delays in operations.</w:t>
            </w:r>
          </w:p>
          <w:p w14:paraId="0378B939" w14:textId="5F4EEA10" w:rsidR="00695057" w:rsidRDefault="00695057" w:rsidP="000615AC">
            <w:pPr>
              <w:pStyle w:val="Paragraphedeliste"/>
              <w:numPr>
                <w:ilvl w:val="0"/>
                <w:numId w:val="18"/>
              </w:numPr>
              <w:spacing w:after="60" w:line="240" w:lineRule="auto"/>
              <w:rPr>
                <w:bCs/>
                <w:sz w:val="16"/>
                <w:szCs w:val="16"/>
                <w:lang w:val="en-US"/>
              </w:rPr>
            </w:pPr>
            <w:r w:rsidRPr="00695057">
              <w:rPr>
                <w:bCs/>
                <w:i/>
                <w:iCs/>
                <w:sz w:val="16"/>
                <w:szCs w:val="16"/>
                <w:lang w:val="en-US"/>
              </w:rPr>
              <w:t>Infrastructure Strain</w:t>
            </w:r>
            <w:r>
              <w:rPr>
                <w:bCs/>
                <w:sz w:val="16"/>
                <w:szCs w:val="16"/>
                <w:lang w:val="en-US"/>
              </w:rPr>
              <w:t xml:space="preserve">: </w:t>
            </w:r>
            <w:r w:rsidRPr="00695057">
              <w:rPr>
                <w:bCs/>
                <w:sz w:val="16"/>
                <w:szCs w:val="16"/>
                <w:lang w:val="en-US"/>
              </w:rPr>
              <w:t>The design of offshore platforms is based on specific water depth conditions. A decrease in sea level could affect the structural integrity of the platform, potentially necessitating engineering assessments and reinforcement work</w:t>
            </w:r>
            <w:r w:rsidR="001B3CA9">
              <w:rPr>
                <w:bCs/>
                <w:sz w:val="16"/>
                <w:szCs w:val="16"/>
                <w:lang w:val="en-US"/>
              </w:rPr>
              <w:t>s</w:t>
            </w:r>
            <w:r w:rsidRPr="00695057">
              <w:rPr>
                <w:bCs/>
                <w:sz w:val="16"/>
                <w:szCs w:val="16"/>
                <w:lang w:val="en-US"/>
              </w:rPr>
              <w:t>.</w:t>
            </w:r>
          </w:p>
          <w:p w14:paraId="71747DA7" w14:textId="2CBF82B7" w:rsidR="001950DA" w:rsidRPr="007720A6" w:rsidRDefault="001950DA" w:rsidP="000615AC">
            <w:pPr>
              <w:pStyle w:val="Paragraphedeliste"/>
              <w:numPr>
                <w:ilvl w:val="0"/>
                <w:numId w:val="18"/>
              </w:numPr>
              <w:rPr>
                <w:bCs/>
                <w:sz w:val="16"/>
                <w:szCs w:val="16"/>
                <w:lang w:val="en-US"/>
              </w:rPr>
            </w:pPr>
            <w:r w:rsidRPr="001950DA">
              <w:rPr>
                <w:bCs/>
                <w:i/>
                <w:iCs/>
                <w:sz w:val="16"/>
                <w:szCs w:val="16"/>
                <w:lang w:val="en-US"/>
              </w:rPr>
              <w:t>Drilling and Extraction Complications:</w:t>
            </w:r>
            <w:r w:rsidRPr="001950DA">
              <w:rPr>
                <w:bCs/>
                <w:sz w:val="16"/>
                <w:szCs w:val="16"/>
                <w:lang w:val="en-US"/>
              </w:rPr>
              <w:t xml:space="preserve"> Changes in water pressure and seabed conditions could impact drilling operations and the efficiency of oil extraction, </w:t>
            </w:r>
            <w:r w:rsidR="009D5DC3" w:rsidRPr="001950DA">
              <w:rPr>
                <w:bCs/>
                <w:sz w:val="16"/>
                <w:szCs w:val="16"/>
                <w:lang w:val="en-US"/>
              </w:rPr>
              <w:t>po</w:t>
            </w:r>
            <w:r w:rsidR="009D5DC3">
              <w:rPr>
                <w:bCs/>
                <w:sz w:val="16"/>
                <w:szCs w:val="16"/>
                <w:lang w:val="en-US"/>
              </w:rPr>
              <w:t>tentially</w:t>
            </w:r>
            <w:r w:rsidR="009D5DC3" w:rsidRPr="001950DA">
              <w:rPr>
                <w:bCs/>
                <w:sz w:val="16"/>
                <w:szCs w:val="16"/>
                <w:lang w:val="en-US"/>
              </w:rPr>
              <w:t xml:space="preserve"> </w:t>
            </w:r>
            <w:r w:rsidRPr="001950DA">
              <w:rPr>
                <w:bCs/>
                <w:sz w:val="16"/>
                <w:szCs w:val="16"/>
                <w:lang w:val="en-US"/>
              </w:rPr>
              <w:t>requiring modifications to equipment and techniques used in the extraction process.</w:t>
            </w:r>
          </w:p>
        </w:tc>
      </w:tr>
      <w:tr w:rsidR="00A62416" w:rsidRPr="00FA7359" w14:paraId="11668F45" w14:textId="77777777" w:rsidTr="00DA0DBF">
        <w:trPr>
          <w:trHeight w:val="1020"/>
        </w:trPr>
        <w:tc>
          <w:tcPr>
            <w:tcW w:w="1472" w:type="dxa"/>
            <w:shd w:val="clear" w:color="auto" w:fill="C9E7A7"/>
            <w:tcMar>
              <w:top w:w="72" w:type="dxa"/>
              <w:left w:w="144" w:type="dxa"/>
              <w:bottom w:w="72" w:type="dxa"/>
              <w:right w:w="144" w:type="dxa"/>
            </w:tcMar>
            <w:vAlign w:val="center"/>
          </w:tcPr>
          <w:p w14:paraId="0A3F9B9F" w14:textId="33EA43ED" w:rsidR="000033EE" w:rsidRPr="00FC75FA" w:rsidRDefault="000033EE" w:rsidP="00A46CA7">
            <w:pPr>
              <w:spacing w:after="60" w:line="240" w:lineRule="auto"/>
              <w:rPr>
                <w:b/>
                <w:sz w:val="16"/>
                <w:szCs w:val="16"/>
                <w:lang w:val="en-US"/>
              </w:rPr>
            </w:pPr>
            <w:r w:rsidRPr="00FC75FA">
              <w:rPr>
                <w:b/>
                <w:sz w:val="16"/>
                <w:szCs w:val="16"/>
                <w:lang w:val="en-US"/>
              </w:rPr>
              <w:t>Physical</w:t>
            </w:r>
          </w:p>
        </w:tc>
        <w:tc>
          <w:tcPr>
            <w:tcW w:w="2084" w:type="dxa"/>
            <w:vAlign w:val="center"/>
          </w:tcPr>
          <w:p w14:paraId="04C9BF6A" w14:textId="5E1DC4D3" w:rsidR="000033EE" w:rsidRDefault="0004377D" w:rsidP="003B30CD">
            <w:pPr>
              <w:spacing w:after="60" w:line="240" w:lineRule="auto"/>
              <w:jc w:val="center"/>
              <w:rPr>
                <w:sz w:val="16"/>
                <w:szCs w:val="16"/>
                <w:lang w:val="en-US"/>
              </w:rPr>
            </w:pPr>
            <w:r>
              <w:rPr>
                <w:sz w:val="16"/>
                <w:szCs w:val="16"/>
                <w:lang w:val="en-US"/>
              </w:rPr>
              <w:t>Chronic</w:t>
            </w:r>
            <w:r w:rsidR="00C54AAC">
              <w:rPr>
                <w:sz w:val="16"/>
                <w:szCs w:val="16"/>
                <w:lang w:val="en-US"/>
              </w:rPr>
              <w:t xml:space="preserve"> and acute</w:t>
            </w:r>
          </w:p>
        </w:tc>
        <w:tc>
          <w:tcPr>
            <w:tcW w:w="2242" w:type="dxa"/>
            <w:shd w:val="clear" w:color="auto" w:fill="auto"/>
            <w:tcMar>
              <w:top w:w="72" w:type="dxa"/>
              <w:left w:w="144" w:type="dxa"/>
              <w:bottom w:w="72" w:type="dxa"/>
              <w:right w:w="144" w:type="dxa"/>
            </w:tcMar>
            <w:vAlign w:val="center"/>
          </w:tcPr>
          <w:p w14:paraId="4541D3D7" w14:textId="70885A06" w:rsidR="000033EE" w:rsidRDefault="0004377D" w:rsidP="00A46CA7">
            <w:pPr>
              <w:spacing w:after="60" w:line="240" w:lineRule="auto"/>
              <w:rPr>
                <w:sz w:val="16"/>
                <w:szCs w:val="16"/>
                <w:lang w:val="en-US"/>
              </w:rPr>
            </w:pPr>
            <w:r>
              <w:rPr>
                <w:sz w:val="16"/>
                <w:szCs w:val="16"/>
                <w:lang w:val="en-US"/>
              </w:rPr>
              <w:t>High temperature</w:t>
            </w:r>
            <w:r w:rsidR="00E0703B">
              <w:rPr>
                <w:sz w:val="16"/>
                <w:szCs w:val="16"/>
                <w:lang w:val="en-US"/>
              </w:rPr>
              <w:t xml:space="preserve"> and Heat</w:t>
            </w:r>
          </w:p>
        </w:tc>
        <w:tc>
          <w:tcPr>
            <w:tcW w:w="8184" w:type="dxa"/>
            <w:shd w:val="clear" w:color="auto" w:fill="auto"/>
            <w:tcMar>
              <w:top w:w="72" w:type="dxa"/>
              <w:left w:w="144" w:type="dxa"/>
              <w:bottom w:w="72" w:type="dxa"/>
              <w:right w:w="144" w:type="dxa"/>
            </w:tcMar>
            <w:vAlign w:val="center"/>
          </w:tcPr>
          <w:p w14:paraId="2EA50EDD" w14:textId="1B5CAA1E" w:rsidR="000033EE" w:rsidRPr="00DA6892" w:rsidRDefault="000033EE" w:rsidP="00F0689D">
            <w:pPr>
              <w:spacing w:after="60" w:line="240" w:lineRule="auto"/>
              <w:rPr>
                <w:bCs/>
                <w:sz w:val="16"/>
                <w:szCs w:val="16"/>
                <w:lang w:val="en-US"/>
              </w:rPr>
            </w:pPr>
            <w:r w:rsidRPr="00DD3498">
              <w:rPr>
                <w:bCs/>
                <w:sz w:val="16"/>
                <w:szCs w:val="16"/>
                <w:lang w:val="en-US"/>
              </w:rPr>
              <w:t>Operating conditions:</w:t>
            </w:r>
          </w:p>
          <w:p w14:paraId="5A63A770" w14:textId="41508403" w:rsidR="00142ED3" w:rsidRDefault="00142ED3" w:rsidP="000615AC">
            <w:pPr>
              <w:pStyle w:val="Paragraphedeliste"/>
              <w:numPr>
                <w:ilvl w:val="0"/>
                <w:numId w:val="19"/>
              </w:numPr>
              <w:spacing w:after="60" w:line="240" w:lineRule="auto"/>
              <w:ind w:left="704"/>
              <w:rPr>
                <w:bCs/>
                <w:sz w:val="16"/>
                <w:szCs w:val="16"/>
                <w:lang w:val="en-US"/>
              </w:rPr>
            </w:pPr>
            <w:r w:rsidRPr="00142ED3">
              <w:rPr>
                <w:bCs/>
                <w:sz w:val="16"/>
                <w:szCs w:val="16"/>
                <w:lang w:val="en-US"/>
              </w:rPr>
              <w:t>Higher sea temperatures can decrease the efficiency of engines, leading to increased fuel consumption and higher operating costs, as well as greater greenhouse gas emissions</w:t>
            </w:r>
            <w:r w:rsidR="00050726">
              <w:rPr>
                <w:bCs/>
                <w:sz w:val="16"/>
                <w:szCs w:val="16"/>
                <w:lang w:val="en-US"/>
              </w:rPr>
              <w:t xml:space="preserve"> depending on the engine fuel</w:t>
            </w:r>
            <w:r w:rsidR="00A263AB">
              <w:rPr>
                <w:bCs/>
                <w:sz w:val="16"/>
                <w:szCs w:val="16"/>
                <w:lang w:val="en-US"/>
              </w:rPr>
              <w:t>.</w:t>
            </w:r>
          </w:p>
          <w:p w14:paraId="766EA4C2" w14:textId="726F1091" w:rsidR="00756133" w:rsidRDefault="008910A8" w:rsidP="000615AC">
            <w:pPr>
              <w:pStyle w:val="Paragraphedeliste"/>
              <w:numPr>
                <w:ilvl w:val="0"/>
                <w:numId w:val="19"/>
              </w:numPr>
              <w:spacing w:after="60" w:line="240" w:lineRule="auto"/>
              <w:ind w:left="704"/>
              <w:rPr>
                <w:bCs/>
                <w:sz w:val="16"/>
                <w:szCs w:val="16"/>
                <w:lang w:val="en-US"/>
              </w:rPr>
            </w:pPr>
            <w:r>
              <w:rPr>
                <w:bCs/>
                <w:sz w:val="16"/>
                <w:szCs w:val="16"/>
                <w:lang w:val="en-US"/>
              </w:rPr>
              <w:t>Hig</w:t>
            </w:r>
            <w:r w:rsidR="00DA6892" w:rsidRPr="00DA6892">
              <w:rPr>
                <w:bCs/>
                <w:sz w:val="16"/>
                <w:szCs w:val="16"/>
                <w:lang w:val="en-US"/>
              </w:rPr>
              <w:t>her temperatures can lead to more rapid wear and tear on vessel components, necessitating more frequent maintenance</w:t>
            </w:r>
            <w:r w:rsidR="007230E7">
              <w:rPr>
                <w:bCs/>
                <w:sz w:val="16"/>
                <w:szCs w:val="16"/>
                <w:lang w:val="en-US"/>
              </w:rPr>
              <w:t xml:space="preserve"> to cope with accelerated deterioration</w:t>
            </w:r>
            <w:r w:rsidR="00DA6892" w:rsidRPr="00DA6892">
              <w:rPr>
                <w:bCs/>
                <w:sz w:val="16"/>
                <w:szCs w:val="16"/>
                <w:lang w:val="en-US"/>
              </w:rPr>
              <w:t xml:space="preserve"> and potentially leading to higher operational costs.</w:t>
            </w:r>
            <w:r w:rsidR="00F038BC">
              <w:rPr>
                <w:bCs/>
                <w:sz w:val="16"/>
                <w:szCs w:val="16"/>
                <w:lang w:val="en-US"/>
              </w:rPr>
              <w:t xml:space="preserve"> Assets lifetime could be shorter </w:t>
            </w:r>
            <w:r w:rsidR="006E6C2C">
              <w:rPr>
                <w:bCs/>
                <w:sz w:val="16"/>
                <w:szCs w:val="16"/>
                <w:lang w:val="en-US"/>
              </w:rPr>
              <w:t xml:space="preserve">leading to more capital expenditures and </w:t>
            </w:r>
            <w:r w:rsidR="0030464A">
              <w:rPr>
                <w:bCs/>
                <w:sz w:val="16"/>
                <w:szCs w:val="16"/>
                <w:lang w:val="en-US"/>
              </w:rPr>
              <w:t>higher</w:t>
            </w:r>
            <w:r w:rsidR="00F94BF3">
              <w:rPr>
                <w:bCs/>
                <w:sz w:val="16"/>
                <w:szCs w:val="16"/>
                <w:lang w:val="en-US"/>
              </w:rPr>
              <w:t xml:space="preserve"> </w:t>
            </w:r>
            <w:r w:rsidR="00AD1C15">
              <w:rPr>
                <w:bCs/>
                <w:sz w:val="16"/>
                <w:szCs w:val="16"/>
                <w:lang w:val="en-US"/>
              </w:rPr>
              <w:t>allowance</w:t>
            </w:r>
            <w:r w:rsidR="00632A37">
              <w:rPr>
                <w:bCs/>
                <w:sz w:val="16"/>
                <w:szCs w:val="16"/>
                <w:lang w:val="en-US"/>
              </w:rPr>
              <w:t xml:space="preserve"> to</w:t>
            </w:r>
            <w:r w:rsidR="009F488E">
              <w:rPr>
                <w:bCs/>
                <w:sz w:val="16"/>
                <w:szCs w:val="16"/>
                <w:lang w:val="en-US"/>
              </w:rPr>
              <w:t xml:space="preserve"> annual depreciation</w:t>
            </w:r>
            <w:r w:rsidR="00632A37">
              <w:rPr>
                <w:bCs/>
                <w:sz w:val="16"/>
                <w:szCs w:val="16"/>
                <w:lang w:val="en-US"/>
              </w:rPr>
              <w:t xml:space="preserve"> for a given asset</w:t>
            </w:r>
            <w:r w:rsidR="00F94BF3">
              <w:rPr>
                <w:bCs/>
                <w:sz w:val="16"/>
                <w:szCs w:val="16"/>
                <w:lang w:val="en-US"/>
              </w:rPr>
              <w:t>.</w:t>
            </w:r>
            <w:r w:rsidR="0030464A">
              <w:rPr>
                <w:bCs/>
                <w:sz w:val="16"/>
                <w:szCs w:val="16"/>
                <w:lang w:val="en-US"/>
              </w:rPr>
              <w:t xml:space="preserve"> </w:t>
            </w:r>
          </w:p>
          <w:p w14:paraId="02CD7BD2" w14:textId="2775EA4A" w:rsidR="008910A8" w:rsidRDefault="008910A8" w:rsidP="000615AC">
            <w:pPr>
              <w:pStyle w:val="Paragraphedeliste"/>
              <w:numPr>
                <w:ilvl w:val="0"/>
                <w:numId w:val="19"/>
              </w:numPr>
              <w:spacing w:after="60" w:line="240" w:lineRule="auto"/>
              <w:ind w:left="704"/>
              <w:rPr>
                <w:bCs/>
                <w:sz w:val="16"/>
                <w:szCs w:val="16"/>
                <w:lang w:val="en-US"/>
              </w:rPr>
            </w:pPr>
            <w:r w:rsidRPr="008910A8">
              <w:rPr>
                <w:bCs/>
                <w:sz w:val="16"/>
                <w:szCs w:val="16"/>
                <w:lang w:val="en-US"/>
              </w:rPr>
              <w:lastRenderedPageBreak/>
              <w:t>The need for additional cooling for both cargo and ship machinery to prevent overheating could strain existing systems and require upgrades or replacements, incurring further</w:t>
            </w:r>
            <w:r w:rsidR="00351B29">
              <w:rPr>
                <w:bCs/>
                <w:sz w:val="16"/>
                <w:szCs w:val="16"/>
                <w:lang w:val="en-US"/>
              </w:rPr>
              <w:t xml:space="preserve"> capital and </w:t>
            </w:r>
            <w:r w:rsidR="00E23829">
              <w:rPr>
                <w:bCs/>
                <w:sz w:val="16"/>
                <w:szCs w:val="16"/>
                <w:lang w:val="en-US"/>
              </w:rPr>
              <w:t>energy</w:t>
            </w:r>
            <w:r w:rsidRPr="008910A8">
              <w:rPr>
                <w:bCs/>
                <w:sz w:val="16"/>
                <w:szCs w:val="16"/>
                <w:lang w:val="en-US"/>
              </w:rPr>
              <w:t xml:space="preserve"> costs.</w:t>
            </w:r>
          </w:p>
          <w:p w14:paraId="752D3FD8" w14:textId="1EF2C26A" w:rsidR="00436333" w:rsidRDefault="00436333" w:rsidP="000615AC">
            <w:pPr>
              <w:pStyle w:val="Paragraphedeliste"/>
              <w:numPr>
                <w:ilvl w:val="0"/>
                <w:numId w:val="19"/>
              </w:numPr>
              <w:spacing w:after="60" w:line="240" w:lineRule="auto"/>
              <w:ind w:left="704"/>
              <w:rPr>
                <w:bCs/>
                <w:sz w:val="16"/>
                <w:szCs w:val="16"/>
                <w:lang w:val="en-US"/>
              </w:rPr>
            </w:pPr>
            <w:r w:rsidRPr="00436333">
              <w:rPr>
                <w:bCs/>
                <w:sz w:val="16"/>
                <w:szCs w:val="16"/>
                <w:lang w:val="en-US"/>
              </w:rPr>
              <w:t>Certain types of cargo, especially</w:t>
            </w:r>
            <w:r w:rsidR="007B015A">
              <w:rPr>
                <w:bCs/>
                <w:sz w:val="16"/>
                <w:szCs w:val="16"/>
                <w:lang w:val="en-US"/>
              </w:rPr>
              <w:t xml:space="preserve"> thos</w:t>
            </w:r>
            <w:r w:rsidR="00A6734B">
              <w:rPr>
                <w:bCs/>
                <w:sz w:val="16"/>
                <w:szCs w:val="16"/>
                <w:lang w:val="en-US"/>
              </w:rPr>
              <w:t>e carrying</w:t>
            </w:r>
            <w:r w:rsidRPr="00436333">
              <w:rPr>
                <w:bCs/>
                <w:sz w:val="16"/>
                <w:szCs w:val="16"/>
                <w:lang w:val="en-US"/>
              </w:rPr>
              <w:t xml:space="preserve"> perishables</w:t>
            </w:r>
            <w:r w:rsidR="00062E3D">
              <w:rPr>
                <w:bCs/>
                <w:sz w:val="16"/>
                <w:szCs w:val="16"/>
                <w:lang w:val="en-US"/>
              </w:rPr>
              <w:t xml:space="preserve"> </w:t>
            </w:r>
            <w:r w:rsidR="004426E1">
              <w:rPr>
                <w:bCs/>
                <w:sz w:val="16"/>
                <w:szCs w:val="16"/>
                <w:lang w:val="en-US"/>
              </w:rPr>
              <w:t>goods</w:t>
            </w:r>
            <w:r w:rsidRPr="00436333">
              <w:rPr>
                <w:bCs/>
                <w:sz w:val="16"/>
                <w:szCs w:val="16"/>
                <w:lang w:val="en-US"/>
              </w:rPr>
              <w:t>, are sensitive to temperature changes. Increased temperatures could compromise cargo integrity, leading to potential losses</w:t>
            </w:r>
            <w:r w:rsidR="00E428A7">
              <w:rPr>
                <w:bCs/>
                <w:sz w:val="16"/>
                <w:szCs w:val="16"/>
                <w:lang w:val="en-US"/>
              </w:rPr>
              <w:t xml:space="preserve">, insurance premium increase </w:t>
            </w:r>
            <w:r w:rsidR="00602568">
              <w:rPr>
                <w:bCs/>
                <w:sz w:val="16"/>
                <w:szCs w:val="16"/>
                <w:lang w:val="en-US"/>
              </w:rPr>
              <w:t xml:space="preserve">to </w:t>
            </w:r>
            <w:r w:rsidR="005C349A">
              <w:rPr>
                <w:bCs/>
                <w:sz w:val="16"/>
                <w:szCs w:val="16"/>
                <w:lang w:val="en-US"/>
              </w:rPr>
              <w:t>insure the integrity</w:t>
            </w:r>
            <w:r w:rsidR="00A1643D">
              <w:rPr>
                <w:bCs/>
                <w:sz w:val="16"/>
                <w:szCs w:val="16"/>
                <w:lang w:val="en-US"/>
              </w:rPr>
              <w:t xml:space="preserve"> and value</w:t>
            </w:r>
            <w:r w:rsidR="005C349A">
              <w:rPr>
                <w:bCs/>
                <w:sz w:val="16"/>
                <w:szCs w:val="16"/>
                <w:lang w:val="en-US"/>
              </w:rPr>
              <w:t xml:space="preserve"> of the goods</w:t>
            </w:r>
            <w:r w:rsidRPr="00436333">
              <w:rPr>
                <w:bCs/>
                <w:sz w:val="16"/>
                <w:szCs w:val="16"/>
                <w:lang w:val="en-US"/>
              </w:rPr>
              <w:t xml:space="preserve"> and claims against the company.</w:t>
            </w:r>
          </w:p>
          <w:p w14:paraId="3C7694FA" w14:textId="77777777" w:rsidR="008910A8" w:rsidRPr="008910A8" w:rsidRDefault="008910A8" w:rsidP="008910A8">
            <w:pPr>
              <w:spacing w:after="60" w:line="240" w:lineRule="auto"/>
              <w:rPr>
                <w:bCs/>
                <w:sz w:val="16"/>
                <w:szCs w:val="16"/>
                <w:lang w:val="en-US"/>
              </w:rPr>
            </w:pPr>
          </w:p>
          <w:p w14:paraId="31AF4D35" w14:textId="1B680064" w:rsidR="00756133" w:rsidRDefault="00B72A51" w:rsidP="00756133">
            <w:pPr>
              <w:spacing w:after="60" w:line="240" w:lineRule="auto"/>
              <w:rPr>
                <w:bCs/>
                <w:sz w:val="16"/>
                <w:szCs w:val="16"/>
                <w:lang w:val="en-US"/>
              </w:rPr>
            </w:pPr>
            <w:r>
              <w:rPr>
                <w:bCs/>
                <w:sz w:val="16"/>
                <w:szCs w:val="16"/>
                <w:lang w:val="en-US"/>
              </w:rPr>
              <w:t>Health and safety of employees</w:t>
            </w:r>
            <w:r w:rsidR="00756133" w:rsidRPr="00DD3498">
              <w:rPr>
                <w:bCs/>
                <w:sz w:val="16"/>
                <w:szCs w:val="16"/>
                <w:lang w:val="en-US"/>
              </w:rPr>
              <w:t>:</w:t>
            </w:r>
          </w:p>
          <w:p w14:paraId="29B8982C" w14:textId="630177E8" w:rsidR="00DF5C87" w:rsidRDefault="00DF5C87" w:rsidP="000615AC">
            <w:pPr>
              <w:pStyle w:val="Paragraphedeliste"/>
              <w:numPr>
                <w:ilvl w:val="0"/>
                <w:numId w:val="11"/>
              </w:numPr>
              <w:spacing w:after="60" w:line="240" w:lineRule="auto"/>
              <w:rPr>
                <w:bCs/>
                <w:sz w:val="16"/>
                <w:szCs w:val="16"/>
                <w:lang w:val="en-US"/>
              </w:rPr>
            </w:pPr>
            <w:r w:rsidRPr="00DF5C87">
              <w:rPr>
                <w:bCs/>
                <w:sz w:val="16"/>
                <w:szCs w:val="16"/>
                <w:lang w:val="en-US"/>
              </w:rPr>
              <w:t xml:space="preserve">The elevated temperatures could pose serious health risks to </w:t>
            </w:r>
            <w:r>
              <w:rPr>
                <w:bCs/>
                <w:sz w:val="16"/>
                <w:szCs w:val="16"/>
                <w:lang w:val="en-US"/>
              </w:rPr>
              <w:t>employees, especially the ones working outdoors (crews of boats</w:t>
            </w:r>
            <w:r w:rsidR="00EB6791">
              <w:rPr>
                <w:bCs/>
                <w:sz w:val="16"/>
                <w:szCs w:val="16"/>
                <w:lang w:val="en-US"/>
              </w:rPr>
              <w:t>, at shipyards or at ports)</w:t>
            </w:r>
            <w:r w:rsidRPr="00DF5C87">
              <w:rPr>
                <w:bCs/>
                <w:sz w:val="16"/>
                <w:szCs w:val="16"/>
                <w:lang w:val="en-US"/>
              </w:rPr>
              <w:t>, including heat exhaustion and heatstroke, necessitating stringent heat safety protocols and potentially affecting manpower availability.</w:t>
            </w:r>
          </w:p>
          <w:p w14:paraId="6D641B4C" w14:textId="28A21543" w:rsidR="00E376E4" w:rsidRDefault="00E376E4" w:rsidP="000615AC">
            <w:pPr>
              <w:pStyle w:val="Paragraphedeliste"/>
              <w:numPr>
                <w:ilvl w:val="0"/>
                <w:numId w:val="11"/>
              </w:numPr>
              <w:spacing w:after="60" w:line="240" w:lineRule="auto"/>
              <w:rPr>
                <w:bCs/>
                <w:sz w:val="16"/>
                <w:szCs w:val="16"/>
                <w:lang w:val="en-US"/>
              </w:rPr>
            </w:pPr>
            <w:r>
              <w:rPr>
                <w:bCs/>
                <w:sz w:val="16"/>
                <w:szCs w:val="16"/>
                <w:lang w:val="en-US"/>
              </w:rPr>
              <w:t>Ele</w:t>
            </w:r>
            <w:r w:rsidR="00F6558F">
              <w:rPr>
                <w:bCs/>
                <w:sz w:val="16"/>
                <w:szCs w:val="16"/>
                <w:lang w:val="en-US"/>
              </w:rPr>
              <w:t xml:space="preserve">vated temperatures could lead to </w:t>
            </w:r>
            <w:r w:rsidR="00745361">
              <w:rPr>
                <w:bCs/>
                <w:sz w:val="16"/>
                <w:szCs w:val="16"/>
                <w:lang w:val="en-US"/>
              </w:rPr>
              <w:t xml:space="preserve">a revision of the procedures in case temperatures </w:t>
            </w:r>
            <w:r w:rsidR="00522F2C">
              <w:rPr>
                <w:bCs/>
                <w:sz w:val="16"/>
                <w:szCs w:val="16"/>
                <w:lang w:val="en-US"/>
              </w:rPr>
              <w:t xml:space="preserve">hit a certain threshold. </w:t>
            </w:r>
            <w:r w:rsidR="00987081">
              <w:rPr>
                <w:bCs/>
                <w:sz w:val="16"/>
                <w:szCs w:val="16"/>
                <w:lang w:val="en-US"/>
              </w:rPr>
              <w:t xml:space="preserve">Specific protocols, </w:t>
            </w:r>
            <w:r w:rsidR="003F7ECD">
              <w:rPr>
                <w:bCs/>
                <w:sz w:val="16"/>
                <w:szCs w:val="16"/>
                <w:lang w:val="en-US"/>
              </w:rPr>
              <w:t>shorter shifts</w:t>
            </w:r>
            <w:r w:rsidR="00404856">
              <w:rPr>
                <w:bCs/>
                <w:sz w:val="16"/>
                <w:szCs w:val="16"/>
                <w:lang w:val="en-US"/>
              </w:rPr>
              <w:t xml:space="preserve"> or </w:t>
            </w:r>
            <w:r w:rsidR="00547C7A">
              <w:rPr>
                <w:bCs/>
                <w:sz w:val="16"/>
                <w:szCs w:val="16"/>
                <w:lang w:val="en-US"/>
              </w:rPr>
              <w:t xml:space="preserve">installation/upgrade of </w:t>
            </w:r>
            <w:r w:rsidR="003E612D">
              <w:rPr>
                <w:bCs/>
                <w:sz w:val="16"/>
                <w:szCs w:val="16"/>
                <w:lang w:val="en-US"/>
              </w:rPr>
              <w:t xml:space="preserve">equipment </w:t>
            </w:r>
            <w:r w:rsidR="00B30EDB">
              <w:rPr>
                <w:bCs/>
                <w:sz w:val="16"/>
                <w:szCs w:val="16"/>
                <w:lang w:val="en-US"/>
              </w:rPr>
              <w:t>could be necessary</w:t>
            </w:r>
            <w:r w:rsidR="00E57587">
              <w:rPr>
                <w:bCs/>
                <w:sz w:val="16"/>
                <w:szCs w:val="16"/>
                <w:lang w:val="en-US"/>
              </w:rPr>
              <w:t xml:space="preserve"> to protect the employee integrity and </w:t>
            </w:r>
            <w:r w:rsidR="008A3FC4">
              <w:rPr>
                <w:bCs/>
                <w:sz w:val="16"/>
                <w:szCs w:val="16"/>
                <w:lang w:val="en-US"/>
              </w:rPr>
              <w:t>working conditions.</w:t>
            </w:r>
          </w:p>
          <w:p w14:paraId="1D542A9B" w14:textId="77777777" w:rsidR="00703AFA" w:rsidRPr="00703AFA" w:rsidRDefault="00703AFA" w:rsidP="00703AFA">
            <w:pPr>
              <w:spacing w:after="60" w:line="240" w:lineRule="auto"/>
              <w:rPr>
                <w:bCs/>
                <w:sz w:val="16"/>
                <w:szCs w:val="16"/>
                <w:lang w:val="en-US"/>
              </w:rPr>
            </w:pPr>
          </w:p>
          <w:p w14:paraId="7ECCB19D" w14:textId="2EEEB19E" w:rsidR="00703AFA" w:rsidRDefault="00703AFA" w:rsidP="00703AFA">
            <w:pPr>
              <w:spacing w:after="60" w:line="240" w:lineRule="auto"/>
              <w:rPr>
                <w:bCs/>
                <w:sz w:val="16"/>
                <w:szCs w:val="16"/>
                <w:lang w:val="en-US"/>
              </w:rPr>
            </w:pPr>
            <w:r>
              <w:rPr>
                <w:bCs/>
                <w:sz w:val="16"/>
                <w:szCs w:val="16"/>
                <w:lang w:val="en-US"/>
              </w:rPr>
              <w:t>Specific impact</w:t>
            </w:r>
            <w:r w:rsidR="00856F3A">
              <w:rPr>
                <w:bCs/>
                <w:sz w:val="16"/>
                <w:szCs w:val="16"/>
                <w:lang w:val="en-US"/>
              </w:rPr>
              <w:t>s</w:t>
            </w:r>
            <w:r>
              <w:rPr>
                <w:bCs/>
                <w:sz w:val="16"/>
                <w:szCs w:val="16"/>
                <w:lang w:val="en-US"/>
              </w:rPr>
              <w:t xml:space="preserve"> for oil and gas offshore platforms:</w:t>
            </w:r>
          </w:p>
          <w:p w14:paraId="56A23EB6" w14:textId="45910864" w:rsidR="00703AFA" w:rsidRDefault="000E736F" w:rsidP="000615AC">
            <w:pPr>
              <w:pStyle w:val="Paragraphedeliste"/>
              <w:numPr>
                <w:ilvl w:val="0"/>
                <w:numId w:val="11"/>
              </w:numPr>
              <w:spacing w:after="60" w:line="240" w:lineRule="auto"/>
              <w:rPr>
                <w:bCs/>
                <w:sz w:val="16"/>
                <w:szCs w:val="16"/>
                <w:lang w:val="en-US"/>
              </w:rPr>
            </w:pPr>
            <w:r w:rsidRPr="000E736F">
              <w:rPr>
                <w:bCs/>
                <w:i/>
                <w:iCs/>
                <w:sz w:val="16"/>
                <w:szCs w:val="16"/>
                <w:lang w:val="en-US"/>
              </w:rPr>
              <w:t>Operational Efficiency Decline:</w:t>
            </w:r>
            <w:r>
              <w:rPr>
                <w:bCs/>
                <w:sz w:val="16"/>
                <w:szCs w:val="16"/>
                <w:lang w:val="en-US"/>
              </w:rPr>
              <w:t xml:space="preserve"> </w:t>
            </w:r>
            <w:r w:rsidR="00A5380C" w:rsidRPr="00A5380C">
              <w:rPr>
                <w:bCs/>
                <w:sz w:val="16"/>
                <w:szCs w:val="16"/>
                <w:lang w:val="en-US"/>
              </w:rPr>
              <w:t>Higher temperatures can lead to decreased efficiency of machinery and equipment due to overheating, necessitating additional cooling measures or causing more frequent shutdowns for maintenance, thus affecting overall productivity.</w:t>
            </w:r>
          </w:p>
          <w:p w14:paraId="1FA6485F" w14:textId="02358EF0" w:rsidR="00126D61" w:rsidRDefault="000E736F" w:rsidP="000615AC">
            <w:pPr>
              <w:pStyle w:val="Paragraphedeliste"/>
              <w:numPr>
                <w:ilvl w:val="0"/>
                <w:numId w:val="11"/>
              </w:numPr>
              <w:spacing w:after="60" w:line="240" w:lineRule="auto"/>
              <w:rPr>
                <w:bCs/>
                <w:sz w:val="16"/>
                <w:szCs w:val="16"/>
                <w:lang w:val="en-US"/>
              </w:rPr>
            </w:pPr>
            <w:r w:rsidRPr="000E736F">
              <w:rPr>
                <w:bCs/>
                <w:i/>
                <w:iCs/>
                <w:sz w:val="16"/>
                <w:szCs w:val="16"/>
                <w:lang w:val="en-US"/>
              </w:rPr>
              <w:t>Increased Cooling Requirements:</w:t>
            </w:r>
            <w:r>
              <w:rPr>
                <w:bCs/>
                <w:sz w:val="16"/>
                <w:szCs w:val="16"/>
                <w:lang w:val="en-US"/>
              </w:rPr>
              <w:t xml:space="preserve"> </w:t>
            </w:r>
            <w:r w:rsidR="00126D61">
              <w:rPr>
                <w:bCs/>
                <w:sz w:val="16"/>
                <w:szCs w:val="16"/>
                <w:lang w:val="en-US"/>
              </w:rPr>
              <w:t>T</w:t>
            </w:r>
            <w:r w:rsidR="00126D61" w:rsidRPr="00126D61">
              <w:rPr>
                <w:bCs/>
                <w:sz w:val="16"/>
                <w:szCs w:val="16"/>
                <w:lang w:val="en-US"/>
              </w:rPr>
              <w:t>he need for enhanced cooling systems for both the platform's machinery and the living quarters for the crew could result in significant additional energy consumption and operational costs</w:t>
            </w:r>
            <w:r w:rsidR="001F0D29">
              <w:rPr>
                <w:bCs/>
                <w:sz w:val="16"/>
                <w:szCs w:val="16"/>
                <w:lang w:val="en-US"/>
              </w:rPr>
              <w:t>, depending on the</w:t>
            </w:r>
            <w:r w:rsidR="007A01A5">
              <w:rPr>
                <w:bCs/>
                <w:sz w:val="16"/>
                <w:szCs w:val="16"/>
                <w:lang w:val="en-US"/>
              </w:rPr>
              <w:t xml:space="preserve"> climate</w:t>
            </w:r>
            <w:r w:rsidR="001F0D29">
              <w:rPr>
                <w:bCs/>
                <w:sz w:val="16"/>
                <w:szCs w:val="16"/>
                <w:lang w:val="en-US"/>
              </w:rPr>
              <w:t xml:space="preserve"> scenario</w:t>
            </w:r>
            <w:r w:rsidR="00126D61" w:rsidRPr="00126D61">
              <w:rPr>
                <w:bCs/>
                <w:sz w:val="16"/>
                <w:szCs w:val="16"/>
                <w:lang w:val="en-US"/>
              </w:rPr>
              <w:t>.</w:t>
            </w:r>
          </w:p>
          <w:p w14:paraId="3C441D5E" w14:textId="2B05D31D" w:rsidR="00C54AAC" w:rsidRPr="00703AFA" w:rsidRDefault="00F8325A" w:rsidP="000615AC">
            <w:pPr>
              <w:pStyle w:val="Paragraphedeliste"/>
              <w:numPr>
                <w:ilvl w:val="0"/>
                <w:numId w:val="11"/>
              </w:numPr>
              <w:spacing w:after="60" w:line="240" w:lineRule="auto"/>
              <w:rPr>
                <w:bCs/>
                <w:sz w:val="16"/>
                <w:szCs w:val="16"/>
                <w:lang w:val="en-US"/>
              </w:rPr>
            </w:pPr>
            <w:r w:rsidRPr="00F8325A">
              <w:rPr>
                <w:bCs/>
                <w:i/>
                <w:iCs/>
                <w:sz w:val="16"/>
                <w:szCs w:val="16"/>
                <w:lang w:val="en-US"/>
              </w:rPr>
              <w:t>Increased evaporation rates:</w:t>
            </w:r>
            <w:r>
              <w:rPr>
                <w:bCs/>
                <w:sz w:val="16"/>
                <w:szCs w:val="16"/>
                <w:lang w:val="en-US"/>
              </w:rPr>
              <w:t xml:space="preserve"> </w:t>
            </w:r>
            <w:r w:rsidR="00C54AAC" w:rsidRPr="00C54AAC">
              <w:rPr>
                <w:bCs/>
                <w:sz w:val="16"/>
                <w:szCs w:val="16"/>
                <w:lang w:val="en-US"/>
              </w:rPr>
              <w:t xml:space="preserve">Higher temperatures could </w:t>
            </w:r>
            <w:r w:rsidR="00C54AAC">
              <w:rPr>
                <w:bCs/>
                <w:sz w:val="16"/>
                <w:szCs w:val="16"/>
                <w:lang w:val="en-US"/>
              </w:rPr>
              <w:t xml:space="preserve">also </w:t>
            </w:r>
            <w:r w:rsidR="00C54AAC" w:rsidRPr="00C54AAC">
              <w:rPr>
                <w:bCs/>
                <w:sz w:val="16"/>
                <w:szCs w:val="16"/>
                <w:lang w:val="en-US"/>
              </w:rPr>
              <w:t>lead to increased evaporation rates of any water used in the drilling process, potentially affecting water management practices and costs</w:t>
            </w:r>
            <w:r w:rsidR="00C54AAC">
              <w:rPr>
                <w:bCs/>
                <w:sz w:val="16"/>
                <w:szCs w:val="16"/>
                <w:lang w:val="en-US"/>
              </w:rPr>
              <w:t>.</w:t>
            </w:r>
          </w:p>
          <w:p w14:paraId="0968B7F9" w14:textId="2AD81E4A" w:rsidR="00756133" w:rsidRPr="00B72A51" w:rsidRDefault="00756133" w:rsidP="00B72A51">
            <w:pPr>
              <w:spacing w:after="60" w:line="240" w:lineRule="auto"/>
              <w:rPr>
                <w:sz w:val="16"/>
                <w:szCs w:val="16"/>
                <w:lang w:val="en-US"/>
              </w:rPr>
            </w:pPr>
          </w:p>
        </w:tc>
      </w:tr>
      <w:tr w:rsidR="006C0F95" w:rsidRPr="00FA7359" w14:paraId="1FFCB359" w14:textId="77777777" w:rsidTr="00DA0DBF">
        <w:trPr>
          <w:trHeight w:val="1020"/>
        </w:trPr>
        <w:tc>
          <w:tcPr>
            <w:tcW w:w="1472" w:type="dxa"/>
            <w:shd w:val="clear" w:color="auto" w:fill="C9E7A7"/>
            <w:tcMar>
              <w:top w:w="72" w:type="dxa"/>
              <w:left w:w="144" w:type="dxa"/>
              <w:bottom w:w="72" w:type="dxa"/>
              <w:right w:w="144" w:type="dxa"/>
            </w:tcMar>
            <w:vAlign w:val="center"/>
          </w:tcPr>
          <w:p w14:paraId="28EC0AD5" w14:textId="4DFB52ED" w:rsidR="000033EE" w:rsidRPr="00FC75FA" w:rsidRDefault="000033EE" w:rsidP="00A46CA7">
            <w:pPr>
              <w:spacing w:after="60" w:line="240" w:lineRule="auto"/>
              <w:rPr>
                <w:b/>
                <w:sz w:val="16"/>
                <w:szCs w:val="16"/>
                <w:lang w:val="en-US"/>
              </w:rPr>
            </w:pPr>
            <w:r w:rsidRPr="00FC75FA">
              <w:rPr>
                <w:b/>
                <w:sz w:val="16"/>
                <w:szCs w:val="16"/>
                <w:lang w:val="en-US"/>
              </w:rPr>
              <w:lastRenderedPageBreak/>
              <w:t>Physical</w:t>
            </w:r>
          </w:p>
        </w:tc>
        <w:tc>
          <w:tcPr>
            <w:tcW w:w="2084" w:type="dxa"/>
            <w:vAlign w:val="center"/>
          </w:tcPr>
          <w:p w14:paraId="31CDE9F6" w14:textId="20843664" w:rsidR="000033EE" w:rsidRDefault="00235B23" w:rsidP="003B30CD">
            <w:pPr>
              <w:spacing w:after="60" w:line="240" w:lineRule="auto"/>
              <w:jc w:val="center"/>
              <w:rPr>
                <w:sz w:val="16"/>
                <w:szCs w:val="16"/>
                <w:lang w:val="en-US"/>
              </w:rPr>
            </w:pPr>
            <w:r>
              <w:rPr>
                <w:sz w:val="16"/>
                <w:szCs w:val="16"/>
                <w:lang w:val="en-US"/>
              </w:rPr>
              <w:t>Acute</w:t>
            </w:r>
          </w:p>
        </w:tc>
        <w:tc>
          <w:tcPr>
            <w:tcW w:w="2242" w:type="dxa"/>
            <w:shd w:val="clear" w:color="auto" w:fill="auto"/>
            <w:tcMar>
              <w:top w:w="72" w:type="dxa"/>
              <w:left w:w="144" w:type="dxa"/>
              <w:bottom w:w="72" w:type="dxa"/>
              <w:right w:w="144" w:type="dxa"/>
            </w:tcMar>
            <w:vAlign w:val="center"/>
          </w:tcPr>
          <w:p w14:paraId="026864D3" w14:textId="661F814F" w:rsidR="000033EE" w:rsidRDefault="00C54AAC" w:rsidP="00A46CA7">
            <w:pPr>
              <w:spacing w:after="60" w:line="240" w:lineRule="auto"/>
              <w:rPr>
                <w:sz w:val="16"/>
                <w:szCs w:val="16"/>
                <w:lang w:val="en-US"/>
              </w:rPr>
            </w:pPr>
            <w:r>
              <w:rPr>
                <w:sz w:val="16"/>
                <w:szCs w:val="16"/>
                <w:lang w:val="en-US"/>
              </w:rPr>
              <w:t>Extreme weather (storms and strong wind)</w:t>
            </w:r>
          </w:p>
        </w:tc>
        <w:tc>
          <w:tcPr>
            <w:tcW w:w="8184" w:type="dxa"/>
            <w:shd w:val="clear" w:color="auto" w:fill="auto"/>
            <w:tcMar>
              <w:top w:w="72" w:type="dxa"/>
              <w:left w:w="144" w:type="dxa"/>
              <w:bottom w:w="72" w:type="dxa"/>
              <w:right w:w="144" w:type="dxa"/>
            </w:tcMar>
            <w:vAlign w:val="center"/>
          </w:tcPr>
          <w:p w14:paraId="41010175" w14:textId="31B4A7EE" w:rsidR="000033EE" w:rsidRPr="00367C0B" w:rsidRDefault="000033EE" w:rsidP="00F0689D">
            <w:pPr>
              <w:spacing w:after="60" w:line="240" w:lineRule="auto"/>
              <w:rPr>
                <w:sz w:val="16"/>
                <w:szCs w:val="16"/>
                <w:lang w:val="en-US"/>
              </w:rPr>
            </w:pPr>
            <w:r w:rsidRPr="00DD3498">
              <w:rPr>
                <w:bCs/>
                <w:sz w:val="16"/>
                <w:szCs w:val="16"/>
                <w:lang w:val="en-US"/>
              </w:rPr>
              <w:t>Operating conditions:</w:t>
            </w:r>
          </w:p>
          <w:p w14:paraId="09757E1A" w14:textId="77777777" w:rsidR="000033EE" w:rsidRDefault="006C3E2C" w:rsidP="000615AC">
            <w:pPr>
              <w:pStyle w:val="Paragraphedeliste"/>
              <w:numPr>
                <w:ilvl w:val="0"/>
                <w:numId w:val="10"/>
              </w:numPr>
              <w:spacing w:after="60" w:line="240" w:lineRule="auto"/>
              <w:rPr>
                <w:bCs/>
                <w:sz w:val="16"/>
                <w:szCs w:val="16"/>
                <w:lang w:val="en-US"/>
              </w:rPr>
            </w:pPr>
            <w:r w:rsidRPr="006C3E2C">
              <w:rPr>
                <w:bCs/>
                <w:sz w:val="16"/>
                <w:szCs w:val="16"/>
                <w:lang w:val="en-US"/>
              </w:rPr>
              <w:t>Strong winds and atmospheric instability can lead to rough seas and hazardous navigation conditions, causing delays in shipping schedules, rerouting of vessels, and potential temporary suspension of services in affected areas.</w:t>
            </w:r>
          </w:p>
          <w:p w14:paraId="4971F90B" w14:textId="77777777" w:rsidR="006C3E2C" w:rsidRDefault="00F87096" w:rsidP="000615AC">
            <w:pPr>
              <w:pStyle w:val="Paragraphedeliste"/>
              <w:numPr>
                <w:ilvl w:val="0"/>
                <w:numId w:val="10"/>
              </w:numPr>
              <w:spacing w:after="60" w:line="240" w:lineRule="auto"/>
              <w:rPr>
                <w:bCs/>
                <w:sz w:val="16"/>
                <w:szCs w:val="16"/>
                <w:lang w:val="en-US"/>
              </w:rPr>
            </w:pPr>
            <w:r w:rsidRPr="00F87096">
              <w:rPr>
                <w:bCs/>
                <w:sz w:val="16"/>
                <w:szCs w:val="16"/>
                <w:lang w:val="en-US"/>
              </w:rPr>
              <w:t>Vessels may need to consume more fuel to maintain schedules or navigate around severe weather, leading to higher operational costs. Additionally, the need for increased power to stabilize vessels in rough conditions can further elevate fuel consumption.</w:t>
            </w:r>
          </w:p>
          <w:p w14:paraId="46E2AB73" w14:textId="79738052" w:rsidR="00451A57" w:rsidRDefault="00451A57" w:rsidP="000615AC">
            <w:pPr>
              <w:pStyle w:val="Paragraphedeliste"/>
              <w:numPr>
                <w:ilvl w:val="0"/>
                <w:numId w:val="10"/>
              </w:numPr>
              <w:spacing w:after="60" w:line="240" w:lineRule="auto"/>
              <w:rPr>
                <w:bCs/>
                <w:sz w:val="16"/>
                <w:szCs w:val="16"/>
                <w:lang w:val="en-US"/>
              </w:rPr>
            </w:pPr>
            <w:r w:rsidRPr="00451A57">
              <w:rPr>
                <w:bCs/>
                <w:sz w:val="16"/>
                <w:szCs w:val="16"/>
                <w:lang w:val="en-US"/>
              </w:rPr>
              <w:t>The risk of cargo damage or loss increases with severe weather conditions, potentially leading to financial losses from damaged goods and liability claims from customers.</w:t>
            </w:r>
          </w:p>
          <w:p w14:paraId="58E268CF" w14:textId="77777777" w:rsidR="00F87096" w:rsidRPr="00F87096" w:rsidRDefault="00F87096" w:rsidP="00F87096">
            <w:pPr>
              <w:spacing w:after="60" w:line="240" w:lineRule="auto"/>
              <w:rPr>
                <w:bCs/>
                <w:sz w:val="16"/>
                <w:szCs w:val="16"/>
                <w:lang w:val="en-US"/>
              </w:rPr>
            </w:pPr>
          </w:p>
          <w:p w14:paraId="57324C8B" w14:textId="68F68DC5" w:rsidR="00F87096" w:rsidRPr="00DD3498" w:rsidRDefault="00F87096" w:rsidP="00F87096">
            <w:pPr>
              <w:spacing w:after="60" w:line="240" w:lineRule="auto"/>
              <w:rPr>
                <w:bCs/>
                <w:sz w:val="16"/>
                <w:szCs w:val="16"/>
                <w:lang w:val="en-US"/>
              </w:rPr>
            </w:pPr>
            <w:r>
              <w:rPr>
                <w:bCs/>
                <w:sz w:val="16"/>
                <w:szCs w:val="16"/>
                <w:lang w:val="en-US"/>
              </w:rPr>
              <w:t>Infrastructure Damage</w:t>
            </w:r>
            <w:r w:rsidRPr="00DD3498">
              <w:rPr>
                <w:bCs/>
                <w:sz w:val="16"/>
                <w:szCs w:val="16"/>
                <w:lang w:val="en-US"/>
              </w:rPr>
              <w:t>:</w:t>
            </w:r>
          </w:p>
          <w:p w14:paraId="3FAF4A30" w14:textId="7A601D42" w:rsidR="00F87096" w:rsidRDefault="00451A57" w:rsidP="000615AC">
            <w:pPr>
              <w:numPr>
                <w:ilvl w:val="0"/>
                <w:numId w:val="12"/>
              </w:numPr>
              <w:spacing w:after="60" w:line="240" w:lineRule="auto"/>
              <w:rPr>
                <w:bCs/>
                <w:sz w:val="16"/>
                <w:szCs w:val="16"/>
                <w:lang w:val="en-US"/>
              </w:rPr>
            </w:pPr>
            <w:r w:rsidRPr="00451A57">
              <w:rPr>
                <w:bCs/>
                <w:sz w:val="16"/>
                <w:szCs w:val="16"/>
                <w:lang w:val="en-US"/>
              </w:rPr>
              <w:lastRenderedPageBreak/>
              <w:t>Port facilities and infrastructure may be at risk of damage from strong winds and storms, leading to costly repairs and operational delays. This includes loading and unloading equipment, storage facilities, and mooring structures.</w:t>
            </w:r>
          </w:p>
          <w:p w14:paraId="5077AA3D" w14:textId="77777777" w:rsidR="00690D4D" w:rsidRDefault="00690D4D" w:rsidP="00690D4D">
            <w:pPr>
              <w:spacing w:after="60" w:line="240" w:lineRule="auto"/>
              <w:rPr>
                <w:bCs/>
                <w:sz w:val="16"/>
                <w:szCs w:val="16"/>
                <w:lang w:val="en-US"/>
              </w:rPr>
            </w:pPr>
          </w:p>
          <w:p w14:paraId="4AF4A34C" w14:textId="6CACA4F0" w:rsidR="00690D4D" w:rsidRDefault="00690D4D" w:rsidP="00690D4D">
            <w:pPr>
              <w:spacing w:after="60" w:line="240" w:lineRule="auto"/>
              <w:rPr>
                <w:bCs/>
                <w:sz w:val="16"/>
                <w:szCs w:val="16"/>
                <w:lang w:val="en-US"/>
              </w:rPr>
            </w:pPr>
            <w:r>
              <w:rPr>
                <w:bCs/>
                <w:sz w:val="16"/>
                <w:szCs w:val="16"/>
                <w:lang w:val="en-US"/>
              </w:rPr>
              <w:t>Specific impact</w:t>
            </w:r>
            <w:r w:rsidR="00856F3A">
              <w:rPr>
                <w:bCs/>
                <w:sz w:val="16"/>
                <w:szCs w:val="16"/>
                <w:lang w:val="en-US"/>
              </w:rPr>
              <w:t>s</w:t>
            </w:r>
            <w:r>
              <w:rPr>
                <w:bCs/>
                <w:sz w:val="16"/>
                <w:szCs w:val="16"/>
                <w:lang w:val="en-US"/>
              </w:rPr>
              <w:t xml:space="preserve"> for oil and gas offshore platforms:</w:t>
            </w:r>
          </w:p>
          <w:p w14:paraId="04F47C57" w14:textId="0A44D1A6" w:rsidR="00E81B72" w:rsidRPr="00E81B72" w:rsidRDefault="00E81B72" w:rsidP="000615AC">
            <w:pPr>
              <w:pStyle w:val="Paragraphedeliste"/>
              <w:numPr>
                <w:ilvl w:val="0"/>
                <w:numId w:val="20"/>
              </w:numPr>
              <w:spacing w:after="60" w:line="240" w:lineRule="auto"/>
              <w:rPr>
                <w:bCs/>
                <w:sz w:val="16"/>
                <w:szCs w:val="16"/>
                <w:lang w:val="en-US"/>
              </w:rPr>
            </w:pPr>
            <w:r w:rsidRPr="00E81B72">
              <w:rPr>
                <w:bCs/>
                <w:i/>
                <w:iCs/>
                <w:sz w:val="16"/>
                <w:szCs w:val="16"/>
                <w:lang w:val="en-US"/>
              </w:rPr>
              <w:t>Operational Disruptions</w:t>
            </w:r>
            <w:r w:rsidRPr="00E81B72">
              <w:rPr>
                <w:bCs/>
                <w:sz w:val="16"/>
                <w:szCs w:val="16"/>
                <w:lang w:val="en-US"/>
              </w:rPr>
              <w:t>: Strong winds and severe weather conditions can lead to operational shutdowns or slowdowns for safety reasons. This could delay drilling and production activities, affecting the company's output and timelines.</w:t>
            </w:r>
            <w:r>
              <w:rPr>
                <w:bCs/>
                <w:sz w:val="16"/>
                <w:szCs w:val="16"/>
                <w:lang w:val="en-US"/>
              </w:rPr>
              <w:t xml:space="preserve"> </w:t>
            </w:r>
            <w:r w:rsidRPr="00E81B72">
              <w:rPr>
                <w:bCs/>
                <w:sz w:val="16"/>
                <w:szCs w:val="16"/>
                <w:lang w:val="en-US"/>
              </w:rPr>
              <w:t xml:space="preserve">The logistics of transporting personnel, equipment, and supplies to and from the platform </w:t>
            </w:r>
            <w:r w:rsidR="00E2632E" w:rsidRPr="00E81B72">
              <w:rPr>
                <w:bCs/>
                <w:sz w:val="16"/>
                <w:szCs w:val="16"/>
                <w:lang w:val="en-US"/>
              </w:rPr>
              <w:t>can also be</w:t>
            </w:r>
            <w:r>
              <w:rPr>
                <w:bCs/>
                <w:sz w:val="16"/>
                <w:szCs w:val="16"/>
                <w:lang w:val="en-US"/>
              </w:rPr>
              <w:t xml:space="preserve"> </w:t>
            </w:r>
            <w:r w:rsidRPr="00E81B72">
              <w:rPr>
                <w:bCs/>
                <w:sz w:val="16"/>
                <w:szCs w:val="16"/>
                <w:lang w:val="en-US"/>
              </w:rPr>
              <w:t>severely impacted by adverse weather conditions, leading to</w:t>
            </w:r>
            <w:r>
              <w:rPr>
                <w:bCs/>
                <w:sz w:val="16"/>
                <w:szCs w:val="16"/>
                <w:lang w:val="en-US"/>
              </w:rPr>
              <w:t xml:space="preserve"> additional</w:t>
            </w:r>
            <w:r w:rsidRPr="00E81B72">
              <w:rPr>
                <w:bCs/>
                <w:sz w:val="16"/>
                <w:szCs w:val="16"/>
                <w:lang w:val="en-US"/>
              </w:rPr>
              <w:t xml:space="preserve"> delays and increased costs.</w:t>
            </w:r>
          </w:p>
          <w:p w14:paraId="3252CD21" w14:textId="77777777" w:rsidR="00E81B72" w:rsidRPr="00E81B72" w:rsidRDefault="00E81B72" w:rsidP="000615AC">
            <w:pPr>
              <w:pStyle w:val="Paragraphedeliste"/>
              <w:numPr>
                <w:ilvl w:val="0"/>
                <w:numId w:val="20"/>
              </w:numPr>
              <w:spacing w:after="60" w:line="240" w:lineRule="auto"/>
              <w:rPr>
                <w:bCs/>
                <w:sz w:val="16"/>
                <w:szCs w:val="16"/>
                <w:lang w:val="en-US"/>
              </w:rPr>
            </w:pPr>
            <w:r w:rsidRPr="00E2632E">
              <w:rPr>
                <w:bCs/>
                <w:i/>
                <w:iCs/>
                <w:sz w:val="16"/>
                <w:szCs w:val="16"/>
                <w:lang w:val="en-US"/>
              </w:rPr>
              <w:t>Increased Safety Risks</w:t>
            </w:r>
            <w:r w:rsidRPr="00E81B72">
              <w:rPr>
                <w:bCs/>
                <w:sz w:val="16"/>
                <w:szCs w:val="16"/>
                <w:lang w:val="en-US"/>
              </w:rPr>
              <w:t>: The safety of personnel becomes a critical concern under such conditions. Evacuation procedures may need to be initiated in extreme cases, and additional safety measures would be required, potentially leading to increased operational costs.</w:t>
            </w:r>
          </w:p>
          <w:p w14:paraId="2D943552" w14:textId="77777777" w:rsidR="00E81B72" w:rsidRPr="00E81B72" w:rsidRDefault="00E81B72" w:rsidP="000615AC">
            <w:pPr>
              <w:pStyle w:val="Paragraphedeliste"/>
              <w:numPr>
                <w:ilvl w:val="0"/>
                <w:numId w:val="20"/>
              </w:numPr>
              <w:spacing w:after="60" w:line="240" w:lineRule="auto"/>
              <w:rPr>
                <w:bCs/>
                <w:sz w:val="16"/>
                <w:szCs w:val="16"/>
                <w:lang w:val="en-US"/>
              </w:rPr>
            </w:pPr>
            <w:r w:rsidRPr="00E2632E">
              <w:rPr>
                <w:bCs/>
                <w:i/>
                <w:iCs/>
                <w:sz w:val="16"/>
                <w:szCs w:val="16"/>
                <w:lang w:val="en-US"/>
              </w:rPr>
              <w:t>Infrastructure Damage</w:t>
            </w:r>
            <w:r w:rsidRPr="00E81B72">
              <w:rPr>
                <w:bCs/>
                <w:sz w:val="16"/>
                <w:szCs w:val="16"/>
                <w:lang w:val="en-US"/>
              </w:rPr>
              <w:t>: Offshore platforms and associated infrastructure, such as pipelines and support vessels, are at risk of damage from strong winds and rough seas. Repairing such damage can be costly and time-consuming, leading to further operational delays.</w:t>
            </w:r>
          </w:p>
          <w:p w14:paraId="0FDF59C5" w14:textId="4A06748E" w:rsidR="00E81B72" w:rsidRPr="00E81B72" w:rsidRDefault="00E81B72" w:rsidP="000615AC">
            <w:pPr>
              <w:pStyle w:val="Paragraphedeliste"/>
              <w:numPr>
                <w:ilvl w:val="0"/>
                <w:numId w:val="20"/>
              </w:numPr>
              <w:spacing w:after="60" w:line="240" w:lineRule="auto"/>
              <w:rPr>
                <w:bCs/>
                <w:sz w:val="16"/>
                <w:szCs w:val="16"/>
                <w:lang w:val="en-US"/>
              </w:rPr>
            </w:pPr>
            <w:r w:rsidRPr="00E2632E">
              <w:rPr>
                <w:bCs/>
                <w:i/>
                <w:iCs/>
                <w:sz w:val="16"/>
                <w:szCs w:val="16"/>
                <w:lang w:val="en-US"/>
              </w:rPr>
              <w:t>Environmental Risks:</w:t>
            </w:r>
            <w:r w:rsidRPr="00E81B72">
              <w:rPr>
                <w:bCs/>
                <w:sz w:val="16"/>
                <w:szCs w:val="16"/>
                <w:lang w:val="en-US"/>
              </w:rPr>
              <w:t xml:space="preserve"> Strong winds and rough seas increase the risk of environmental incidents, such as oil spills, which can have significant environmental and financial consequences, including cleanup costs</w:t>
            </w:r>
            <w:r w:rsidR="00111C85">
              <w:rPr>
                <w:bCs/>
                <w:sz w:val="16"/>
                <w:szCs w:val="16"/>
                <w:lang w:val="en-US"/>
              </w:rPr>
              <w:t>,</w:t>
            </w:r>
            <w:r w:rsidRPr="00E81B72">
              <w:rPr>
                <w:bCs/>
                <w:sz w:val="16"/>
                <w:szCs w:val="16"/>
                <w:lang w:val="en-US"/>
              </w:rPr>
              <w:t xml:space="preserve"> penalties</w:t>
            </w:r>
            <w:r w:rsidR="00111C85">
              <w:rPr>
                <w:bCs/>
                <w:sz w:val="16"/>
                <w:szCs w:val="16"/>
                <w:lang w:val="en-US"/>
              </w:rPr>
              <w:t xml:space="preserve"> and legal actions</w:t>
            </w:r>
            <w:r w:rsidRPr="00E81B72">
              <w:rPr>
                <w:bCs/>
                <w:sz w:val="16"/>
                <w:szCs w:val="16"/>
                <w:lang w:val="en-US"/>
              </w:rPr>
              <w:t>.</w:t>
            </w:r>
          </w:p>
          <w:p w14:paraId="79F0A527" w14:textId="2CE1620E" w:rsidR="00F87096" w:rsidRPr="00374F9C" w:rsidRDefault="00F87096" w:rsidP="00374F9C">
            <w:pPr>
              <w:spacing w:after="60" w:line="240" w:lineRule="auto"/>
              <w:rPr>
                <w:bCs/>
                <w:sz w:val="16"/>
                <w:szCs w:val="16"/>
                <w:lang w:val="en-US"/>
              </w:rPr>
            </w:pPr>
          </w:p>
        </w:tc>
      </w:tr>
    </w:tbl>
    <w:p w14:paraId="5728B465" w14:textId="77777777" w:rsidR="00B04F8F" w:rsidRDefault="00B04F8F" w:rsidP="00B04F8F">
      <w:pPr>
        <w:rPr>
          <w:lang w:val="en-US"/>
        </w:rPr>
      </w:pPr>
    </w:p>
    <w:p w14:paraId="1CFE629E" w14:textId="5FC9AE18" w:rsidR="00E5577D" w:rsidRPr="00B04F8F" w:rsidRDefault="00C821E7" w:rsidP="00B04F8F">
      <w:pPr>
        <w:rPr>
          <w:lang w:val="en-US"/>
        </w:rPr>
        <w:sectPr w:rsidR="00E5577D" w:rsidRPr="00B04F8F" w:rsidSect="00C821E7">
          <w:pgSz w:w="16838" w:h="11906" w:orient="landscape"/>
          <w:pgMar w:top="1418" w:right="1418" w:bottom="1418" w:left="1418" w:header="709" w:footer="709" w:gutter="0"/>
          <w:cols w:space="708"/>
          <w:docGrid w:linePitch="360"/>
        </w:sectPr>
      </w:pPr>
      <w:r w:rsidRPr="00B04F8F">
        <w:rPr>
          <w:lang w:val="en-US"/>
        </w:rPr>
        <w:br w:type="page"/>
      </w:r>
    </w:p>
    <w:p w14:paraId="20AEE69F" w14:textId="72569D5D" w:rsidR="00D2038D" w:rsidRPr="006C3E2C" w:rsidRDefault="00FA0DAC" w:rsidP="00D2038D">
      <w:pPr>
        <w:rPr>
          <w:lang w:val="en-US"/>
        </w:rPr>
      </w:pPr>
      <w:r w:rsidRPr="00367C0B">
        <w:rPr>
          <w:rFonts w:eastAsiaTheme="minorEastAsia" w:cs="Arial"/>
          <w:noProof/>
          <w:sz w:val="20"/>
          <w:szCs w:val="20"/>
          <w:lang w:val="en-US"/>
        </w:rPr>
        <w:lastRenderedPageBreak/>
        <mc:AlternateContent>
          <mc:Choice Requires="wps">
            <w:drawing>
              <wp:anchor distT="0" distB="0" distL="114300" distR="114300" simplePos="0" relativeHeight="251658241" behindDoc="0" locked="0" layoutInCell="1" allowOverlap="1" wp14:anchorId="6D240665" wp14:editId="69F46B72">
                <wp:simplePos x="0" y="0"/>
                <wp:positionH relativeFrom="margin">
                  <wp:align>left</wp:align>
                </wp:positionH>
                <wp:positionV relativeFrom="paragraph">
                  <wp:posOffset>15582</wp:posOffset>
                </wp:positionV>
                <wp:extent cx="6147435" cy="5834023"/>
                <wp:effectExtent l="0" t="0" r="5715" b="0"/>
                <wp:wrapNone/>
                <wp:docPr id="15" name="Rectangle 15"/>
                <wp:cNvGraphicFramePr/>
                <a:graphic xmlns:a="http://schemas.openxmlformats.org/drawingml/2006/main">
                  <a:graphicData uri="http://schemas.microsoft.com/office/word/2010/wordprocessingShape">
                    <wps:wsp>
                      <wps:cNvSpPr/>
                      <wps:spPr>
                        <a:xfrm>
                          <a:off x="0" y="0"/>
                          <a:ext cx="6147435" cy="5834023"/>
                        </a:xfrm>
                        <a:prstGeom prst="rect">
                          <a:avLst/>
                        </a:prstGeom>
                        <a:solidFill>
                          <a:schemeClr val="bg1">
                            <a:lumMod val="95000"/>
                          </a:schemeClr>
                        </a:solidFill>
                        <a:ln w="57150">
                          <a:noFill/>
                          <a:prstDash val="lgDash"/>
                        </a:ln>
                      </wps:spPr>
                      <wps:style>
                        <a:lnRef idx="2">
                          <a:schemeClr val="accent1">
                            <a:shade val="50000"/>
                          </a:schemeClr>
                        </a:lnRef>
                        <a:fillRef idx="1">
                          <a:schemeClr val="accent1"/>
                        </a:fillRef>
                        <a:effectRef idx="0">
                          <a:schemeClr val="accent1"/>
                        </a:effectRef>
                        <a:fontRef idx="minor">
                          <a:schemeClr val="lt1"/>
                        </a:fontRef>
                      </wps:style>
                      <wps:txbx>
                        <w:txbxContent>
                          <w:p w14:paraId="0ABEE3C2" w14:textId="3D77DC8F" w:rsidR="006A182B" w:rsidRDefault="00FA0DAC" w:rsidP="002E6F75">
                            <w:pPr>
                              <w:rPr>
                                <w:rFonts w:asciiTheme="minorHAnsi" w:hAnsiTheme="minorHAnsi" w:cstheme="minorHAnsi"/>
                                <w:lang w:val="en-US"/>
                              </w:rPr>
                            </w:pPr>
                            <w:r w:rsidRPr="003940E7">
                              <w:rPr>
                                <w:b/>
                                <w:bCs/>
                                <w:color w:val="000000" w:themeColor="text1"/>
                                <w:u w:val="single"/>
                                <w:lang w:val="en-US"/>
                              </w:rPr>
                              <w:t xml:space="preserve">Key takeaways of the </w:t>
                            </w:r>
                            <w:r>
                              <w:rPr>
                                <w:b/>
                                <w:bCs/>
                                <w:color w:val="000000" w:themeColor="text1"/>
                                <w:u w:val="single"/>
                                <w:lang w:val="en-US"/>
                              </w:rPr>
                              <w:t>analysis</w:t>
                            </w:r>
                            <w:r w:rsidRPr="00FA0DAC">
                              <w:rPr>
                                <w:b/>
                                <w:bCs/>
                                <w:color w:val="000000" w:themeColor="text1"/>
                                <w:u w:val="single"/>
                                <w:lang w:val="en-US"/>
                              </w:rPr>
                              <w:t xml:space="preserve"> of the potential impact of perils on </w:t>
                            </w:r>
                            <w:r w:rsidR="00306410">
                              <w:rPr>
                                <w:b/>
                                <w:bCs/>
                                <w:color w:val="000000" w:themeColor="text1"/>
                                <w:u w:val="single"/>
                                <w:lang w:val="en-US"/>
                              </w:rPr>
                              <w:t>ASCO</w:t>
                            </w:r>
                            <w:r w:rsidR="00E14638">
                              <w:rPr>
                                <w:b/>
                                <w:bCs/>
                                <w:color w:val="000000" w:themeColor="text1"/>
                                <w:u w:val="single"/>
                                <w:lang w:val="en-US"/>
                              </w:rPr>
                              <w:t>’s assets and Caspian Sea ports</w:t>
                            </w:r>
                            <w:r w:rsidR="00306410">
                              <w:rPr>
                                <w:b/>
                                <w:bCs/>
                                <w:color w:val="000000" w:themeColor="text1"/>
                                <w:u w:val="single"/>
                                <w:lang w:val="en-US"/>
                              </w:rPr>
                              <w:t xml:space="preserve"> and its clients </w:t>
                            </w:r>
                            <w:r w:rsidRPr="003940E7">
                              <w:rPr>
                                <w:b/>
                                <w:bCs/>
                                <w:color w:val="000000" w:themeColor="text1"/>
                                <w:u w:val="single"/>
                                <w:lang w:val="en-US"/>
                              </w:rPr>
                              <w:t xml:space="preserve">for the </w:t>
                            </w:r>
                            <w:r w:rsidR="0001252B">
                              <w:rPr>
                                <w:b/>
                                <w:bCs/>
                                <w:color w:val="000000" w:themeColor="text1"/>
                                <w:u w:val="single"/>
                                <w:lang w:val="en-US"/>
                              </w:rPr>
                              <w:t>studied</w:t>
                            </w:r>
                            <w:r w:rsidR="00306410">
                              <w:rPr>
                                <w:b/>
                                <w:bCs/>
                                <w:color w:val="000000" w:themeColor="text1"/>
                                <w:u w:val="single"/>
                                <w:lang w:val="en-US"/>
                              </w:rPr>
                              <w:t xml:space="preserve"> </w:t>
                            </w:r>
                            <w:r w:rsidRPr="003940E7">
                              <w:rPr>
                                <w:b/>
                                <w:bCs/>
                                <w:color w:val="000000" w:themeColor="text1"/>
                                <w:u w:val="single"/>
                                <w:lang w:val="en-US"/>
                              </w:rPr>
                              <w:t xml:space="preserve">risks </w:t>
                            </w:r>
                          </w:p>
                          <w:p w14:paraId="7F7E0779" w14:textId="77777777" w:rsidR="006C6243" w:rsidRDefault="00306410" w:rsidP="002E6F75">
                            <w:pPr>
                              <w:rPr>
                                <w:color w:val="000000" w:themeColor="text1"/>
                                <w:lang w:val="en-US"/>
                              </w:rPr>
                            </w:pPr>
                            <w:r>
                              <w:rPr>
                                <w:b/>
                                <w:bCs/>
                                <w:color w:val="000000" w:themeColor="text1"/>
                                <w:lang w:val="en-US"/>
                              </w:rPr>
                              <w:t>Sea level decrease</w:t>
                            </w:r>
                            <w:r w:rsidR="00A53DB4" w:rsidRPr="0028774F">
                              <w:rPr>
                                <w:b/>
                                <w:bCs/>
                                <w:color w:val="000000" w:themeColor="text1"/>
                                <w:lang w:val="en-US"/>
                              </w:rPr>
                              <w:t>:</w:t>
                            </w:r>
                            <w:r w:rsidR="00A53DB4">
                              <w:rPr>
                                <w:color w:val="000000" w:themeColor="text1"/>
                                <w:lang w:val="en-US"/>
                              </w:rPr>
                              <w:t xml:space="preserve"> </w:t>
                            </w:r>
                            <w:r w:rsidR="00A50601">
                              <w:rPr>
                                <w:color w:val="000000" w:themeColor="text1"/>
                                <w:lang w:val="en-US"/>
                              </w:rPr>
                              <w:t>S</w:t>
                            </w:r>
                            <w:r w:rsidR="00A50601" w:rsidRPr="00A50601">
                              <w:rPr>
                                <w:color w:val="000000" w:themeColor="text1"/>
                                <w:lang w:val="en-US"/>
                              </w:rPr>
                              <w:t>ignificant operational challenges for maritime transportation companies, including reduced port accessibility, necessitating costly infrastructure modifications and potential adjustments in shipping routes. These changes could lead to increased operational costs</w:t>
                            </w:r>
                            <w:r w:rsidR="00632A8D">
                              <w:rPr>
                                <w:color w:val="000000" w:themeColor="text1"/>
                                <w:lang w:val="en-US"/>
                              </w:rPr>
                              <w:t xml:space="preserve"> </w:t>
                            </w:r>
                            <w:r w:rsidR="00A50601" w:rsidRPr="00A50601">
                              <w:rPr>
                                <w:color w:val="000000" w:themeColor="text1"/>
                                <w:lang w:val="en-US"/>
                              </w:rPr>
                              <w:t xml:space="preserve">and a need for fleet adaptation, ultimately impacting revenue negatively. </w:t>
                            </w:r>
                          </w:p>
                          <w:p w14:paraId="7637F364" w14:textId="4A43AB13" w:rsidR="00056597" w:rsidRDefault="00056597" w:rsidP="002E6F75">
                            <w:pPr>
                              <w:rPr>
                                <w:color w:val="000000" w:themeColor="text1"/>
                                <w:lang w:val="en-US"/>
                              </w:rPr>
                            </w:pPr>
                            <w:r>
                              <w:rPr>
                                <w:b/>
                                <w:bCs/>
                                <w:color w:val="000000" w:themeColor="text1"/>
                                <w:lang w:val="en-US"/>
                              </w:rPr>
                              <w:t>High temperatures and h</w:t>
                            </w:r>
                            <w:r w:rsidRPr="0028774F">
                              <w:rPr>
                                <w:b/>
                                <w:bCs/>
                                <w:color w:val="000000" w:themeColor="text1"/>
                                <w:lang w:val="en-US"/>
                              </w:rPr>
                              <w:t>eat:</w:t>
                            </w:r>
                            <w:r w:rsidR="005D76B3">
                              <w:rPr>
                                <w:b/>
                                <w:bCs/>
                                <w:color w:val="000000" w:themeColor="text1"/>
                                <w:lang w:val="en-US"/>
                              </w:rPr>
                              <w:t xml:space="preserve"> </w:t>
                            </w:r>
                            <w:r w:rsidR="005D76B3" w:rsidRPr="00FB6EB1">
                              <w:rPr>
                                <w:color w:val="000000" w:themeColor="text1"/>
                                <w:lang w:val="en-US"/>
                              </w:rPr>
                              <w:t>Operational efficiency of engines may be decreased, additional cooling measures</w:t>
                            </w:r>
                            <w:r w:rsidR="00D07283" w:rsidRPr="00FB6EB1">
                              <w:rPr>
                                <w:color w:val="000000" w:themeColor="text1"/>
                                <w:lang w:val="en-US"/>
                              </w:rPr>
                              <w:t xml:space="preserve"> and more frequent maintenance of the vessels. Health risks for employees</w:t>
                            </w:r>
                            <w:r w:rsidR="00FB6EB1" w:rsidRPr="00FB6EB1">
                              <w:rPr>
                                <w:color w:val="000000" w:themeColor="text1"/>
                                <w:lang w:val="en-US"/>
                              </w:rPr>
                              <w:t xml:space="preserve"> is also</w:t>
                            </w:r>
                            <w:r w:rsidR="00FB6EB1">
                              <w:rPr>
                                <w:color w:val="000000" w:themeColor="text1"/>
                                <w:lang w:val="en-US"/>
                              </w:rPr>
                              <w:t xml:space="preserve"> </w:t>
                            </w:r>
                            <w:r w:rsidR="00FB6EB1" w:rsidRPr="00FB6EB1">
                              <w:rPr>
                                <w:color w:val="000000" w:themeColor="text1"/>
                                <w:lang w:val="en-US"/>
                              </w:rPr>
                              <w:t>i</w:t>
                            </w:r>
                            <w:r w:rsidR="00FB6EB1">
                              <w:rPr>
                                <w:color w:val="000000" w:themeColor="text1"/>
                                <w:lang w:val="en-US"/>
                              </w:rPr>
                              <w:t>n</w:t>
                            </w:r>
                            <w:r w:rsidR="00FB6EB1" w:rsidRPr="00FB6EB1">
                              <w:rPr>
                                <w:color w:val="000000" w:themeColor="text1"/>
                                <w:lang w:val="en-US"/>
                              </w:rPr>
                              <w:t>creased</w:t>
                            </w:r>
                            <w:r w:rsidR="00501D08">
                              <w:rPr>
                                <w:color w:val="000000" w:themeColor="text1"/>
                                <w:lang w:val="en-US"/>
                              </w:rPr>
                              <w:t xml:space="preserve"> and workforce productivity is likely to be affected</w:t>
                            </w:r>
                            <w:r w:rsidR="00FB6EB1" w:rsidRPr="00FB6EB1">
                              <w:rPr>
                                <w:color w:val="000000" w:themeColor="text1"/>
                                <w:lang w:val="en-US"/>
                              </w:rPr>
                              <w:t>.</w:t>
                            </w:r>
                          </w:p>
                          <w:p w14:paraId="1589AB36" w14:textId="72B1A7B0" w:rsidR="00056597" w:rsidRPr="005E0E92" w:rsidRDefault="00056597" w:rsidP="00056597">
                            <w:pPr>
                              <w:rPr>
                                <w:color w:val="000000" w:themeColor="text1"/>
                                <w:lang w:val="en-US"/>
                              </w:rPr>
                            </w:pPr>
                            <w:r>
                              <w:rPr>
                                <w:b/>
                                <w:bCs/>
                                <w:color w:val="000000" w:themeColor="text1"/>
                                <w:lang w:val="en-US"/>
                              </w:rPr>
                              <w:t>Extreme weather</w:t>
                            </w:r>
                            <w:r w:rsidRPr="0028774F">
                              <w:rPr>
                                <w:b/>
                                <w:bCs/>
                                <w:color w:val="000000" w:themeColor="text1"/>
                                <w:lang w:val="en-US"/>
                              </w:rPr>
                              <w:t>:</w:t>
                            </w:r>
                            <w:r>
                              <w:rPr>
                                <w:color w:val="000000" w:themeColor="text1"/>
                                <w:lang w:val="en-US"/>
                              </w:rPr>
                              <w:t xml:space="preserve"> Operational</w:t>
                            </w:r>
                            <w:r w:rsidRPr="005E0E92">
                              <w:rPr>
                                <w:color w:val="000000" w:themeColor="text1"/>
                                <w:lang w:val="en-US"/>
                              </w:rPr>
                              <w:t xml:space="preserve"> disruptions, increased fuel consumption, and potential damage to vessels and infrastructure. The safety of the crew and the integrity of cargo are at heightened risk, potentially resulting in financial losses from damaged goods and liability claims. </w:t>
                            </w:r>
                            <w:r w:rsidR="00366F81">
                              <w:rPr>
                                <w:color w:val="000000" w:themeColor="text1"/>
                                <w:lang w:val="en-US"/>
                              </w:rPr>
                              <w:t>Workforce productivity is also likely to be affected.</w:t>
                            </w:r>
                          </w:p>
                          <w:p w14:paraId="2C38F369" w14:textId="52AB3582" w:rsidR="00DC3F48" w:rsidRPr="0064593C" w:rsidRDefault="00E14638" w:rsidP="002E6F75">
                            <w:pPr>
                              <w:rPr>
                                <w:b/>
                                <w:bCs/>
                                <w:color w:val="000000" w:themeColor="text1"/>
                                <w:u w:val="single"/>
                                <w:lang w:val="en-US"/>
                              </w:rPr>
                            </w:pPr>
                            <w:r w:rsidRPr="0064593C">
                              <w:rPr>
                                <w:b/>
                                <w:bCs/>
                                <w:color w:val="000000" w:themeColor="text1"/>
                                <w:u w:val="single"/>
                                <w:lang w:val="en-US"/>
                              </w:rPr>
                              <w:t>Key take</w:t>
                            </w:r>
                            <w:r w:rsidR="0064593C" w:rsidRPr="0064593C">
                              <w:rPr>
                                <w:b/>
                                <w:bCs/>
                                <w:color w:val="000000" w:themeColor="text1"/>
                                <w:u w:val="single"/>
                                <w:lang w:val="en-US"/>
                              </w:rPr>
                              <w:t xml:space="preserve">aways of the analysis of the potential impacts of perils on </w:t>
                            </w:r>
                            <w:r w:rsidRPr="0064593C">
                              <w:rPr>
                                <w:b/>
                                <w:bCs/>
                                <w:color w:val="000000" w:themeColor="text1"/>
                                <w:u w:val="single"/>
                                <w:lang w:val="en-US"/>
                              </w:rPr>
                              <w:t>Oil</w:t>
                            </w:r>
                            <w:r w:rsidR="00302BF4">
                              <w:rPr>
                                <w:b/>
                                <w:bCs/>
                                <w:color w:val="000000" w:themeColor="text1"/>
                                <w:u w:val="single"/>
                                <w:lang w:val="en-US"/>
                              </w:rPr>
                              <w:t xml:space="preserve"> </w:t>
                            </w:r>
                            <w:r w:rsidRPr="0064593C">
                              <w:rPr>
                                <w:b/>
                                <w:bCs/>
                                <w:color w:val="000000" w:themeColor="text1"/>
                                <w:u w:val="single"/>
                                <w:lang w:val="en-US"/>
                              </w:rPr>
                              <w:t>&amp;</w:t>
                            </w:r>
                            <w:r w:rsidR="00302BF4">
                              <w:rPr>
                                <w:b/>
                                <w:bCs/>
                                <w:color w:val="000000" w:themeColor="text1"/>
                                <w:u w:val="single"/>
                                <w:lang w:val="en-US"/>
                              </w:rPr>
                              <w:t xml:space="preserve"> </w:t>
                            </w:r>
                            <w:r w:rsidRPr="0064593C">
                              <w:rPr>
                                <w:b/>
                                <w:bCs/>
                                <w:color w:val="000000" w:themeColor="text1"/>
                                <w:u w:val="single"/>
                                <w:lang w:val="en-US"/>
                              </w:rPr>
                              <w:t>Ga</w:t>
                            </w:r>
                            <w:r w:rsidR="00302BF4">
                              <w:rPr>
                                <w:b/>
                                <w:bCs/>
                                <w:color w:val="000000" w:themeColor="text1"/>
                                <w:u w:val="single"/>
                                <w:lang w:val="en-US"/>
                              </w:rPr>
                              <w:t>s</w:t>
                            </w:r>
                            <w:r w:rsidRPr="0064593C">
                              <w:rPr>
                                <w:b/>
                                <w:bCs/>
                                <w:color w:val="000000" w:themeColor="text1"/>
                                <w:u w:val="single"/>
                                <w:lang w:val="en-US"/>
                              </w:rPr>
                              <w:t xml:space="preserve"> offshore </w:t>
                            </w:r>
                            <w:r w:rsidR="00761422" w:rsidRPr="0064593C">
                              <w:rPr>
                                <w:b/>
                                <w:bCs/>
                                <w:color w:val="000000" w:themeColor="text1"/>
                                <w:u w:val="single"/>
                                <w:lang w:val="en-US"/>
                              </w:rPr>
                              <w:t>platforms</w:t>
                            </w:r>
                          </w:p>
                          <w:p w14:paraId="5F536D6E" w14:textId="69A27620" w:rsidR="005A2E1E" w:rsidRDefault="005A2E1E" w:rsidP="002E6F75">
                            <w:pPr>
                              <w:rPr>
                                <w:b/>
                                <w:bCs/>
                                <w:color w:val="000000" w:themeColor="text1"/>
                                <w:lang w:val="en-US"/>
                              </w:rPr>
                            </w:pPr>
                            <w:r>
                              <w:rPr>
                                <w:b/>
                                <w:bCs/>
                                <w:color w:val="000000" w:themeColor="text1"/>
                                <w:lang w:val="en-US"/>
                              </w:rPr>
                              <w:t xml:space="preserve">Sea level decrease: </w:t>
                            </w:r>
                            <w:r w:rsidR="00813D20" w:rsidRPr="006017F2">
                              <w:rPr>
                                <w:color w:val="000000" w:themeColor="text1"/>
                                <w:lang w:val="en-US"/>
                              </w:rPr>
                              <w:t>Safety concerns over the structural integrity of the platform</w:t>
                            </w:r>
                            <w:r w:rsidR="007D377C" w:rsidRPr="006017F2">
                              <w:rPr>
                                <w:color w:val="000000" w:themeColor="text1"/>
                                <w:lang w:val="en-US"/>
                              </w:rPr>
                              <w:t xml:space="preserve"> and drilling and extraction complications</w:t>
                            </w:r>
                            <w:r w:rsidR="006017F2" w:rsidRPr="006017F2">
                              <w:rPr>
                                <w:color w:val="000000" w:themeColor="text1"/>
                                <w:lang w:val="en-US"/>
                              </w:rPr>
                              <w:t xml:space="preserve"> as water pressure decreases.</w:t>
                            </w:r>
                          </w:p>
                          <w:p w14:paraId="13B1C077" w14:textId="66016A2F" w:rsidR="00D901A6" w:rsidRPr="00AD3AA6" w:rsidRDefault="00632A8D" w:rsidP="002E6F75">
                            <w:pPr>
                              <w:rPr>
                                <w:color w:val="000000" w:themeColor="text1"/>
                                <w:lang w:val="en-US"/>
                              </w:rPr>
                            </w:pPr>
                            <w:r>
                              <w:rPr>
                                <w:b/>
                                <w:bCs/>
                                <w:color w:val="000000" w:themeColor="text1"/>
                                <w:lang w:val="en-US"/>
                              </w:rPr>
                              <w:t>High temperatures and h</w:t>
                            </w:r>
                            <w:r w:rsidR="00D901A6" w:rsidRPr="0028774F">
                              <w:rPr>
                                <w:b/>
                                <w:bCs/>
                                <w:color w:val="000000" w:themeColor="text1"/>
                                <w:lang w:val="en-US"/>
                              </w:rPr>
                              <w:t>eat:</w:t>
                            </w:r>
                            <w:r w:rsidR="00D901A6">
                              <w:rPr>
                                <w:color w:val="000000" w:themeColor="text1"/>
                                <w:lang w:val="en-US"/>
                              </w:rPr>
                              <w:t xml:space="preserve"> </w:t>
                            </w:r>
                            <w:r w:rsidR="00AD3AA6">
                              <w:rPr>
                                <w:color w:val="000000" w:themeColor="text1"/>
                                <w:lang w:val="en-US"/>
                              </w:rPr>
                              <w:t>D</w:t>
                            </w:r>
                            <w:r w:rsidR="00AD3AA6" w:rsidRPr="00AD3AA6">
                              <w:rPr>
                                <w:color w:val="000000" w:themeColor="text1"/>
                                <w:lang w:val="en-US"/>
                              </w:rPr>
                              <w:t>ecreased operational efficiency due to machinery overheating, necessitating additional cooling measures and potentially causing frequent shutdowns for maintenance. The health and safety of the workforce are at increased risk, potentially affecting productivity.</w:t>
                            </w:r>
                          </w:p>
                          <w:p w14:paraId="2090A87D" w14:textId="1E0E277C" w:rsidR="009A64C5" w:rsidRPr="005E0E92" w:rsidRDefault="0077160D" w:rsidP="009A64C5">
                            <w:pPr>
                              <w:rPr>
                                <w:color w:val="000000" w:themeColor="text1"/>
                                <w:lang w:val="en-US"/>
                              </w:rPr>
                            </w:pPr>
                            <w:r>
                              <w:rPr>
                                <w:b/>
                                <w:bCs/>
                                <w:color w:val="000000" w:themeColor="text1"/>
                                <w:lang w:val="en-US"/>
                              </w:rPr>
                              <w:t>Extreme weather</w:t>
                            </w:r>
                            <w:r w:rsidR="00FF4C10" w:rsidRPr="0028774F">
                              <w:rPr>
                                <w:b/>
                                <w:bCs/>
                                <w:color w:val="000000" w:themeColor="text1"/>
                                <w:lang w:val="en-US"/>
                              </w:rPr>
                              <w:t>:</w:t>
                            </w:r>
                            <w:r w:rsidR="00FF4C10">
                              <w:rPr>
                                <w:color w:val="000000" w:themeColor="text1"/>
                                <w:lang w:val="en-US"/>
                              </w:rPr>
                              <w:t xml:space="preserve"> </w:t>
                            </w:r>
                            <w:r w:rsidR="00314AF1">
                              <w:rPr>
                                <w:color w:val="000000" w:themeColor="text1"/>
                                <w:lang w:val="en-US"/>
                              </w:rPr>
                              <w:t>Potential operational shutdowns and infrastructural damage to the platform.</w:t>
                            </w:r>
                            <w:r w:rsidR="00C11DFB">
                              <w:rPr>
                                <w:color w:val="000000" w:themeColor="text1"/>
                                <w:lang w:val="en-US"/>
                              </w:rPr>
                              <w:t xml:space="preserve"> Necessity to revise the health and safety procedures, including to cope with emergencies</w:t>
                            </w:r>
                            <w:r w:rsidR="009B6BFB">
                              <w:rPr>
                                <w:color w:val="000000" w:themeColor="text1"/>
                                <w:lang w:val="en-US"/>
                              </w:rPr>
                              <w:t xml:space="preserve"> having </w:t>
                            </w:r>
                            <w:r w:rsidR="00231367">
                              <w:rPr>
                                <w:color w:val="000000" w:themeColor="text1"/>
                                <w:lang w:val="en-US"/>
                              </w:rPr>
                              <w:t>different characteristics.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D240665" id="Rectangle 15" o:spid="_x0000_s1028" style="position:absolute;left:0;text-align:left;margin-left:0;margin-top:1.25pt;width:484.05pt;height:459.35pt;z-index:251658241;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" fillcolor="#f2f2f2 [3052]" stroked="f" strokeweight="4.5pt">
                <v:stroke dashstyle="longDash"/>
                <v:textbox>
                  <w:txbxContent>
                    <w:p w14:paraId="0ABEE3C2" w14:textId="3D77DC8F" w:rsidR="006A182B" w:rsidRDefault="00FA0DAC" w:rsidP="002E6F75">
                      <w:pPr>
                        <w:rPr>
                          <w:rFonts w:asciiTheme="minorHAnsi" w:hAnsiTheme="minorHAnsi" w:cstheme="minorHAnsi"/>
                          <w:lang w:val="en-US"/>
                        </w:rPr>
                      </w:pPr>
                      <w:r w:rsidRPr="003940E7">
                        <w:rPr>
                          <w:b/>
                          <w:bCs/>
                          <w:color w:val="000000" w:themeColor="text1"/>
                          <w:u w:val="single"/>
                          <w:lang w:val="en-US"/>
                        </w:rPr>
                        <w:t xml:space="preserve">Key takeaways of the </w:t>
                      </w:r>
                      <w:r>
                        <w:rPr>
                          <w:b/>
                          <w:bCs/>
                          <w:color w:val="000000" w:themeColor="text1"/>
                          <w:u w:val="single"/>
                          <w:lang w:val="en-US"/>
                        </w:rPr>
                        <w:t>analysis</w:t>
                      </w:r>
                      <w:r w:rsidRPr="00FA0DAC">
                        <w:rPr>
                          <w:b/>
                          <w:bCs/>
                          <w:color w:val="000000" w:themeColor="text1"/>
                          <w:u w:val="single"/>
                          <w:lang w:val="en-US"/>
                        </w:rPr>
                        <w:t xml:space="preserve"> of the potential impact of perils on </w:t>
                      </w:r>
                      <w:r w:rsidR="00306410">
                        <w:rPr>
                          <w:b/>
                          <w:bCs/>
                          <w:color w:val="000000" w:themeColor="text1"/>
                          <w:u w:val="single"/>
                          <w:lang w:val="en-US"/>
                        </w:rPr>
                        <w:t>ASCO</w:t>
                      </w:r>
                      <w:r w:rsidR="00E14638">
                        <w:rPr>
                          <w:b/>
                          <w:bCs/>
                          <w:color w:val="000000" w:themeColor="text1"/>
                          <w:u w:val="single"/>
                          <w:lang w:val="en-US"/>
                        </w:rPr>
                        <w:t>’s assets and Caspian Sea ports</w:t>
                      </w:r>
                      <w:r w:rsidR="00306410">
                        <w:rPr>
                          <w:b/>
                          <w:bCs/>
                          <w:color w:val="000000" w:themeColor="text1"/>
                          <w:u w:val="single"/>
                          <w:lang w:val="en-US"/>
                        </w:rPr>
                        <w:t xml:space="preserve"> and its clients </w:t>
                      </w:r>
                      <w:r w:rsidRPr="003940E7">
                        <w:rPr>
                          <w:b/>
                          <w:bCs/>
                          <w:color w:val="000000" w:themeColor="text1"/>
                          <w:u w:val="single"/>
                          <w:lang w:val="en-US"/>
                        </w:rPr>
                        <w:t xml:space="preserve">for the </w:t>
                      </w:r>
                      <w:r w:rsidR="0001252B">
                        <w:rPr>
                          <w:b/>
                          <w:bCs/>
                          <w:color w:val="000000" w:themeColor="text1"/>
                          <w:u w:val="single"/>
                          <w:lang w:val="en-US"/>
                        </w:rPr>
                        <w:t>studied</w:t>
                      </w:r>
                      <w:r w:rsidR="00306410">
                        <w:rPr>
                          <w:b/>
                          <w:bCs/>
                          <w:color w:val="000000" w:themeColor="text1"/>
                          <w:u w:val="single"/>
                          <w:lang w:val="en-US"/>
                        </w:rPr>
                        <w:t xml:space="preserve"> </w:t>
                      </w:r>
                      <w:r w:rsidRPr="003940E7">
                        <w:rPr>
                          <w:b/>
                          <w:bCs/>
                          <w:color w:val="000000" w:themeColor="text1"/>
                          <w:u w:val="single"/>
                          <w:lang w:val="en-US"/>
                        </w:rPr>
                        <w:t xml:space="preserve">risks </w:t>
                      </w:r>
                    </w:p>
                    <w:p w14:paraId="7F7E0779" w14:textId="77777777" w:rsidR="006C6243" w:rsidRDefault="00306410" w:rsidP="002E6F75">
                      <w:pPr>
                        <w:rPr>
                          <w:color w:val="000000" w:themeColor="text1"/>
                          <w:lang w:val="en-US"/>
                        </w:rPr>
                      </w:pPr>
                      <w:r>
                        <w:rPr>
                          <w:b/>
                          <w:bCs/>
                          <w:color w:val="000000" w:themeColor="text1"/>
                          <w:lang w:val="en-US"/>
                        </w:rPr>
                        <w:t>Sea level decrease</w:t>
                      </w:r>
                      <w:r w:rsidR="00A53DB4" w:rsidRPr="0028774F">
                        <w:rPr>
                          <w:b/>
                          <w:bCs/>
                          <w:color w:val="000000" w:themeColor="text1"/>
                          <w:lang w:val="en-US"/>
                        </w:rPr>
                        <w:t>:</w:t>
                      </w:r>
                      <w:r w:rsidR="00A53DB4">
                        <w:rPr>
                          <w:color w:val="000000" w:themeColor="text1"/>
                          <w:lang w:val="en-US"/>
                        </w:rPr>
                        <w:t xml:space="preserve"> </w:t>
                      </w:r>
                      <w:r w:rsidR="00A50601">
                        <w:rPr>
                          <w:color w:val="000000" w:themeColor="text1"/>
                          <w:lang w:val="en-US"/>
                        </w:rPr>
                        <w:t>S</w:t>
                      </w:r>
                      <w:r w:rsidR="00A50601" w:rsidRPr="00A50601">
                        <w:rPr>
                          <w:color w:val="000000" w:themeColor="text1"/>
                          <w:lang w:val="en-US"/>
                        </w:rPr>
                        <w:t>ignificant operational challenges for maritime transportation companies, including reduced port accessibility, necessitating costly infrastructure modifications and potential adjustments in shipping routes. These changes could lead to increased operational costs</w:t>
                      </w:r>
                      <w:r w:rsidR="00632A8D">
                        <w:rPr>
                          <w:color w:val="000000" w:themeColor="text1"/>
                          <w:lang w:val="en-US"/>
                        </w:rPr>
                        <w:t xml:space="preserve"> </w:t>
                      </w:r>
                      <w:r w:rsidR="00A50601" w:rsidRPr="00A50601">
                        <w:rPr>
                          <w:color w:val="000000" w:themeColor="text1"/>
                          <w:lang w:val="en-US"/>
                        </w:rPr>
                        <w:t xml:space="preserve">and a need for fleet adaptation, ultimately impacting revenue negatively. </w:t>
                      </w:r>
                    </w:p>
                    <w:p w14:paraId="7637F364" w14:textId="4A43AB13" w:rsidR="00056597" w:rsidRDefault="00056597" w:rsidP="002E6F75">
                      <w:pPr>
                        <w:rPr>
                          <w:color w:val="000000" w:themeColor="text1"/>
                          <w:lang w:val="en-US"/>
                        </w:rPr>
                      </w:pPr>
                      <w:r>
                        <w:rPr>
                          <w:b/>
                          <w:bCs/>
                          <w:color w:val="000000" w:themeColor="text1"/>
                          <w:lang w:val="en-US"/>
                        </w:rPr>
                        <w:t>High temperatures and h</w:t>
                      </w:r>
                      <w:r w:rsidRPr="0028774F">
                        <w:rPr>
                          <w:b/>
                          <w:bCs/>
                          <w:color w:val="000000" w:themeColor="text1"/>
                          <w:lang w:val="en-US"/>
                        </w:rPr>
                        <w:t>eat:</w:t>
                      </w:r>
                      <w:r w:rsidR="005D76B3">
                        <w:rPr>
                          <w:b/>
                          <w:bCs/>
                          <w:color w:val="000000" w:themeColor="text1"/>
                          <w:lang w:val="en-US"/>
                        </w:rPr>
                        <w:t xml:space="preserve"> </w:t>
                      </w:r>
                      <w:r w:rsidR="005D76B3" w:rsidRPr="00FB6EB1">
                        <w:rPr>
                          <w:color w:val="000000" w:themeColor="text1"/>
                          <w:lang w:val="en-US"/>
                        </w:rPr>
                        <w:t>Operational efficiency of engines may be decreased, additional cooling measures</w:t>
                      </w:r>
                      <w:r w:rsidR="00D07283" w:rsidRPr="00FB6EB1">
                        <w:rPr>
                          <w:color w:val="000000" w:themeColor="text1"/>
                          <w:lang w:val="en-US"/>
                        </w:rPr>
                        <w:t xml:space="preserve"> and more frequent maintenance of the vessels. Health risks for employees</w:t>
                      </w:r>
                      <w:r w:rsidR="00FB6EB1" w:rsidRPr="00FB6EB1">
                        <w:rPr>
                          <w:color w:val="000000" w:themeColor="text1"/>
                          <w:lang w:val="en-US"/>
                        </w:rPr>
                        <w:t xml:space="preserve"> is also</w:t>
                      </w:r>
                      <w:r w:rsidR="00FB6EB1">
                        <w:rPr>
                          <w:color w:val="000000" w:themeColor="text1"/>
                          <w:lang w:val="en-US"/>
                        </w:rPr>
                        <w:t xml:space="preserve"> </w:t>
                      </w:r>
                      <w:r w:rsidR="00FB6EB1" w:rsidRPr="00FB6EB1">
                        <w:rPr>
                          <w:color w:val="000000" w:themeColor="text1"/>
                          <w:lang w:val="en-US"/>
                        </w:rPr>
                        <w:t>i</w:t>
                      </w:r>
                      <w:r w:rsidR="00FB6EB1">
                        <w:rPr>
                          <w:color w:val="000000" w:themeColor="text1"/>
                          <w:lang w:val="en-US"/>
                        </w:rPr>
                        <w:t>n</w:t>
                      </w:r>
                      <w:r w:rsidR="00FB6EB1" w:rsidRPr="00FB6EB1">
                        <w:rPr>
                          <w:color w:val="000000" w:themeColor="text1"/>
                          <w:lang w:val="en-US"/>
                        </w:rPr>
                        <w:t>creased</w:t>
                      </w:r>
                      <w:r w:rsidR="00501D08">
                        <w:rPr>
                          <w:color w:val="000000" w:themeColor="text1"/>
                          <w:lang w:val="en-US"/>
                        </w:rPr>
                        <w:t xml:space="preserve"> and workforce productivity is likely to be affected</w:t>
                      </w:r>
                      <w:r w:rsidR="00FB6EB1" w:rsidRPr="00FB6EB1">
                        <w:rPr>
                          <w:color w:val="000000" w:themeColor="text1"/>
                          <w:lang w:val="en-US"/>
                        </w:rPr>
                        <w:t>.</w:t>
                      </w:r>
                    </w:p>
                    <w:p w14:paraId="1589AB36" w14:textId="72B1A7B0" w:rsidR="00056597" w:rsidRPr="005E0E92" w:rsidRDefault="00056597" w:rsidP="00056597">
                      <w:pPr>
                        <w:rPr>
                          <w:color w:val="000000" w:themeColor="text1"/>
                          <w:lang w:val="en-US"/>
                        </w:rPr>
                      </w:pPr>
                      <w:r>
                        <w:rPr>
                          <w:b/>
                          <w:bCs/>
                          <w:color w:val="000000" w:themeColor="text1"/>
                          <w:lang w:val="en-US"/>
                        </w:rPr>
                        <w:t>Extreme weather</w:t>
                      </w:r>
                      <w:r w:rsidRPr="0028774F">
                        <w:rPr>
                          <w:b/>
                          <w:bCs/>
                          <w:color w:val="000000" w:themeColor="text1"/>
                          <w:lang w:val="en-US"/>
                        </w:rPr>
                        <w:t>:</w:t>
                      </w:r>
                      <w:r>
                        <w:rPr>
                          <w:color w:val="000000" w:themeColor="text1"/>
                          <w:lang w:val="en-US"/>
                        </w:rPr>
                        <w:t xml:space="preserve"> Operational</w:t>
                      </w:r>
                      <w:r w:rsidRPr="005E0E92">
                        <w:rPr>
                          <w:color w:val="000000" w:themeColor="text1"/>
                          <w:lang w:val="en-US"/>
                        </w:rPr>
                        <w:t xml:space="preserve"> disruptions, increased fuel consumption, and potential damage to vessels and infrastructure. The safety of the crew and the integrity of cargo are at heightened risk, potentially resulting in financial losses from damaged goods and liability claims. </w:t>
                      </w:r>
                      <w:r w:rsidR="00366F81">
                        <w:rPr>
                          <w:color w:val="000000" w:themeColor="text1"/>
                          <w:lang w:val="en-US"/>
                        </w:rPr>
                        <w:t>Workforce productivity is also likely to be affected.</w:t>
                      </w:r>
                    </w:p>
                    <w:p w14:paraId="2C38F369" w14:textId="52AB3582" w:rsidR="00DC3F48" w:rsidRPr="0064593C" w:rsidRDefault="00E14638" w:rsidP="002E6F75">
                      <w:pPr>
                        <w:rPr>
                          <w:b/>
                          <w:bCs/>
                          <w:color w:val="000000" w:themeColor="text1"/>
                          <w:u w:val="single"/>
                          <w:lang w:val="en-US"/>
                        </w:rPr>
                      </w:pPr>
                      <w:r w:rsidRPr="0064593C">
                        <w:rPr>
                          <w:b/>
                          <w:bCs/>
                          <w:color w:val="000000" w:themeColor="text1"/>
                          <w:u w:val="single"/>
                          <w:lang w:val="en-US"/>
                        </w:rPr>
                        <w:t>Key take</w:t>
                      </w:r>
                      <w:r w:rsidR="0064593C" w:rsidRPr="0064593C">
                        <w:rPr>
                          <w:b/>
                          <w:bCs/>
                          <w:color w:val="000000" w:themeColor="text1"/>
                          <w:u w:val="single"/>
                          <w:lang w:val="en-US"/>
                        </w:rPr>
                        <w:t xml:space="preserve">aways of the analysis of the potential impacts of perils on </w:t>
                      </w:r>
                      <w:r w:rsidRPr="0064593C">
                        <w:rPr>
                          <w:b/>
                          <w:bCs/>
                          <w:color w:val="000000" w:themeColor="text1"/>
                          <w:u w:val="single"/>
                          <w:lang w:val="en-US"/>
                        </w:rPr>
                        <w:t>Oil</w:t>
                      </w:r>
                      <w:r w:rsidR="00302BF4">
                        <w:rPr>
                          <w:b/>
                          <w:bCs/>
                          <w:color w:val="000000" w:themeColor="text1"/>
                          <w:u w:val="single"/>
                          <w:lang w:val="en-US"/>
                        </w:rPr>
                        <w:t xml:space="preserve"> </w:t>
                      </w:r>
                      <w:r w:rsidRPr="0064593C">
                        <w:rPr>
                          <w:b/>
                          <w:bCs/>
                          <w:color w:val="000000" w:themeColor="text1"/>
                          <w:u w:val="single"/>
                          <w:lang w:val="en-US"/>
                        </w:rPr>
                        <w:t>&amp;</w:t>
                      </w:r>
                      <w:r w:rsidR="00302BF4">
                        <w:rPr>
                          <w:b/>
                          <w:bCs/>
                          <w:color w:val="000000" w:themeColor="text1"/>
                          <w:u w:val="single"/>
                          <w:lang w:val="en-US"/>
                        </w:rPr>
                        <w:t xml:space="preserve"> </w:t>
                      </w:r>
                      <w:r w:rsidRPr="0064593C">
                        <w:rPr>
                          <w:b/>
                          <w:bCs/>
                          <w:color w:val="000000" w:themeColor="text1"/>
                          <w:u w:val="single"/>
                          <w:lang w:val="en-US"/>
                        </w:rPr>
                        <w:t>Ga</w:t>
                      </w:r>
                      <w:r w:rsidR="00302BF4">
                        <w:rPr>
                          <w:b/>
                          <w:bCs/>
                          <w:color w:val="000000" w:themeColor="text1"/>
                          <w:u w:val="single"/>
                          <w:lang w:val="en-US"/>
                        </w:rPr>
                        <w:t>s</w:t>
                      </w:r>
                      <w:r w:rsidRPr="0064593C">
                        <w:rPr>
                          <w:b/>
                          <w:bCs/>
                          <w:color w:val="000000" w:themeColor="text1"/>
                          <w:u w:val="single"/>
                          <w:lang w:val="en-US"/>
                        </w:rPr>
                        <w:t xml:space="preserve"> offshore </w:t>
                      </w:r>
                      <w:r w:rsidR="00761422" w:rsidRPr="0064593C">
                        <w:rPr>
                          <w:b/>
                          <w:bCs/>
                          <w:color w:val="000000" w:themeColor="text1"/>
                          <w:u w:val="single"/>
                          <w:lang w:val="en-US"/>
                        </w:rPr>
                        <w:t>platforms</w:t>
                      </w:r>
                    </w:p>
                    <w:p w14:paraId="5F536D6E" w14:textId="69A27620" w:rsidR="005A2E1E" w:rsidRDefault="005A2E1E" w:rsidP="002E6F75">
                      <w:pPr>
                        <w:rPr>
                          <w:b/>
                          <w:bCs/>
                          <w:color w:val="000000" w:themeColor="text1"/>
                          <w:lang w:val="en-US"/>
                        </w:rPr>
                      </w:pPr>
                      <w:r>
                        <w:rPr>
                          <w:b/>
                          <w:bCs/>
                          <w:color w:val="000000" w:themeColor="text1"/>
                          <w:lang w:val="en-US"/>
                        </w:rPr>
                        <w:t xml:space="preserve">Sea level decrease: </w:t>
                      </w:r>
                      <w:r w:rsidR="00813D20" w:rsidRPr="006017F2">
                        <w:rPr>
                          <w:color w:val="000000" w:themeColor="text1"/>
                          <w:lang w:val="en-US"/>
                        </w:rPr>
                        <w:t>Safety concerns over the structural integrity of the platform</w:t>
                      </w:r>
                      <w:r w:rsidR="007D377C" w:rsidRPr="006017F2">
                        <w:rPr>
                          <w:color w:val="000000" w:themeColor="text1"/>
                          <w:lang w:val="en-US"/>
                        </w:rPr>
                        <w:t xml:space="preserve"> and drilling and extraction complications</w:t>
                      </w:r>
                      <w:r w:rsidR="006017F2" w:rsidRPr="006017F2">
                        <w:rPr>
                          <w:color w:val="000000" w:themeColor="text1"/>
                          <w:lang w:val="en-US"/>
                        </w:rPr>
                        <w:t xml:space="preserve"> as water pressure decreases.</w:t>
                      </w:r>
                    </w:p>
                    <w:p w14:paraId="13B1C077" w14:textId="66016A2F" w:rsidR="00D901A6" w:rsidRPr="00AD3AA6" w:rsidRDefault="00632A8D" w:rsidP="002E6F75">
                      <w:pPr>
                        <w:rPr>
                          <w:color w:val="000000" w:themeColor="text1"/>
                          <w:lang w:val="en-US"/>
                        </w:rPr>
                      </w:pPr>
                      <w:r>
                        <w:rPr>
                          <w:b/>
                          <w:bCs/>
                          <w:color w:val="000000" w:themeColor="text1"/>
                          <w:lang w:val="en-US"/>
                        </w:rPr>
                        <w:t>High temperatures and h</w:t>
                      </w:r>
                      <w:r w:rsidR="00D901A6" w:rsidRPr="0028774F">
                        <w:rPr>
                          <w:b/>
                          <w:bCs/>
                          <w:color w:val="000000" w:themeColor="text1"/>
                          <w:lang w:val="en-US"/>
                        </w:rPr>
                        <w:t>eat:</w:t>
                      </w:r>
                      <w:r w:rsidR="00D901A6">
                        <w:rPr>
                          <w:color w:val="000000" w:themeColor="text1"/>
                          <w:lang w:val="en-US"/>
                        </w:rPr>
                        <w:t xml:space="preserve"> </w:t>
                      </w:r>
                      <w:r w:rsidR="00AD3AA6">
                        <w:rPr>
                          <w:color w:val="000000" w:themeColor="text1"/>
                          <w:lang w:val="en-US"/>
                        </w:rPr>
                        <w:t>D</w:t>
                      </w:r>
                      <w:r w:rsidR="00AD3AA6" w:rsidRPr="00AD3AA6">
                        <w:rPr>
                          <w:color w:val="000000" w:themeColor="text1"/>
                          <w:lang w:val="en-US"/>
                        </w:rPr>
                        <w:t>ecreased operational efficiency due to machinery overheating, necessitating additional cooling measures and potentially causing frequent shutdowns for maintenance. The health and safety of the workforce are at increased risk, potentially affecting productivity.</w:t>
                      </w:r>
                    </w:p>
                    <w:p w14:paraId="2090A87D" w14:textId="1E0E277C" w:rsidR="009A64C5" w:rsidRPr="005E0E92" w:rsidRDefault="0077160D" w:rsidP="009A64C5">
                      <w:pPr>
                        <w:rPr>
                          <w:color w:val="000000" w:themeColor="text1"/>
                          <w:lang w:val="en-US"/>
                        </w:rPr>
                      </w:pPr>
                      <w:r>
                        <w:rPr>
                          <w:b/>
                          <w:bCs/>
                          <w:color w:val="000000" w:themeColor="text1"/>
                          <w:lang w:val="en-US"/>
                        </w:rPr>
                        <w:t>Extreme weather</w:t>
                      </w:r>
                      <w:r w:rsidR="00FF4C10" w:rsidRPr="0028774F">
                        <w:rPr>
                          <w:b/>
                          <w:bCs/>
                          <w:color w:val="000000" w:themeColor="text1"/>
                          <w:lang w:val="en-US"/>
                        </w:rPr>
                        <w:t>:</w:t>
                      </w:r>
                      <w:r w:rsidR="00FF4C10">
                        <w:rPr>
                          <w:color w:val="000000" w:themeColor="text1"/>
                          <w:lang w:val="en-US"/>
                        </w:rPr>
                        <w:t xml:space="preserve"> </w:t>
                      </w:r>
                      <w:r w:rsidR="00314AF1">
                        <w:rPr>
                          <w:color w:val="000000" w:themeColor="text1"/>
                          <w:lang w:val="en-US"/>
                        </w:rPr>
                        <w:t>Potential operational shutdowns and infrastructural damage to the platform.</w:t>
                      </w:r>
                      <w:r w:rsidR="00C11DFB">
                        <w:rPr>
                          <w:color w:val="000000" w:themeColor="text1"/>
                          <w:lang w:val="en-US"/>
                        </w:rPr>
                        <w:t xml:space="preserve"> Necessity to revise the health and safety procedures, including to cope with emergencies</w:t>
                      </w:r>
                      <w:r w:rsidR="009B6BFB">
                        <w:rPr>
                          <w:color w:val="000000" w:themeColor="text1"/>
                          <w:lang w:val="en-US"/>
                        </w:rPr>
                        <w:t xml:space="preserve"> having </w:t>
                      </w:r>
                      <w:r w:rsidR="00231367">
                        <w:rPr>
                          <w:color w:val="000000" w:themeColor="text1"/>
                          <w:lang w:val="en-US"/>
                        </w:rPr>
                        <w:t>different characteristics.</w:t>
                      </w:r>
                    </w:p>
                  </w:txbxContent>
                </v:textbox>
                <w10:wrap anchorx="margin"/>
              </v:rect>
            </w:pict>
          </mc:Fallback>
        </mc:AlternateContent>
      </w:r>
      <w:r w:rsidRPr="006C3E2C">
        <w:rPr>
          <w:lang w:val="en-US"/>
        </w:rPr>
        <w:br w:type="page"/>
      </w:r>
    </w:p>
    <w:p w14:paraId="29B5BEEB" w14:textId="36C79B9B" w:rsidR="00522B4D" w:rsidRPr="00502070" w:rsidRDefault="00522B4D" w:rsidP="000615AC">
      <w:pPr>
        <w:pStyle w:val="Titre1"/>
        <w:numPr>
          <w:ilvl w:val="0"/>
          <w:numId w:val="21"/>
        </w:numPr>
        <w:rPr>
          <w:rStyle w:val="Lienhypertexte"/>
          <w:color w:val="7F7F7F" w:themeColor="text1" w:themeTint="80"/>
          <w:u w:val="none"/>
          <w:lang w:val="en-US"/>
        </w:rPr>
      </w:pPr>
      <w:bookmarkStart w:id="31" w:name="_Toc183015101"/>
      <w:r w:rsidRPr="009738BA">
        <w:rPr>
          <w:lang w:val="en-US"/>
        </w:rPr>
        <w:lastRenderedPageBreak/>
        <w:t>Analysis of transition risks</w:t>
      </w:r>
      <w:bookmarkEnd w:id="31"/>
      <w:r w:rsidRPr="009738BA">
        <w:rPr>
          <w:lang w:val="en-US"/>
        </w:rPr>
        <w:t xml:space="preserve"> </w:t>
      </w:r>
    </w:p>
    <w:p w14:paraId="3C69F92A" w14:textId="77777777" w:rsidR="00522B4D" w:rsidRPr="00675BF8" w:rsidRDefault="00522B4D" w:rsidP="00FD6E0C">
      <w:pPr>
        <w:pStyle w:val="Titre2"/>
        <w:numPr>
          <w:ilvl w:val="0"/>
          <w:numId w:val="22"/>
        </w:numPr>
        <w:ind w:left="426"/>
        <w:rPr>
          <w:lang w:val="en-US"/>
        </w:rPr>
      </w:pPr>
      <w:bookmarkStart w:id="32" w:name="_Toc173914808"/>
      <w:bookmarkStart w:id="33" w:name="_Toc183015102"/>
      <w:r w:rsidRPr="00367C0B">
        <w:rPr>
          <w:rStyle w:val="Lienhypertexte"/>
          <w:color w:val="000000" w:themeColor="text1"/>
          <w:u w:val="none"/>
          <w:lang w:val="en-US"/>
        </w:rPr>
        <w:t>Methodological</w:t>
      </w:r>
      <w:r w:rsidRPr="00F66BCB">
        <w:rPr>
          <w:rStyle w:val="Lienhypertexte"/>
          <w:color w:val="auto"/>
          <w:u w:val="none"/>
          <w:lang w:val="en-US"/>
        </w:rPr>
        <w:t xml:space="preserve"> approach</w:t>
      </w:r>
      <w:bookmarkEnd w:id="32"/>
      <w:bookmarkEnd w:id="33"/>
      <w:r w:rsidDel="00A40668">
        <w:rPr>
          <w:lang w:val="en-US"/>
        </w:rPr>
        <w:t xml:space="preserve"> </w:t>
      </w:r>
    </w:p>
    <w:p w14:paraId="48889826" w14:textId="270A97B0" w:rsidR="00522B4D" w:rsidRDefault="00522B4D" w:rsidP="00522B4D">
      <w:pPr>
        <w:spacing w:after="120" w:line="240" w:lineRule="auto"/>
        <w:rPr>
          <w:rStyle w:val="Lienhypertexte"/>
          <w:rFonts w:eastAsia="Arial"/>
          <w:color w:val="auto"/>
          <w:u w:val="none"/>
          <w:lang w:val="en-US"/>
        </w:rPr>
      </w:pPr>
      <w:r w:rsidRPr="00034131">
        <w:rPr>
          <w:rStyle w:val="Lienhypertexte"/>
          <w:rFonts w:eastAsia="Arial"/>
          <w:color w:val="auto"/>
          <w:u w:val="none"/>
          <w:lang w:val="en-US"/>
        </w:rPr>
        <w:t xml:space="preserve">During </w:t>
      </w:r>
      <w:r>
        <w:rPr>
          <w:rStyle w:val="Lienhypertexte"/>
          <w:rFonts w:eastAsia="Arial"/>
          <w:color w:val="auto"/>
          <w:u w:val="none"/>
          <w:lang w:val="en-US"/>
        </w:rPr>
        <w:t>society’s</w:t>
      </w:r>
      <w:r w:rsidRPr="00034131">
        <w:rPr>
          <w:rStyle w:val="Lienhypertexte"/>
          <w:rFonts w:eastAsia="Arial"/>
          <w:color w:val="auto"/>
          <w:u w:val="none"/>
          <w:lang w:val="en-US"/>
        </w:rPr>
        <w:t xml:space="preserve"> transition from a carbon-intensive to a more sustainable and climate-resilient </w:t>
      </w:r>
      <w:r w:rsidR="00EE4A29" w:rsidRPr="00034131">
        <w:rPr>
          <w:rStyle w:val="Lienhypertexte"/>
          <w:rFonts w:eastAsia="Arial"/>
          <w:color w:val="auto"/>
          <w:u w:val="none"/>
          <w:lang w:val="en-US"/>
        </w:rPr>
        <w:t>economy</w:t>
      </w:r>
      <w:r w:rsidRPr="00034131">
        <w:rPr>
          <w:rStyle w:val="Lienhypertexte"/>
          <w:rFonts w:eastAsia="Arial"/>
          <w:color w:val="auto"/>
          <w:u w:val="none"/>
          <w:lang w:val="en-US"/>
        </w:rPr>
        <w:t xml:space="preserve">, organizations encounter a spectrum of challenges known as transitional climate risks. As organizations </w:t>
      </w:r>
      <w:r w:rsidR="00F02B62">
        <w:rPr>
          <w:rStyle w:val="Lienhypertexte"/>
          <w:rFonts w:eastAsia="Arial"/>
          <w:color w:val="auto"/>
          <w:u w:val="none"/>
          <w:lang w:val="en-US"/>
        </w:rPr>
        <w:t>are facing</w:t>
      </w:r>
      <w:r w:rsidRPr="00034131">
        <w:rPr>
          <w:rStyle w:val="Lienhypertexte"/>
          <w:rFonts w:eastAsia="Arial"/>
          <w:color w:val="auto"/>
          <w:u w:val="none"/>
          <w:lang w:val="en-US"/>
        </w:rPr>
        <w:t xml:space="preserve"> evolving</w:t>
      </w:r>
      <w:r w:rsidR="006B1CF8">
        <w:rPr>
          <w:rStyle w:val="Lienhypertexte"/>
          <w:rFonts w:eastAsia="Arial"/>
          <w:color w:val="auto"/>
          <w:u w:val="none"/>
          <w:lang w:val="en-US"/>
        </w:rPr>
        <w:t xml:space="preserve"> climate-related</w:t>
      </w:r>
      <w:r w:rsidRPr="00034131">
        <w:rPr>
          <w:rStyle w:val="Lienhypertexte"/>
          <w:rFonts w:eastAsia="Arial"/>
          <w:color w:val="auto"/>
          <w:u w:val="none"/>
          <w:lang w:val="en-US"/>
        </w:rPr>
        <w:t xml:space="preserve"> policies,</w:t>
      </w:r>
      <w:r w:rsidR="00233FF2">
        <w:rPr>
          <w:rStyle w:val="Lienhypertexte"/>
          <w:rFonts w:eastAsia="Arial"/>
          <w:color w:val="auto"/>
          <w:u w:val="none"/>
          <w:lang w:val="en-US"/>
        </w:rPr>
        <w:t xml:space="preserve"> regulations,</w:t>
      </w:r>
      <w:r w:rsidRPr="00034131">
        <w:rPr>
          <w:rStyle w:val="Lienhypertexte"/>
          <w:rFonts w:eastAsia="Arial"/>
          <w:color w:val="auto"/>
          <w:u w:val="none"/>
          <w:lang w:val="en-US"/>
        </w:rPr>
        <w:t xml:space="preserve"> emerging technologies, and dynamic market conditions, they </w:t>
      </w:r>
      <w:r w:rsidR="00F02B62">
        <w:rPr>
          <w:rStyle w:val="Lienhypertexte"/>
          <w:rFonts w:eastAsia="Arial"/>
          <w:color w:val="auto"/>
          <w:u w:val="none"/>
          <w:lang w:val="en-US"/>
        </w:rPr>
        <w:t>would benefit</w:t>
      </w:r>
      <w:r w:rsidR="003A5813">
        <w:rPr>
          <w:rStyle w:val="Lienhypertexte"/>
          <w:rFonts w:eastAsia="Arial"/>
          <w:color w:val="auto"/>
          <w:u w:val="none"/>
          <w:lang w:val="en-US"/>
        </w:rPr>
        <w:t xml:space="preserve"> in</w:t>
      </w:r>
      <w:r w:rsidR="00F02B62" w:rsidRPr="00034131">
        <w:rPr>
          <w:rStyle w:val="Lienhypertexte"/>
          <w:rFonts w:eastAsia="Arial"/>
          <w:color w:val="auto"/>
          <w:u w:val="none"/>
          <w:lang w:val="en-US"/>
        </w:rPr>
        <w:t xml:space="preserve"> </w:t>
      </w:r>
      <w:r w:rsidRPr="00034131">
        <w:rPr>
          <w:rStyle w:val="Lienhypertexte"/>
          <w:rFonts w:eastAsia="Arial"/>
          <w:color w:val="auto"/>
          <w:u w:val="none"/>
          <w:lang w:val="en-US"/>
        </w:rPr>
        <w:t xml:space="preserve">strategically position themselves </w:t>
      </w:r>
      <w:r w:rsidR="00F53539">
        <w:rPr>
          <w:rStyle w:val="Lienhypertexte"/>
          <w:rFonts w:eastAsia="Arial"/>
          <w:color w:val="auto"/>
          <w:u w:val="none"/>
          <w:lang w:val="en-US"/>
        </w:rPr>
        <w:t>by anticipating them</w:t>
      </w:r>
      <w:r w:rsidR="002378B4">
        <w:rPr>
          <w:rStyle w:val="Lienhypertexte"/>
          <w:rFonts w:eastAsia="Arial"/>
          <w:color w:val="auto"/>
          <w:u w:val="none"/>
          <w:lang w:val="en-US"/>
        </w:rPr>
        <w:t xml:space="preserve"> </w:t>
      </w:r>
      <w:r w:rsidRPr="00034131">
        <w:rPr>
          <w:rStyle w:val="Lienhypertexte"/>
          <w:rFonts w:eastAsia="Arial"/>
          <w:color w:val="auto"/>
          <w:u w:val="none"/>
          <w:lang w:val="en-US"/>
        </w:rPr>
        <w:t>to thrive in a low-carbon future.</w:t>
      </w:r>
    </w:p>
    <w:p w14:paraId="3B41C61E" w14:textId="77777777" w:rsidR="00522B4D" w:rsidRDefault="00522B4D" w:rsidP="00522B4D">
      <w:pPr>
        <w:spacing w:after="120" w:line="240" w:lineRule="auto"/>
        <w:rPr>
          <w:rStyle w:val="Lienhypertexte"/>
          <w:rFonts w:eastAsia="Arial"/>
          <w:color w:val="auto"/>
          <w:u w:val="none"/>
          <w:lang w:val="en-US"/>
        </w:rPr>
      </w:pPr>
      <w:r w:rsidRPr="00E51DD2">
        <w:rPr>
          <w:rStyle w:val="Lienhypertexte"/>
          <w:rFonts w:eastAsia="Arial"/>
          <w:color w:val="auto"/>
          <w:u w:val="none"/>
          <w:lang w:val="en-US"/>
        </w:rPr>
        <w:t xml:space="preserve">The TCFD delineates a comprehensive framework for categorizing transition risks associated with climate change, which encompasses four </w:t>
      </w:r>
      <w:r>
        <w:rPr>
          <w:rStyle w:val="Lienhypertexte"/>
          <w:rFonts w:eastAsia="Arial"/>
          <w:color w:val="auto"/>
          <w:u w:val="none"/>
          <w:lang w:val="en-US"/>
        </w:rPr>
        <w:t>main</w:t>
      </w:r>
      <w:r w:rsidRPr="00E51DD2">
        <w:rPr>
          <w:rStyle w:val="Lienhypertexte"/>
          <w:rFonts w:eastAsia="Arial"/>
          <w:color w:val="auto"/>
          <w:u w:val="none"/>
          <w:lang w:val="en-US"/>
        </w:rPr>
        <w:t xml:space="preserve"> categories: </w:t>
      </w:r>
    </w:p>
    <w:p w14:paraId="655A3E58" w14:textId="77777777" w:rsidR="00522B4D" w:rsidRDefault="00522B4D" w:rsidP="00522B4D">
      <w:pPr>
        <w:pStyle w:val="Paragraphedeliste"/>
        <w:numPr>
          <w:ilvl w:val="0"/>
          <w:numId w:val="3"/>
        </w:numPr>
        <w:spacing w:after="120" w:line="240" w:lineRule="auto"/>
        <w:rPr>
          <w:rStyle w:val="Lienhypertexte"/>
          <w:rFonts w:eastAsia="Arial"/>
          <w:color w:val="auto"/>
          <w:u w:val="none"/>
          <w:lang w:val="en-US"/>
        </w:rPr>
      </w:pPr>
      <w:r>
        <w:rPr>
          <w:rStyle w:val="Lienhypertexte"/>
          <w:rFonts w:eastAsia="Arial"/>
          <w:color w:val="auto"/>
          <w:u w:val="none"/>
          <w:lang w:val="en-US"/>
        </w:rPr>
        <w:t>T</w:t>
      </w:r>
      <w:r w:rsidRPr="00E914C5">
        <w:rPr>
          <w:rStyle w:val="Lienhypertexte"/>
          <w:rFonts w:eastAsia="Arial"/>
          <w:color w:val="auto"/>
          <w:u w:val="none"/>
          <w:lang w:val="en-US"/>
        </w:rPr>
        <w:t>echnological</w:t>
      </w:r>
    </w:p>
    <w:p w14:paraId="5216A0D1" w14:textId="77777777" w:rsidR="00522B4D" w:rsidRDefault="00522B4D" w:rsidP="00522B4D">
      <w:pPr>
        <w:pStyle w:val="Paragraphedeliste"/>
        <w:numPr>
          <w:ilvl w:val="0"/>
          <w:numId w:val="3"/>
        </w:numPr>
        <w:spacing w:after="120" w:line="240" w:lineRule="auto"/>
        <w:rPr>
          <w:rStyle w:val="Lienhypertexte"/>
          <w:rFonts w:eastAsia="Arial"/>
          <w:color w:val="auto"/>
          <w:u w:val="none"/>
          <w:lang w:val="en-US"/>
        </w:rPr>
      </w:pPr>
      <w:r>
        <w:rPr>
          <w:rStyle w:val="Lienhypertexte"/>
          <w:rFonts w:eastAsia="Arial"/>
          <w:color w:val="auto"/>
          <w:u w:val="none"/>
          <w:lang w:val="en-US"/>
        </w:rPr>
        <w:t>P</w:t>
      </w:r>
      <w:r w:rsidRPr="00E914C5">
        <w:rPr>
          <w:rStyle w:val="Lienhypertexte"/>
          <w:rFonts w:eastAsia="Arial"/>
          <w:color w:val="auto"/>
          <w:u w:val="none"/>
          <w:lang w:val="en-US"/>
        </w:rPr>
        <w:t>olicy and legal</w:t>
      </w:r>
    </w:p>
    <w:p w14:paraId="49244C84" w14:textId="77777777" w:rsidR="00522B4D" w:rsidRDefault="00522B4D" w:rsidP="00522B4D">
      <w:pPr>
        <w:pStyle w:val="Paragraphedeliste"/>
        <w:numPr>
          <w:ilvl w:val="0"/>
          <w:numId w:val="3"/>
        </w:numPr>
        <w:spacing w:after="120" w:line="240" w:lineRule="auto"/>
        <w:rPr>
          <w:rStyle w:val="Lienhypertexte"/>
          <w:rFonts w:eastAsia="Arial"/>
          <w:color w:val="auto"/>
          <w:u w:val="none"/>
          <w:lang w:val="en-US"/>
        </w:rPr>
      </w:pPr>
      <w:r>
        <w:rPr>
          <w:rStyle w:val="Lienhypertexte"/>
          <w:rFonts w:eastAsia="Arial"/>
          <w:color w:val="auto"/>
          <w:u w:val="none"/>
          <w:lang w:val="en-US"/>
        </w:rPr>
        <w:t>M</w:t>
      </w:r>
      <w:r w:rsidRPr="00E914C5">
        <w:rPr>
          <w:rStyle w:val="Lienhypertexte"/>
          <w:rFonts w:eastAsia="Arial"/>
          <w:color w:val="auto"/>
          <w:u w:val="none"/>
          <w:lang w:val="en-US"/>
        </w:rPr>
        <w:t xml:space="preserve">arket </w:t>
      </w:r>
    </w:p>
    <w:p w14:paraId="10982E96" w14:textId="77777777" w:rsidR="00522B4D" w:rsidRPr="00E914C5" w:rsidRDefault="00522B4D" w:rsidP="00522B4D">
      <w:pPr>
        <w:pStyle w:val="Paragraphedeliste"/>
        <w:numPr>
          <w:ilvl w:val="0"/>
          <w:numId w:val="3"/>
        </w:numPr>
        <w:spacing w:after="120" w:line="240" w:lineRule="auto"/>
        <w:rPr>
          <w:rStyle w:val="Lienhypertexte"/>
          <w:rFonts w:eastAsia="Arial"/>
          <w:color w:val="auto"/>
          <w:u w:val="none"/>
          <w:lang w:val="en-US"/>
        </w:rPr>
      </w:pPr>
      <w:r>
        <w:rPr>
          <w:rStyle w:val="Lienhypertexte"/>
          <w:rFonts w:eastAsia="Arial"/>
          <w:color w:val="auto"/>
          <w:u w:val="none"/>
          <w:lang w:val="en-US"/>
        </w:rPr>
        <w:t>R</w:t>
      </w:r>
      <w:r w:rsidRPr="00E914C5">
        <w:rPr>
          <w:rStyle w:val="Lienhypertexte"/>
          <w:rFonts w:eastAsia="Arial"/>
          <w:color w:val="auto"/>
          <w:u w:val="none"/>
          <w:lang w:val="en-US"/>
        </w:rPr>
        <w:t xml:space="preserve">eputational </w:t>
      </w:r>
    </w:p>
    <w:p w14:paraId="393FE0AC" w14:textId="3C00B10A" w:rsidR="00522B4D" w:rsidRDefault="00522B4D" w:rsidP="00522B4D">
      <w:pPr>
        <w:spacing w:after="120" w:line="240" w:lineRule="auto"/>
        <w:rPr>
          <w:rStyle w:val="Lienhypertexte"/>
          <w:rFonts w:eastAsia="Arial"/>
          <w:color w:val="auto"/>
          <w:u w:val="none"/>
          <w:lang w:val="en-US"/>
        </w:rPr>
      </w:pPr>
      <w:r>
        <w:rPr>
          <w:rStyle w:val="Lienhypertexte"/>
          <w:rFonts w:eastAsia="Arial"/>
          <w:color w:val="auto"/>
          <w:u w:val="none"/>
          <w:lang w:val="en-US"/>
        </w:rPr>
        <w:t xml:space="preserve">The following table showcases the </w:t>
      </w:r>
      <w:r w:rsidRPr="00E51DD2">
        <w:rPr>
          <w:rStyle w:val="Lienhypertexte"/>
          <w:rFonts w:eastAsia="Arial"/>
          <w:color w:val="auto"/>
          <w:u w:val="none"/>
          <w:lang w:val="en-US"/>
        </w:rPr>
        <w:t xml:space="preserve">5 sub-risks </w:t>
      </w:r>
      <w:r>
        <w:rPr>
          <w:rStyle w:val="Lienhypertexte"/>
          <w:rFonts w:eastAsia="Arial"/>
          <w:color w:val="auto"/>
          <w:u w:val="none"/>
          <w:lang w:val="en-US"/>
        </w:rPr>
        <w:t xml:space="preserve">selected by </w:t>
      </w:r>
      <w:r w:rsidR="003C4576">
        <w:rPr>
          <w:rStyle w:val="Lienhypertexte"/>
          <w:rFonts w:eastAsia="Arial"/>
          <w:color w:val="auto"/>
          <w:u w:val="none"/>
          <w:lang w:val="en-US"/>
        </w:rPr>
        <w:t>ASCO</w:t>
      </w:r>
      <w:r>
        <w:rPr>
          <w:rStyle w:val="Lienhypertexte"/>
          <w:rFonts w:eastAsia="Arial"/>
          <w:color w:val="auto"/>
          <w:u w:val="none"/>
          <w:lang w:val="en-US"/>
        </w:rPr>
        <w:t>, which fall within t</w:t>
      </w:r>
      <w:r w:rsidR="00A9040B">
        <w:rPr>
          <w:rStyle w:val="Lienhypertexte"/>
          <w:rFonts w:eastAsia="Arial"/>
          <w:color w:val="auto"/>
          <w:u w:val="none"/>
          <w:lang w:val="en-US"/>
        </w:rPr>
        <w:t>hree</w:t>
      </w:r>
      <w:r>
        <w:rPr>
          <w:rStyle w:val="Lienhypertexte"/>
          <w:rFonts w:eastAsia="Arial"/>
          <w:color w:val="auto"/>
          <w:u w:val="none"/>
          <w:lang w:val="en-US"/>
        </w:rPr>
        <w:t xml:space="preserve"> of the 4 categories mentioned hereabove</w:t>
      </w:r>
      <w:r w:rsidRPr="00E51DD2">
        <w:rPr>
          <w:rStyle w:val="Lienhypertexte"/>
          <w:rFonts w:eastAsia="Arial"/>
          <w:color w:val="auto"/>
          <w:u w:val="none"/>
          <w:lang w:val="en-US"/>
        </w:rPr>
        <w:t>.</w:t>
      </w:r>
    </w:p>
    <w:p w14:paraId="629AF874" w14:textId="01721579" w:rsidR="00522B4D" w:rsidRPr="008947E4" w:rsidRDefault="00522B4D" w:rsidP="00522B4D">
      <w:pPr>
        <w:pStyle w:val="Lgende"/>
      </w:pPr>
      <w:r>
        <w:t xml:space="preserve">Table </w:t>
      </w:r>
      <w:r>
        <w:fldChar w:fldCharType="begin"/>
      </w:r>
      <w:r>
        <w:instrText xml:space="preserve"> SEQ Table \* ARABIC </w:instrText>
      </w:r>
      <w:r>
        <w:fldChar w:fldCharType="separate"/>
      </w:r>
      <w:r w:rsidR="009B31C6">
        <w:rPr>
          <w:noProof/>
        </w:rPr>
        <w:t>6</w:t>
      </w:r>
      <w:r>
        <w:fldChar w:fldCharType="end"/>
      </w:r>
      <w:r>
        <w:t xml:space="preserve">: </w:t>
      </w:r>
      <w:r w:rsidRPr="0052196D">
        <w:t xml:space="preserve">List of transition risks identified for </w:t>
      </w:r>
      <w:r w:rsidR="003068AC">
        <w:t>ASCO</w:t>
      </w:r>
    </w:p>
    <w:tbl>
      <w:tblPr>
        <w:tblStyle w:val="TableauGrille4-Accentuation1"/>
        <w:tblW w:w="9241" w:type="dxa"/>
        <w:tblLook w:val="0420" w:firstRow="1" w:lastRow="0" w:firstColumn="0" w:lastColumn="0" w:noHBand="0" w:noVBand="1"/>
      </w:tblPr>
      <w:tblGrid>
        <w:gridCol w:w="1361"/>
        <w:gridCol w:w="2041"/>
        <w:gridCol w:w="5839"/>
      </w:tblGrid>
      <w:tr w:rsidR="00522B4D" w:rsidRPr="00FA7359" w14:paraId="41E8A1B7" w14:textId="77777777" w:rsidTr="00A740CC">
        <w:trPr>
          <w:cnfStyle w:val="100000000000" w:firstRow="1" w:lastRow="0" w:firstColumn="0" w:lastColumn="0" w:oddVBand="0" w:evenVBand="0" w:oddHBand="0" w:evenHBand="0" w:firstRowFirstColumn="0" w:firstRowLastColumn="0" w:lastRowFirstColumn="0" w:lastRowLastColumn="0"/>
          <w:trHeight w:val="445"/>
        </w:trPr>
        <w:tc>
          <w:tcPr>
            <w:tcW w:w="1361" w:type="dxa"/>
            <w:hideMark/>
          </w:tcPr>
          <w:p w14:paraId="6E3A6F67" w14:textId="77777777" w:rsidR="00522B4D" w:rsidRPr="00EE419A" w:rsidRDefault="00522B4D">
            <w:pPr>
              <w:jc w:val="center"/>
              <w:rPr>
                <w:rFonts w:eastAsiaTheme="minorEastAsia" w:cstheme="minorHAnsi"/>
                <w:b w:val="0"/>
                <w:sz w:val="20"/>
                <w:szCs w:val="20"/>
                <w:lang w:val="en-US"/>
              </w:rPr>
            </w:pPr>
            <w:r w:rsidRPr="00EE419A">
              <w:rPr>
                <w:rFonts w:eastAsiaTheme="minorEastAsia" w:cstheme="minorHAnsi"/>
                <w:sz w:val="20"/>
                <w:szCs w:val="20"/>
                <w:lang w:val="en-US"/>
              </w:rPr>
              <w:t>Category (TCFD)</w:t>
            </w:r>
          </w:p>
        </w:tc>
        <w:tc>
          <w:tcPr>
            <w:tcW w:w="2041" w:type="dxa"/>
            <w:hideMark/>
          </w:tcPr>
          <w:p w14:paraId="52D0A685" w14:textId="47AFBD5F" w:rsidR="00522B4D" w:rsidRPr="00EE419A" w:rsidRDefault="00522B4D">
            <w:pPr>
              <w:jc w:val="center"/>
              <w:rPr>
                <w:rFonts w:eastAsiaTheme="minorEastAsia" w:cstheme="minorHAnsi"/>
                <w:b w:val="0"/>
                <w:sz w:val="20"/>
                <w:szCs w:val="20"/>
                <w:lang w:val="en-US"/>
              </w:rPr>
            </w:pPr>
            <w:r w:rsidRPr="00EE419A">
              <w:rPr>
                <w:rFonts w:eastAsiaTheme="minorEastAsia" w:cstheme="minorHAnsi"/>
                <w:sz w:val="20"/>
                <w:szCs w:val="20"/>
                <w:lang w:val="en-US"/>
              </w:rPr>
              <w:t>High-level transition risks</w:t>
            </w:r>
          </w:p>
        </w:tc>
        <w:tc>
          <w:tcPr>
            <w:tcW w:w="5839" w:type="dxa"/>
          </w:tcPr>
          <w:p w14:paraId="29912FEF" w14:textId="1775C224" w:rsidR="00522B4D" w:rsidRPr="00EE419A" w:rsidRDefault="003C4576">
            <w:pPr>
              <w:jc w:val="center"/>
              <w:rPr>
                <w:rFonts w:eastAsiaTheme="minorEastAsia" w:cstheme="minorHAnsi"/>
                <w:b w:val="0"/>
                <w:sz w:val="20"/>
                <w:szCs w:val="20"/>
                <w:lang w:val="en-US"/>
              </w:rPr>
            </w:pPr>
            <w:r>
              <w:rPr>
                <w:rFonts w:eastAsiaTheme="minorEastAsia" w:cstheme="minorHAnsi"/>
                <w:sz w:val="20"/>
                <w:szCs w:val="20"/>
                <w:lang w:val="en-US"/>
              </w:rPr>
              <w:t>ASCO</w:t>
            </w:r>
            <w:r w:rsidR="00522B4D">
              <w:rPr>
                <w:rFonts w:eastAsiaTheme="minorEastAsia" w:cstheme="minorHAnsi"/>
                <w:sz w:val="20"/>
                <w:szCs w:val="20"/>
                <w:lang w:val="en-US"/>
              </w:rPr>
              <w:t>-specific risks and opportunities</w:t>
            </w:r>
          </w:p>
        </w:tc>
      </w:tr>
      <w:tr w:rsidR="00522B4D" w:rsidRPr="00FA7359" w14:paraId="46D0DDC6" w14:textId="77777777" w:rsidTr="00A740CC">
        <w:trPr>
          <w:cnfStyle w:val="000000100000" w:firstRow="0" w:lastRow="0" w:firstColumn="0" w:lastColumn="0" w:oddVBand="0" w:evenVBand="0" w:oddHBand="1" w:evenHBand="0" w:firstRowFirstColumn="0" w:firstRowLastColumn="0" w:lastRowFirstColumn="0" w:lastRowLastColumn="0"/>
          <w:trHeight w:val="794"/>
        </w:trPr>
        <w:tc>
          <w:tcPr>
            <w:tcW w:w="1361" w:type="dxa"/>
            <w:vMerge w:val="restart"/>
            <w:shd w:val="clear" w:color="auto" w:fill="auto"/>
          </w:tcPr>
          <w:p w14:paraId="3AF54E20" w14:textId="1D7392B5" w:rsidR="00522B4D" w:rsidRPr="00EE419A" w:rsidRDefault="008B6A94" w:rsidP="008B6A94">
            <w:pPr>
              <w:jc w:val="center"/>
              <w:rPr>
                <w:rFonts w:eastAsiaTheme="minorEastAsia" w:cstheme="minorHAnsi"/>
                <w:b/>
                <w:sz w:val="20"/>
                <w:szCs w:val="20"/>
                <w:lang w:val="en-US"/>
              </w:rPr>
            </w:pPr>
            <w:r w:rsidRPr="00367C0B">
              <w:rPr>
                <w:rFonts w:eastAsia="Yu Mincho Light" w:cstheme="minorHAnsi"/>
                <w:b/>
                <w:sz w:val="20"/>
                <w:szCs w:val="20"/>
                <w:lang w:val="en-US"/>
              </w:rPr>
              <w:t>Policy and Legal</w:t>
            </w:r>
          </w:p>
        </w:tc>
        <w:tc>
          <w:tcPr>
            <w:tcW w:w="2041" w:type="dxa"/>
          </w:tcPr>
          <w:p w14:paraId="6FC3079A" w14:textId="37149395" w:rsidR="00522B4D" w:rsidRPr="00EE419A" w:rsidRDefault="00572F6A">
            <w:pPr>
              <w:jc w:val="center"/>
              <w:rPr>
                <w:rFonts w:eastAsia="Yu Mincho Light" w:cstheme="minorHAnsi"/>
                <w:sz w:val="20"/>
                <w:szCs w:val="20"/>
                <w:lang w:val="en-US"/>
              </w:rPr>
            </w:pPr>
            <w:r>
              <w:rPr>
                <w:rFonts w:eastAsia="Yu Mincho Light" w:cstheme="minorHAnsi"/>
                <w:sz w:val="20"/>
                <w:szCs w:val="20"/>
                <w:lang w:val="en-US"/>
              </w:rPr>
              <w:t>I</w:t>
            </w:r>
            <w:r w:rsidR="00FA105B">
              <w:rPr>
                <w:rFonts w:eastAsia="Yu Mincho Light" w:cstheme="minorHAnsi"/>
                <w:sz w:val="20"/>
                <w:szCs w:val="20"/>
                <w:lang w:val="en-US"/>
              </w:rPr>
              <w:t xml:space="preserve">ncrease of sustainability reporting mandates </w:t>
            </w:r>
          </w:p>
        </w:tc>
        <w:tc>
          <w:tcPr>
            <w:tcW w:w="5839" w:type="dxa"/>
          </w:tcPr>
          <w:p w14:paraId="78CE9081" w14:textId="77777777" w:rsidR="00FD612C" w:rsidRDefault="00FD612C" w:rsidP="000615AC">
            <w:pPr>
              <w:pStyle w:val="Paragraphedeliste"/>
              <w:numPr>
                <w:ilvl w:val="0"/>
                <w:numId w:val="14"/>
              </w:numPr>
              <w:ind w:left="340" w:hanging="170"/>
              <w:jc w:val="left"/>
              <w:rPr>
                <w:rFonts w:eastAsia="Yu Mincho Light" w:cstheme="minorHAnsi"/>
                <w:color w:val="000000"/>
                <w:sz w:val="20"/>
                <w:szCs w:val="20"/>
                <w:lang w:val="en-US"/>
              </w:rPr>
            </w:pPr>
            <w:r>
              <w:rPr>
                <w:rFonts w:eastAsia="Yu Mincho Light" w:cstheme="minorHAnsi"/>
                <w:color w:val="000000"/>
                <w:sz w:val="20"/>
                <w:szCs w:val="20"/>
                <w:lang w:val="en-US"/>
              </w:rPr>
              <w:t xml:space="preserve">Possible use of consultancy firms to help enhance the competencies within the company </w:t>
            </w:r>
          </w:p>
          <w:p w14:paraId="354A34D9" w14:textId="141806EE" w:rsidR="00522B4D" w:rsidRDefault="007D2237" w:rsidP="000615AC">
            <w:pPr>
              <w:pStyle w:val="Paragraphedeliste"/>
              <w:numPr>
                <w:ilvl w:val="0"/>
                <w:numId w:val="14"/>
              </w:numPr>
              <w:ind w:left="340" w:hanging="170"/>
              <w:jc w:val="left"/>
              <w:rPr>
                <w:rFonts w:eastAsia="Yu Mincho Light" w:cstheme="minorHAnsi"/>
                <w:color w:val="000000"/>
                <w:sz w:val="20"/>
                <w:szCs w:val="20"/>
                <w:lang w:val="en-US"/>
              </w:rPr>
            </w:pPr>
            <w:r>
              <w:rPr>
                <w:rFonts w:eastAsia="Yu Mincho Light" w:cstheme="minorHAnsi"/>
                <w:color w:val="000000"/>
                <w:sz w:val="20"/>
                <w:szCs w:val="20"/>
                <w:lang w:val="en-US"/>
              </w:rPr>
              <w:t xml:space="preserve">Affects both HR (people that are specialized and have competencies) and technology: being able to track consumption per ship, per </w:t>
            </w:r>
            <w:r w:rsidR="00073A9A">
              <w:rPr>
                <w:rFonts w:eastAsia="Yu Mincho Light" w:cstheme="minorHAnsi"/>
                <w:color w:val="000000"/>
                <w:sz w:val="20"/>
                <w:szCs w:val="20"/>
                <w:lang w:val="en-US"/>
              </w:rPr>
              <w:t>commercial route and be able to gather all that data and treat it</w:t>
            </w:r>
          </w:p>
          <w:p w14:paraId="42EADA98" w14:textId="60265EB4" w:rsidR="00EF07B2" w:rsidRPr="00EE419A" w:rsidRDefault="00EF07B2" w:rsidP="000615AC">
            <w:pPr>
              <w:pStyle w:val="Paragraphedeliste"/>
              <w:numPr>
                <w:ilvl w:val="0"/>
                <w:numId w:val="14"/>
              </w:numPr>
              <w:ind w:left="340" w:hanging="170"/>
              <w:jc w:val="left"/>
              <w:rPr>
                <w:rFonts w:eastAsia="Yu Mincho Light" w:cstheme="minorHAnsi"/>
                <w:color w:val="000000"/>
                <w:sz w:val="20"/>
                <w:szCs w:val="20"/>
                <w:lang w:val="en-US"/>
              </w:rPr>
            </w:pPr>
          </w:p>
        </w:tc>
      </w:tr>
      <w:tr w:rsidR="008B6A94" w:rsidRPr="00FA7359" w14:paraId="26EA8522" w14:textId="77777777" w:rsidTr="00A740CC">
        <w:trPr>
          <w:trHeight w:val="794"/>
        </w:trPr>
        <w:tc>
          <w:tcPr>
            <w:tcW w:w="1361" w:type="dxa"/>
            <w:vMerge/>
            <w:shd w:val="clear" w:color="auto" w:fill="auto"/>
          </w:tcPr>
          <w:p w14:paraId="377CBCDA" w14:textId="4E5C866E" w:rsidR="008B6A94" w:rsidRPr="003A4C76" w:rsidRDefault="008B6A94" w:rsidP="008B6A94">
            <w:pPr>
              <w:jc w:val="center"/>
              <w:rPr>
                <w:rFonts w:eastAsiaTheme="minorEastAsia" w:cstheme="minorHAnsi"/>
                <w:b/>
                <w:sz w:val="20"/>
                <w:szCs w:val="20"/>
                <w:lang w:val="en-US"/>
              </w:rPr>
            </w:pPr>
          </w:p>
        </w:tc>
        <w:tc>
          <w:tcPr>
            <w:tcW w:w="2041" w:type="dxa"/>
          </w:tcPr>
          <w:p w14:paraId="4765D455" w14:textId="1763203D" w:rsidR="008B6A94" w:rsidRDefault="008B6A94" w:rsidP="008B6A94">
            <w:pPr>
              <w:jc w:val="center"/>
              <w:rPr>
                <w:rFonts w:eastAsia="Yu Mincho Light" w:cstheme="minorHAnsi"/>
                <w:sz w:val="20"/>
                <w:szCs w:val="20"/>
                <w:lang w:val="en-US"/>
              </w:rPr>
            </w:pPr>
            <w:r w:rsidRPr="00EE419A">
              <w:rPr>
                <w:rFonts w:eastAsia="Yu Mincho Light" w:cstheme="minorHAnsi"/>
                <w:sz w:val="20"/>
                <w:szCs w:val="20"/>
                <w:lang w:val="en-US"/>
              </w:rPr>
              <w:t xml:space="preserve">Increased pricing of GHG emissions </w:t>
            </w:r>
          </w:p>
        </w:tc>
        <w:tc>
          <w:tcPr>
            <w:tcW w:w="5839" w:type="dxa"/>
          </w:tcPr>
          <w:p w14:paraId="50D88738" w14:textId="77777777" w:rsidR="008B6A94" w:rsidRPr="0022069D" w:rsidRDefault="008B6A94" w:rsidP="008B6A94">
            <w:pPr>
              <w:pStyle w:val="Paragraphedeliste"/>
              <w:numPr>
                <w:ilvl w:val="0"/>
                <w:numId w:val="14"/>
              </w:numPr>
              <w:ind w:left="340" w:hanging="170"/>
              <w:jc w:val="left"/>
              <w:rPr>
                <w:rFonts w:eastAsia="Yu Mincho Light" w:cstheme="minorHAnsi"/>
                <w:color w:val="000000"/>
                <w:sz w:val="20"/>
                <w:szCs w:val="20"/>
                <w:lang w:val="en-US"/>
              </w:rPr>
            </w:pPr>
            <w:r w:rsidRPr="0022069D">
              <w:rPr>
                <w:rFonts w:eastAsia="Yu Mincho Light" w:cstheme="minorHAnsi"/>
                <w:color w:val="000000"/>
                <w:sz w:val="20"/>
                <w:szCs w:val="20"/>
                <w:lang w:val="en-US"/>
              </w:rPr>
              <w:t>Direct costs due to EU-ETS (scope 1 emissions)</w:t>
            </w:r>
          </w:p>
          <w:p w14:paraId="408635C0" w14:textId="77777777" w:rsidR="003D2AFD" w:rsidRDefault="008B6A94" w:rsidP="008B6A94">
            <w:pPr>
              <w:pStyle w:val="Paragraphedeliste"/>
              <w:numPr>
                <w:ilvl w:val="0"/>
                <w:numId w:val="14"/>
              </w:numPr>
              <w:ind w:left="340" w:hanging="170"/>
              <w:jc w:val="left"/>
              <w:rPr>
                <w:rFonts w:eastAsia="Yu Mincho Light" w:cstheme="minorHAnsi"/>
                <w:color w:val="000000"/>
                <w:sz w:val="20"/>
                <w:szCs w:val="20"/>
                <w:lang w:val="en-US"/>
              </w:rPr>
            </w:pPr>
            <w:r w:rsidRPr="0022069D">
              <w:rPr>
                <w:rFonts w:eastAsia="Yu Mincho Light" w:cstheme="minorHAnsi"/>
                <w:color w:val="000000"/>
                <w:sz w:val="20"/>
                <w:szCs w:val="20"/>
                <w:lang w:val="en-US"/>
              </w:rPr>
              <w:t>Potential</w:t>
            </w:r>
            <w:r w:rsidR="00285B01">
              <w:rPr>
                <w:rFonts w:eastAsia="Yu Mincho Light" w:cstheme="minorHAnsi"/>
                <w:color w:val="000000"/>
                <w:sz w:val="20"/>
                <w:szCs w:val="20"/>
                <w:lang w:val="en-US"/>
              </w:rPr>
              <w:t xml:space="preserve"> direct</w:t>
            </w:r>
            <w:r w:rsidRPr="0022069D">
              <w:rPr>
                <w:rFonts w:eastAsia="Yu Mincho Light" w:cstheme="minorHAnsi"/>
                <w:color w:val="000000"/>
                <w:sz w:val="20"/>
                <w:szCs w:val="20"/>
                <w:lang w:val="en-US"/>
              </w:rPr>
              <w:t xml:space="preserve"> cost on GHG emissions due to additional legislations</w:t>
            </w:r>
            <w:r w:rsidR="005715ED">
              <w:rPr>
                <w:rFonts w:eastAsia="Yu Mincho Light" w:cstheme="minorHAnsi"/>
                <w:color w:val="000000"/>
                <w:sz w:val="20"/>
                <w:szCs w:val="20"/>
                <w:lang w:val="en-US"/>
              </w:rPr>
              <w:t xml:space="preserve"> </w:t>
            </w:r>
          </w:p>
          <w:p w14:paraId="288F9241" w14:textId="78D29C7A" w:rsidR="008B6A94" w:rsidRDefault="003D2AFD" w:rsidP="008B6A94">
            <w:pPr>
              <w:pStyle w:val="Paragraphedeliste"/>
              <w:numPr>
                <w:ilvl w:val="0"/>
                <w:numId w:val="14"/>
              </w:numPr>
              <w:ind w:left="340" w:hanging="170"/>
              <w:jc w:val="left"/>
              <w:rPr>
                <w:rFonts w:eastAsia="Yu Mincho Light" w:cstheme="minorHAnsi"/>
                <w:color w:val="000000"/>
                <w:sz w:val="20"/>
                <w:szCs w:val="20"/>
                <w:lang w:val="en-US"/>
              </w:rPr>
            </w:pPr>
            <w:r>
              <w:rPr>
                <w:rFonts w:eastAsia="Yu Mincho Light" w:cstheme="minorHAnsi"/>
                <w:color w:val="000000"/>
                <w:sz w:val="20"/>
                <w:szCs w:val="20"/>
                <w:lang w:val="en-US"/>
              </w:rPr>
              <w:t xml:space="preserve">Potential non-financial costs </w:t>
            </w:r>
            <w:r w:rsidR="00285B01">
              <w:rPr>
                <w:rFonts w:eastAsia="Yu Mincho Light" w:cstheme="minorHAnsi"/>
                <w:color w:val="000000"/>
                <w:sz w:val="20"/>
                <w:szCs w:val="20"/>
                <w:lang w:val="en-US"/>
              </w:rPr>
              <w:t>due</w:t>
            </w:r>
            <w:r w:rsidR="009D796A">
              <w:rPr>
                <w:rFonts w:eastAsia="Yu Mincho Light" w:cstheme="minorHAnsi"/>
                <w:color w:val="000000"/>
                <w:sz w:val="20"/>
                <w:szCs w:val="20"/>
                <w:lang w:val="en-US"/>
              </w:rPr>
              <w:t xml:space="preserve"> to</w:t>
            </w:r>
            <w:r w:rsidR="00285B01">
              <w:rPr>
                <w:rFonts w:eastAsia="Yu Mincho Light" w:cstheme="minorHAnsi"/>
                <w:color w:val="000000"/>
                <w:sz w:val="20"/>
                <w:szCs w:val="20"/>
                <w:lang w:val="en-US"/>
              </w:rPr>
              <w:t xml:space="preserve"> </w:t>
            </w:r>
            <w:r w:rsidR="005E64C8">
              <w:rPr>
                <w:rFonts w:eastAsia="Yu Mincho Light" w:cstheme="minorHAnsi"/>
                <w:color w:val="000000"/>
                <w:sz w:val="20"/>
                <w:szCs w:val="20"/>
                <w:lang w:val="en-US"/>
              </w:rPr>
              <w:t xml:space="preserve">increased GHG emissions-related </w:t>
            </w:r>
            <w:r>
              <w:rPr>
                <w:rFonts w:eastAsia="Yu Mincho Light" w:cstheme="minorHAnsi"/>
                <w:color w:val="000000"/>
                <w:sz w:val="20"/>
                <w:szCs w:val="20"/>
                <w:lang w:val="en-US"/>
              </w:rPr>
              <w:t>policies</w:t>
            </w:r>
            <w:r w:rsidR="005E64C8">
              <w:rPr>
                <w:rFonts w:eastAsia="Yu Mincho Light" w:cstheme="minorHAnsi"/>
                <w:color w:val="000000"/>
                <w:sz w:val="20"/>
                <w:szCs w:val="20"/>
                <w:lang w:val="en-US"/>
              </w:rPr>
              <w:t xml:space="preserve"> </w:t>
            </w:r>
            <w:r>
              <w:rPr>
                <w:rFonts w:eastAsia="Yu Mincho Light" w:cstheme="minorHAnsi"/>
                <w:color w:val="000000"/>
                <w:sz w:val="20"/>
                <w:szCs w:val="20"/>
                <w:lang w:val="en-US"/>
              </w:rPr>
              <w:t>forcing</w:t>
            </w:r>
            <w:r w:rsidR="005E64C8">
              <w:rPr>
                <w:rFonts w:eastAsia="Yu Mincho Light" w:cstheme="minorHAnsi"/>
                <w:color w:val="000000"/>
                <w:sz w:val="20"/>
                <w:szCs w:val="20"/>
                <w:lang w:val="en-US"/>
              </w:rPr>
              <w:t xml:space="preserve"> </w:t>
            </w:r>
            <w:r w:rsidR="00955504">
              <w:rPr>
                <w:rFonts w:eastAsia="Yu Mincho Light" w:cstheme="minorHAnsi"/>
                <w:color w:val="000000"/>
                <w:sz w:val="20"/>
                <w:szCs w:val="20"/>
                <w:lang w:val="en-US"/>
              </w:rPr>
              <w:t>clients’</w:t>
            </w:r>
            <w:r w:rsidR="00012E87">
              <w:rPr>
                <w:rFonts w:eastAsia="Yu Mincho Light" w:cstheme="minorHAnsi"/>
                <w:color w:val="000000"/>
                <w:sz w:val="20"/>
                <w:szCs w:val="20"/>
                <w:lang w:val="en-US"/>
              </w:rPr>
              <w:t xml:space="preserve"> to decarbonize their supply chain, and notably transportation segment.</w:t>
            </w:r>
          </w:p>
        </w:tc>
      </w:tr>
      <w:tr w:rsidR="008B6A94" w:rsidRPr="00FA7359" w14:paraId="78E8E83A" w14:textId="77777777" w:rsidTr="00A740CC">
        <w:trPr>
          <w:cnfStyle w:val="000000100000" w:firstRow="0" w:lastRow="0" w:firstColumn="0" w:lastColumn="0" w:oddVBand="0" w:evenVBand="0" w:oddHBand="1" w:evenHBand="0" w:firstRowFirstColumn="0" w:firstRowLastColumn="0" w:lastRowFirstColumn="0" w:lastRowLastColumn="0"/>
          <w:trHeight w:val="794"/>
        </w:trPr>
        <w:tc>
          <w:tcPr>
            <w:tcW w:w="1361" w:type="dxa"/>
            <w:shd w:val="clear" w:color="auto" w:fill="auto"/>
          </w:tcPr>
          <w:p w14:paraId="20727ED5" w14:textId="35DDAE78" w:rsidR="008B6A94" w:rsidRPr="003A4C76" w:rsidRDefault="008B6A94" w:rsidP="008B6A94">
            <w:pPr>
              <w:jc w:val="center"/>
              <w:rPr>
                <w:rFonts w:eastAsiaTheme="minorEastAsia" w:cstheme="minorHAnsi"/>
                <w:b/>
                <w:sz w:val="20"/>
                <w:szCs w:val="20"/>
                <w:lang w:val="en-US"/>
              </w:rPr>
            </w:pPr>
            <w:r w:rsidRPr="00EE419A">
              <w:rPr>
                <w:rFonts w:eastAsiaTheme="minorEastAsia" w:cstheme="minorHAnsi"/>
                <w:b/>
                <w:sz w:val="20"/>
                <w:szCs w:val="20"/>
                <w:lang w:val="en-US"/>
              </w:rPr>
              <w:t>Technology</w:t>
            </w:r>
          </w:p>
        </w:tc>
        <w:tc>
          <w:tcPr>
            <w:tcW w:w="2041" w:type="dxa"/>
          </w:tcPr>
          <w:p w14:paraId="63788419" w14:textId="147B0BBC" w:rsidR="008B6A94" w:rsidRDefault="008B6A94" w:rsidP="008B6A94">
            <w:pPr>
              <w:jc w:val="center"/>
              <w:rPr>
                <w:rFonts w:eastAsia="Yu Mincho Light" w:cstheme="minorHAnsi"/>
                <w:sz w:val="20"/>
                <w:szCs w:val="20"/>
                <w:lang w:val="en-US"/>
              </w:rPr>
            </w:pPr>
            <w:r>
              <w:rPr>
                <w:rFonts w:eastAsia="Yu Mincho Light" w:cstheme="minorHAnsi"/>
                <w:sz w:val="20"/>
                <w:szCs w:val="20"/>
                <w:lang w:val="en-US"/>
              </w:rPr>
              <w:t>M</w:t>
            </w:r>
            <w:r w:rsidRPr="00FE3695">
              <w:rPr>
                <w:rFonts w:eastAsia="Yu Mincho Light" w:cstheme="minorHAnsi"/>
                <w:sz w:val="20"/>
                <w:szCs w:val="20"/>
                <w:lang w:val="en-US"/>
              </w:rPr>
              <w:t>andates on low carbon fuel use and energy efficiency</w:t>
            </w:r>
            <w:r w:rsidRPr="00EE419A">
              <w:rPr>
                <w:rFonts w:eastAsia="Yu Mincho Light" w:cstheme="minorHAnsi"/>
                <w:sz w:val="20"/>
                <w:szCs w:val="20"/>
                <w:lang w:val="en-US"/>
              </w:rPr>
              <w:t xml:space="preserve"> </w:t>
            </w:r>
          </w:p>
        </w:tc>
        <w:tc>
          <w:tcPr>
            <w:tcW w:w="5839" w:type="dxa"/>
          </w:tcPr>
          <w:p w14:paraId="233ABA62" w14:textId="77777777" w:rsidR="0041501D" w:rsidRDefault="008B6A94" w:rsidP="008B6A94">
            <w:pPr>
              <w:pStyle w:val="Paragraphedeliste"/>
              <w:numPr>
                <w:ilvl w:val="0"/>
                <w:numId w:val="14"/>
              </w:numPr>
              <w:ind w:left="340" w:hanging="170"/>
              <w:jc w:val="left"/>
              <w:rPr>
                <w:rFonts w:eastAsia="Yu Mincho Light" w:cstheme="minorHAnsi"/>
                <w:color w:val="000000"/>
                <w:sz w:val="20"/>
                <w:szCs w:val="20"/>
                <w:lang w:val="en-US"/>
              </w:rPr>
            </w:pPr>
            <w:r>
              <w:rPr>
                <w:rFonts w:eastAsia="Yu Mincho Light" w:cstheme="minorHAnsi"/>
                <w:color w:val="000000"/>
                <w:sz w:val="20"/>
                <w:szCs w:val="20"/>
                <w:lang w:val="en-US"/>
              </w:rPr>
              <w:t>Direct costs due to higher prices for alternative fuels or vessel retrofitting.</w:t>
            </w:r>
            <w:r w:rsidR="00B16166">
              <w:rPr>
                <w:rFonts w:eastAsia="Yu Mincho Light" w:cstheme="minorHAnsi"/>
                <w:color w:val="000000"/>
                <w:sz w:val="20"/>
                <w:szCs w:val="20"/>
                <w:lang w:val="en-US"/>
              </w:rPr>
              <w:t xml:space="preserve"> </w:t>
            </w:r>
          </w:p>
          <w:p w14:paraId="2170A14E" w14:textId="20D4C0C4" w:rsidR="008B6A94" w:rsidRDefault="000563F9" w:rsidP="008B6A94">
            <w:pPr>
              <w:pStyle w:val="Paragraphedeliste"/>
              <w:numPr>
                <w:ilvl w:val="0"/>
                <w:numId w:val="14"/>
              </w:numPr>
              <w:ind w:left="340" w:hanging="170"/>
              <w:jc w:val="left"/>
              <w:rPr>
                <w:rFonts w:eastAsia="Yu Mincho Light" w:cstheme="minorHAnsi"/>
                <w:color w:val="000000"/>
                <w:sz w:val="20"/>
                <w:szCs w:val="20"/>
                <w:lang w:val="en-US"/>
              </w:rPr>
            </w:pPr>
            <w:r>
              <w:rPr>
                <w:rFonts w:eastAsia="Yu Mincho Light" w:cstheme="minorHAnsi"/>
                <w:color w:val="000000"/>
                <w:sz w:val="20"/>
                <w:szCs w:val="20"/>
                <w:lang w:val="en-US"/>
              </w:rPr>
              <w:t>Suppliers of low carbon might face higher demand from maritime companies</w:t>
            </w:r>
            <w:r w:rsidR="0041501D">
              <w:rPr>
                <w:rFonts w:eastAsia="Yu Mincho Light" w:cstheme="minorHAnsi"/>
                <w:color w:val="000000"/>
                <w:sz w:val="20"/>
                <w:szCs w:val="20"/>
                <w:lang w:val="en-US"/>
              </w:rPr>
              <w:t>, which might not be in a position to match the demand</w:t>
            </w:r>
            <w:r w:rsidR="00BA483F">
              <w:rPr>
                <w:rFonts w:eastAsia="Yu Mincho Light" w:cstheme="minorHAnsi"/>
                <w:color w:val="000000"/>
                <w:sz w:val="20"/>
                <w:szCs w:val="20"/>
                <w:lang w:val="en-US"/>
              </w:rPr>
              <w:t xml:space="preserve"> within the </w:t>
            </w:r>
            <w:r w:rsidR="006013B2">
              <w:rPr>
                <w:rFonts w:eastAsia="Yu Mincho Light" w:cstheme="minorHAnsi"/>
                <w:color w:val="000000"/>
                <w:sz w:val="20"/>
                <w:szCs w:val="20"/>
                <w:lang w:val="en-US"/>
              </w:rPr>
              <w:t xml:space="preserve">mandate </w:t>
            </w:r>
            <w:r w:rsidR="00BA483F">
              <w:rPr>
                <w:rFonts w:eastAsia="Yu Mincho Light" w:cstheme="minorHAnsi"/>
                <w:color w:val="000000"/>
                <w:sz w:val="20"/>
                <w:szCs w:val="20"/>
                <w:lang w:val="en-US"/>
              </w:rPr>
              <w:t>compliance timeframe</w:t>
            </w:r>
            <w:r w:rsidR="0041501D">
              <w:rPr>
                <w:rFonts w:eastAsia="Yu Mincho Light" w:cstheme="minorHAnsi"/>
                <w:color w:val="000000"/>
                <w:sz w:val="20"/>
                <w:szCs w:val="20"/>
                <w:lang w:val="en-US"/>
              </w:rPr>
              <w:t>, and could increase prices.</w:t>
            </w:r>
          </w:p>
        </w:tc>
      </w:tr>
      <w:tr w:rsidR="008B6A94" w:rsidRPr="00FA7359" w14:paraId="18275ACE" w14:textId="77777777" w:rsidTr="00A740CC">
        <w:trPr>
          <w:trHeight w:val="794"/>
        </w:trPr>
        <w:tc>
          <w:tcPr>
            <w:tcW w:w="1361" w:type="dxa"/>
            <w:vMerge w:val="restart"/>
            <w:shd w:val="clear" w:color="auto" w:fill="auto"/>
          </w:tcPr>
          <w:p w14:paraId="09613BEF" w14:textId="29285294" w:rsidR="008B6A94" w:rsidRPr="003A4C76" w:rsidRDefault="008B6A94" w:rsidP="008B6A94">
            <w:pPr>
              <w:jc w:val="center"/>
              <w:rPr>
                <w:rFonts w:eastAsiaTheme="minorEastAsia" w:cstheme="minorHAnsi"/>
                <w:b/>
                <w:sz w:val="20"/>
                <w:szCs w:val="20"/>
                <w:lang w:val="en-US"/>
              </w:rPr>
            </w:pPr>
            <w:r>
              <w:rPr>
                <w:rFonts w:eastAsiaTheme="minorEastAsia" w:cstheme="minorHAnsi"/>
                <w:b/>
                <w:sz w:val="20"/>
                <w:szCs w:val="20"/>
                <w:lang w:val="en-US"/>
              </w:rPr>
              <w:t>Market</w:t>
            </w:r>
          </w:p>
        </w:tc>
        <w:tc>
          <w:tcPr>
            <w:tcW w:w="2041" w:type="dxa"/>
          </w:tcPr>
          <w:p w14:paraId="72450594" w14:textId="0AF4CD90" w:rsidR="008B6A94" w:rsidRDefault="008B6A94" w:rsidP="008B6A94">
            <w:pPr>
              <w:jc w:val="center"/>
              <w:rPr>
                <w:rFonts w:eastAsia="Yu Mincho Light" w:cstheme="minorHAnsi"/>
                <w:sz w:val="20"/>
                <w:szCs w:val="20"/>
                <w:lang w:val="en-US"/>
              </w:rPr>
            </w:pPr>
            <w:r>
              <w:rPr>
                <w:rFonts w:eastAsia="Yu Mincho Light" w:cstheme="minorHAnsi"/>
                <w:sz w:val="20"/>
                <w:szCs w:val="20"/>
                <w:lang w:val="en-US"/>
              </w:rPr>
              <w:t>Limited biofuel or e-fuel availability</w:t>
            </w:r>
            <w:r w:rsidRPr="00EE419A">
              <w:rPr>
                <w:rFonts w:eastAsia="Yu Mincho Light" w:cstheme="minorHAnsi"/>
                <w:sz w:val="20"/>
                <w:szCs w:val="20"/>
                <w:lang w:val="en-US"/>
              </w:rPr>
              <w:t xml:space="preserve"> </w:t>
            </w:r>
          </w:p>
        </w:tc>
        <w:tc>
          <w:tcPr>
            <w:tcW w:w="5839" w:type="dxa"/>
          </w:tcPr>
          <w:p w14:paraId="16D76C69" w14:textId="3B0C07F4" w:rsidR="008B6A94" w:rsidRDefault="008B6A94" w:rsidP="008B6A94">
            <w:pPr>
              <w:pStyle w:val="Paragraphedeliste"/>
              <w:numPr>
                <w:ilvl w:val="0"/>
                <w:numId w:val="14"/>
              </w:numPr>
              <w:ind w:left="340" w:hanging="170"/>
              <w:jc w:val="left"/>
              <w:rPr>
                <w:rFonts w:eastAsia="Yu Mincho Light" w:cstheme="minorHAnsi"/>
                <w:color w:val="000000"/>
                <w:sz w:val="20"/>
                <w:szCs w:val="20"/>
                <w:lang w:val="en-US"/>
              </w:rPr>
            </w:pPr>
            <w:r>
              <w:rPr>
                <w:rFonts w:eastAsia="Yu Mincho Light" w:cstheme="minorHAnsi"/>
                <w:color w:val="000000"/>
                <w:sz w:val="20"/>
                <w:szCs w:val="20"/>
                <w:lang w:val="en-US"/>
              </w:rPr>
              <w:t>Difficulties to secure enough alternative fuels may result in higher fuels prices and potentially fines due to non-respect of mandates.</w:t>
            </w:r>
          </w:p>
          <w:p w14:paraId="5CF40316" w14:textId="14D66117" w:rsidR="001E666D" w:rsidRDefault="001E666D" w:rsidP="008B6A94">
            <w:pPr>
              <w:pStyle w:val="Paragraphedeliste"/>
              <w:numPr>
                <w:ilvl w:val="0"/>
                <w:numId w:val="14"/>
              </w:numPr>
              <w:ind w:left="340" w:hanging="170"/>
              <w:jc w:val="left"/>
              <w:rPr>
                <w:rFonts w:eastAsia="Yu Mincho Light" w:cstheme="minorHAnsi"/>
                <w:color w:val="000000"/>
                <w:sz w:val="20"/>
                <w:szCs w:val="20"/>
                <w:lang w:val="en-US"/>
              </w:rPr>
            </w:pPr>
            <w:r>
              <w:rPr>
                <w:rFonts w:eastAsia="Yu Mincho Light" w:cstheme="minorHAnsi"/>
                <w:color w:val="000000"/>
                <w:sz w:val="20"/>
                <w:szCs w:val="20"/>
                <w:lang w:val="en-US"/>
              </w:rPr>
              <w:t xml:space="preserve">Difficulties to secure </w:t>
            </w:r>
            <w:r w:rsidR="00772B9B">
              <w:rPr>
                <w:rFonts w:eastAsia="Yu Mincho Light" w:cstheme="minorHAnsi"/>
                <w:color w:val="000000"/>
                <w:sz w:val="20"/>
                <w:szCs w:val="20"/>
                <w:lang w:val="en-US"/>
              </w:rPr>
              <w:t>e-fuels</w:t>
            </w:r>
            <w:r w:rsidR="00EE1313">
              <w:rPr>
                <w:rFonts w:eastAsia="Yu Mincho Light" w:cstheme="minorHAnsi"/>
                <w:color w:val="000000"/>
                <w:sz w:val="20"/>
                <w:szCs w:val="20"/>
                <w:lang w:val="en-US"/>
              </w:rPr>
              <w:t xml:space="preserve"> in </w:t>
            </w:r>
            <w:r w:rsidR="00EE44F0">
              <w:rPr>
                <w:rFonts w:eastAsia="Yu Mincho Light" w:cstheme="minorHAnsi"/>
                <w:color w:val="000000"/>
                <w:sz w:val="20"/>
                <w:szCs w:val="20"/>
                <w:lang w:val="en-US"/>
              </w:rPr>
              <w:t>ASCO region</w:t>
            </w:r>
            <w:r w:rsidR="00772B9B">
              <w:rPr>
                <w:rFonts w:eastAsia="Yu Mincho Light" w:cstheme="minorHAnsi"/>
                <w:color w:val="000000"/>
                <w:sz w:val="20"/>
                <w:szCs w:val="20"/>
                <w:lang w:val="en-US"/>
              </w:rPr>
              <w:t xml:space="preserve"> that would match minimum sustainability requirements</w:t>
            </w:r>
            <w:r w:rsidR="00F34909">
              <w:rPr>
                <w:rFonts w:eastAsia="Yu Mincho Light" w:cstheme="minorHAnsi"/>
                <w:color w:val="000000"/>
                <w:sz w:val="20"/>
                <w:szCs w:val="20"/>
                <w:lang w:val="en-US"/>
              </w:rPr>
              <w:t xml:space="preserve"> drawn from IMO guidelines or an</w:t>
            </w:r>
            <w:r w:rsidR="0030653E">
              <w:rPr>
                <w:rFonts w:eastAsia="Yu Mincho Light" w:cstheme="minorHAnsi"/>
                <w:color w:val="000000"/>
                <w:sz w:val="20"/>
                <w:szCs w:val="20"/>
                <w:lang w:val="en-US"/>
              </w:rPr>
              <w:t>other relevant</w:t>
            </w:r>
            <w:r w:rsidR="00F34909">
              <w:rPr>
                <w:rFonts w:eastAsia="Yu Mincho Light" w:cstheme="minorHAnsi"/>
                <w:color w:val="000000"/>
                <w:sz w:val="20"/>
                <w:szCs w:val="20"/>
                <w:lang w:val="en-US"/>
              </w:rPr>
              <w:t xml:space="preserve"> regulation</w:t>
            </w:r>
          </w:p>
        </w:tc>
      </w:tr>
      <w:tr w:rsidR="008B6A94" w:rsidRPr="00FA7359" w14:paraId="40F1D6DD" w14:textId="77777777" w:rsidTr="00A740CC">
        <w:trPr>
          <w:cnfStyle w:val="000000100000" w:firstRow="0" w:lastRow="0" w:firstColumn="0" w:lastColumn="0" w:oddVBand="0" w:evenVBand="0" w:oddHBand="1" w:evenHBand="0" w:firstRowFirstColumn="0" w:firstRowLastColumn="0" w:lastRowFirstColumn="0" w:lastRowLastColumn="0"/>
          <w:trHeight w:val="794"/>
        </w:trPr>
        <w:tc>
          <w:tcPr>
            <w:tcW w:w="1361" w:type="dxa"/>
            <w:vMerge/>
            <w:shd w:val="clear" w:color="auto" w:fill="auto"/>
          </w:tcPr>
          <w:p w14:paraId="7A472F30" w14:textId="77777777" w:rsidR="008B6A94" w:rsidRPr="003A4C76" w:rsidRDefault="008B6A94" w:rsidP="008B6A94">
            <w:pPr>
              <w:jc w:val="center"/>
              <w:rPr>
                <w:rFonts w:eastAsiaTheme="minorEastAsia" w:cstheme="minorHAnsi"/>
                <w:b/>
                <w:sz w:val="20"/>
                <w:szCs w:val="20"/>
                <w:lang w:val="en-US"/>
              </w:rPr>
            </w:pPr>
          </w:p>
        </w:tc>
        <w:tc>
          <w:tcPr>
            <w:tcW w:w="2041" w:type="dxa"/>
          </w:tcPr>
          <w:p w14:paraId="17EA3CC6" w14:textId="5597387A" w:rsidR="008B6A94" w:rsidRDefault="008B6A94" w:rsidP="008B6A94">
            <w:pPr>
              <w:jc w:val="center"/>
              <w:rPr>
                <w:rFonts w:eastAsia="Yu Mincho Light" w:cstheme="minorHAnsi"/>
                <w:sz w:val="20"/>
                <w:szCs w:val="20"/>
                <w:lang w:val="en-US"/>
              </w:rPr>
            </w:pPr>
            <w:r>
              <w:rPr>
                <w:rFonts w:eastAsia="Yu Mincho Light" w:cstheme="minorHAnsi"/>
                <w:sz w:val="20"/>
                <w:szCs w:val="20"/>
                <w:lang w:val="en-US"/>
              </w:rPr>
              <w:t>Reduction of oil and gas demand</w:t>
            </w:r>
          </w:p>
        </w:tc>
        <w:tc>
          <w:tcPr>
            <w:tcW w:w="5839" w:type="dxa"/>
          </w:tcPr>
          <w:p w14:paraId="42461665" w14:textId="77777777" w:rsidR="008B6A94" w:rsidRDefault="008B6A94" w:rsidP="008B6A94">
            <w:pPr>
              <w:pStyle w:val="Paragraphedeliste"/>
              <w:numPr>
                <w:ilvl w:val="0"/>
                <w:numId w:val="14"/>
              </w:numPr>
              <w:ind w:left="340" w:hanging="170"/>
              <w:jc w:val="left"/>
              <w:rPr>
                <w:rFonts w:eastAsia="Yu Mincho Light" w:cstheme="minorHAnsi"/>
                <w:color w:val="000000"/>
                <w:sz w:val="20"/>
                <w:szCs w:val="20"/>
                <w:lang w:val="en-US"/>
              </w:rPr>
            </w:pPr>
            <w:r>
              <w:rPr>
                <w:rFonts w:eastAsia="Yu Mincho Light" w:cstheme="minorHAnsi"/>
                <w:color w:val="000000"/>
                <w:sz w:val="20"/>
                <w:szCs w:val="20"/>
                <w:lang w:val="en-US"/>
              </w:rPr>
              <w:t>Potential decrease in oil and gas demand may reduce exploitation and exploration activities within the Caspian Sea, affecting ASCO’s activities.</w:t>
            </w:r>
          </w:p>
          <w:p w14:paraId="102A46FB" w14:textId="0FB3EF70" w:rsidR="00554C2B" w:rsidRDefault="005F190E" w:rsidP="008B6A94">
            <w:pPr>
              <w:pStyle w:val="Paragraphedeliste"/>
              <w:numPr>
                <w:ilvl w:val="0"/>
                <w:numId w:val="14"/>
              </w:numPr>
              <w:ind w:left="340" w:hanging="170"/>
              <w:jc w:val="left"/>
              <w:rPr>
                <w:rFonts w:eastAsia="Yu Mincho Light" w:cstheme="minorHAnsi"/>
                <w:color w:val="000000"/>
                <w:sz w:val="20"/>
                <w:szCs w:val="20"/>
                <w:lang w:val="en-US"/>
              </w:rPr>
            </w:pPr>
            <w:r>
              <w:rPr>
                <w:rFonts w:eastAsia="Yu Mincho Light" w:cstheme="minorHAnsi"/>
                <w:color w:val="000000"/>
                <w:sz w:val="20"/>
                <w:szCs w:val="20"/>
                <w:lang w:val="en-US"/>
              </w:rPr>
              <w:t xml:space="preserve">Decreased demand from </w:t>
            </w:r>
            <w:r w:rsidR="00287418">
              <w:rPr>
                <w:rFonts w:eastAsia="Yu Mincho Light" w:cstheme="minorHAnsi"/>
                <w:color w:val="000000"/>
                <w:sz w:val="20"/>
                <w:szCs w:val="20"/>
                <w:lang w:val="en-US"/>
              </w:rPr>
              <w:t xml:space="preserve">oil and gas </w:t>
            </w:r>
            <w:r>
              <w:rPr>
                <w:rFonts w:eastAsia="Yu Mincho Light" w:cstheme="minorHAnsi"/>
                <w:color w:val="000000"/>
                <w:sz w:val="20"/>
                <w:szCs w:val="20"/>
                <w:lang w:val="en-US"/>
              </w:rPr>
              <w:t xml:space="preserve">clients might result in underused assets that would </w:t>
            </w:r>
            <w:r w:rsidR="00287418">
              <w:rPr>
                <w:rFonts w:eastAsia="Yu Mincho Light" w:cstheme="minorHAnsi"/>
                <w:color w:val="000000"/>
                <w:sz w:val="20"/>
                <w:szCs w:val="20"/>
                <w:lang w:val="en-US"/>
              </w:rPr>
              <w:t>generate less revenue</w:t>
            </w:r>
            <w:r w:rsidR="00813C2F">
              <w:rPr>
                <w:rFonts w:eastAsia="Yu Mincho Light" w:cstheme="minorHAnsi"/>
                <w:color w:val="000000"/>
                <w:sz w:val="20"/>
                <w:szCs w:val="20"/>
                <w:lang w:val="en-US"/>
              </w:rPr>
              <w:t xml:space="preserve"> while amortization allowances would remain steady. Such </w:t>
            </w:r>
            <w:r w:rsidR="00813C2F">
              <w:rPr>
                <w:rFonts w:eastAsia="Yu Mincho Light" w:cstheme="minorHAnsi"/>
                <w:color w:val="000000"/>
                <w:sz w:val="20"/>
                <w:szCs w:val="20"/>
                <w:lang w:val="en-US"/>
              </w:rPr>
              <w:lastRenderedPageBreak/>
              <w:t>assets</w:t>
            </w:r>
            <w:r w:rsidR="007646FF">
              <w:rPr>
                <w:rFonts w:eastAsia="Yu Mincho Light" w:cstheme="minorHAnsi"/>
                <w:color w:val="000000"/>
                <w:sz w:val="20"/>
                <w:szCs w:val="20"/>
                <w:lang w:val="en-US"/>
              </w:rPr>
              <w:t xml:space="preserve">’ value for resale might decrease </w:t>
            </w:r>
            <w:r w:rsidR="00DD0EF9">
              <w:rPr>
                <w:rFonts w:eastAsia="Yu Mincho Light" w:cstheme="minorHAnsi"/>
                <w:color w:val="000000"/>
                <w:sz w:val="20"/>
                <w:szCs w:val="20"/>
                <w:lang w:val="en-US"/>
              </w:rPr>
              <w:t>because of less companies targeting such oil &amp; gas maintenance activities.</w:t>
            </w:r>
          </w:p>
        </w:tc>
      </w:tr>
    </w:tbl>
    <w:p w14:paraId="55D8C5A0" w14:textId="77777777" w:rsidR="00522B4D" w:rsidRDefault="00522B4D" w:rsidP="00522B4D">
      <w:pPr>
        <w:spacing w:after="120" w:line="240" w:lineRule="auto"/>
        <w:rPr>
          <w:rFonts w:cstheme="minorHAnsi"/>
          <w:color w:val="0D0D0D"/>
          <w:shd w:val="clear" w:color="auto" w:fill="FFFFFF"/>
          <w:lang w:val="en-US"/>
        </w:rPr>
      </w:pPr>
    </w:p>
    <w:p w14:paraId="78227D03" w14:textId="67285BE2" w:rsidR="00522B4D" w:rsidRPr="00FC75FA" w:rsidRDefault="00522B4D" w:rsidP="00522B4D">
      <w:pPr>
        <w:spacing w:after="120" w:line="240" w:lineRule="auto"/>
        <w:rPr>
          <w:rFonts w:cstheme="minorHAnsi"/>
          <w:color w:val="0D0D0D"/>
          <w:shd w:val="clear" w:color="auto" w:fill="FFFFFF"/>
          <w:lang w:val="en-US"/>
        </w:rPr>
      </w:pPr>
      <w:r w:rsidRPr="0028281B">
        <w:rPr>
          <w:rFonts w:cstheme="minorHAnsi"/>
          <w:color w:val="0D0D0D"/>
          <w:shd w:val="clear" w:color="auto" w:fill="FFFFFF"/>
          <w:lang w:val="en-US"/>
        </w:rPr>
        <w:t xml:space="preserve">Our analysis of these transition risks is based on our </w:t>
      </w:r>
      <w:r w:rsidR="00F12DCA">
        <w:rPr>
          <w:rFonts w:cstheme="minorHAnsi"/>
          <w:color w:val="0D0D0D"/>
          <w:shd w:val="clear" w:color="auto" w:fill="FFFFFF"/>
          <w:lang w:val="en-US"/>
        </w:rPr>
        <w:t xml:space="preserve">publicly available sources, </w:t>
      </w:r>
      <w:r w:rsidRPr="0028281B">
        <w:rPr>
          <w:rFonts w:cstheme="minorHAnsi"/>
          <w:color w:val="0D0D0D"/>
          <w:shd w:val="clear" w:color="auto" w:fill="FFFFFF"/>
          <w:lang w:val="en-US"/>
        </w:rPr>
        <w:t>knowledge of the company</w:t>
      </w:r>
      <w:r w:rsidR="0062530D">
        <w:rPr>
          <w:rFonts w:cstheme="minorHAnsi"/>
          <w:color w:val="0D0D0D"/>
          <w:shd w:val="clear" w:color="auto" w:fill="FFFFFF"/>
          <w:lang w:val="en-US"/>
        </w:rPr>
        <w:t xml:space="preserve"> (interviews with key representatives and </w:t>
      </w:r>
      <w:r w:rsidR="007B52FF">
        <w:rPr>
          <w:rFonts w:cstheme="minorHAnsi"/>
          <w:color w:val="0D0D0D"/>
          <w:shd w:val="clear" w:color="auto" w:fill="FFFFFF"/>
          <w:lang w:val="en-US"/>
        </w:rPr>
        <w:t>data provided by ASCO)</w:t>
      </w:r>
      <w:r w:rsidRPr="0028281B">
        <w:rPr>
          <w:rFonts w:cstheme="minorHAnsi"/>
          <w:color w:val="0D0D0D"/>
          <w:shd w:val="clear" w:color="auto" w:fill="FFFFFF"/>
          <w:lang w:val="en-US"/>
        </w:rPr>
        <w:t xml:space="preserve">, </w:t>
      </w:r>
      <w:r w:rsidR="00BE7022" w:rsidRPr="0028281B">
        <w:rPr>
          <w:rFonts w:cstheme="minorHAnsi"/>
          <w:color w:val="0D0D0D"/>
          <w:shd w:val="clear" w:color="auto" w:fill="FFFFFF"/>
          <w:lang w:val="en-US"/>
        </w:rPr>
        <w:t>the sector and the region</w:t>
      </w:r>
      <w:r w:rsidRPr="0028281B">
        <w:rPr>
          <w:rFonts w:cstheme="minorHAnsi"/>
          <w:color w:val="0D0D0D"/>
          <w:shd w:val="clear" w:color="auto" w:fill="FFFFFF"/>
          <w:lang w:val="en-US"/>
        </w:rPr>
        <w:t>, complemented by insights from reputable sources</w:t>
      </w:r>
      <w:r w:rsidR="00C545A7">
        <w:rPr>
          <w:rFonts w:cstheme="minorHAnsi"/>
          <w:color w:val="0D0D0D"/>
          <w:shd w:val="clear" w:color="auto" w:fill="FFFFFF"/>
          <w:lang w:val="en-US"/>
        </w:rPr>
        <w:t xml:space="preserve"> and</w:t>
      </w:r>
      <w:r w:rsidRPr="0028281B">
        <w:rPr>
          <w:rFonts w:cstheme="minorHAnsi"/>
          <w:color w:val="0D0D0D"/>
          <w:shd w:val="clear" w:color="auto" w:fill="FFFFFF"/>
          <w:lang w:val="en-US"/>
        </w:rPr>
        <w:t xml:space="preserve"> </w:t>
      </w:r>
      <w:r w:rsidR="007B52FF">
        <w:rPr>
          <w:rFonts w:cstheme="minorHAnsi"/>
          <w:color w:val="0D0D0D"/>
          <w:shd w:val="clear" w:color="auto" w:fill="FFFFFF"/>
          <w:lang w:val="en-US"/>
        </w:rPr>
        <w:t>framewor</w:t>
      </w:r>
      <w:r w:rsidR="00654356">
        <w:rPr>
          <w:rFonts w:cstheme="minorHAnsi"/>
          <w:color w:val="0D0D0D"/>
          <w:shd w:val="clear" w:color="auto" w:fill="FFFFFF"/>
          <w:lang w:val="en-US"/>
        </w:rPr>
        <w:t>ks</w:t>
      </w:r>
      <w:r w:rsidR="007B52FF" w:rsidRPr="0028281B">
        <w:rPr>
          <w:rFonts w:cstheme="minorHAnsi"/>
          <w:color w:val="0D0D0D"/>
          <w:shd w:val="clear" w:color="auto" w:fill="FFFFFF"/>
          <w:lang w:val="en-US"/>
        </w:rPr>
        <w:t xml:space="preserve"> </w:t>
      </w:r>
      <w:r w:rsidRPr="0028281B">
        <w:rPr>
          <w:rFonts w:cstheme="minorHAnsi"/>
          <w:color w:val="0D0D0D"/>
          <w:shd w:val="clear" w:color="auto" w:fill="FFFFFF"/>
          <w:lang w:val="en-US"/>
        </w:rPr>
        <w:t>such as the Task force on Climate-related Financial Disclosures (TCFD</w:t>
      </w:r>
      <w:r w:rsidR="0028281B" w:rsidRPr="0028281B">
        <w:rPr>
          <w:rFonts w:cstheme="minorHAnsi"/>
          <w:color w:val="0D0D0D"/>
          <w:shd w:val="clear" w:color="auto" w:fill="FFFFFF"/>
          <w:lang w:val="en-US"/>
        </w:rPr>
        <w:t>)</w:t>
      </w:r>
      <w:r w:rsidRPr="0028281B">
        <w:rPr>
          <w:rFonts w:cstheme="minorHAnsi"/>
          <w:color w:val="0D0D0D"/>
          <w:shd w:val="clear" w:color="auto" w:fill="FFFFFF"/>
          <w:lang w:val="en-US"/>
        </w:rPr>
        <w:t xml:space="preserve"> and industry-specific climate resilience reports.</w:t>
      </w:r>
      <w:r w:rsidRPr="00FC75FA">
        <w:rPr>
          <w:rFonts w:cstheme="minorHAnsi"/>
          <w:color w:val="0D0D0D"/>
          <w:shd w:val="clear" w:color="auto" w:fill="FFFFFF"/>
          <w:lang w:val="en-US"/>
        </w:rPr>
        <w:t xml:space="preserve"> </w:t>
      </w:r>
    </w:p>
    <w:p w14:paraId="5E22DFE3" w14:textId="07652D12" w:rsidR="00522B4D" w:rsidRDefault="00522B4D" w:rsidP="00522B4D">
      <w:pPr>
        <w:spacing w:after="120" w:line="240" w:lineRule="auto"/>
        <w:rPr>
          <w:rFonts w:cstheme="minorHAnsi"/>
          <w:color w:val="0D0D0D"/>
          <w:shd w:val="clear" w:color="auto" w:fill="FFFFFF"/>
          <w:lang w:val="en-US"/>
        </w:rPr>
      </w:pPr>
      <w:r w:rsidRPr="000150A0">
        <w:rPr>
          <w:rFonts w:cstheme="minorHAnsi"/>
          <w:color w:val="0D0D0D"/>
          <w:shd w:val="clear" w:color="auto" w:fill="FFFFFF"/>
          <w:lang w:val="en-US"/>
        </w:rPr>
        <w:t>Transition risks are inherently less tangible compared to physical risks. Unlike physical risks, which often have clear, quantifiable impacts, transition risks involve shifts in policy, technology,</w:t>
      </w:r>
      <w:r w:rsidR="004D59D4">
        <w:rPr>
          <w:rFonts w:cstheme="minorHAnsi"/>
          <w:color w:val="0D0D0D"/>
          <w:shd w:val="clear" w:color="auto" w:fill="FFFFFF"/>
          <w:lang w:val="en-US"/>
        </w:rPr>
        <w:t xml:space="preserve"> legal</w:t>
      </w:r>
      <w:r w:rsidRPr="000150A0">
        <w:rPr>
          <w:rFonts w:cstheme="minorHAnsi"/>
          <w:color w:val="0D0D0D"/>
          <w:shd w:val="clear" w:color="auto" w:fill="FFFFFF"/>
          <w:lang w:val="en-US"/>
        </w:rPr>
        <w:t xml:space="preserve"> and market dynamics that are less easily measured</w:t>
      </w:r>
      <w:r>
        <w:rPr>
          <w:rFonts w:cstheme="minorHAnsi"/>
          <w:color w:val="0D0D0D"/>
          <w:shd w:val="clear" w:color="auto" w:fill="FFFFFF"/>
          <w:lang w:val="en-US"/>
        </w:rPr>
        <w:t xml:space="preserve">, because most impacts are indirect (e.g., pass through of carbon tax to purchased goods and services, long-term ban of operating assets, </w:t>
      </w:r>
      <w:r w:rsidR="00B8426E">
        <w:rPr>
          <w:rFonts w:cstheme="minorHAnsi"/>
          <w:color w:val="0D0D0D"/>
          <w:shd w:val="clear" w:color="auto" w:fill="FFFFFF"/>
          <w:lang w:val="en-US"/>
        </w:rPr>
        <w:t>public policies</w:t>
      </w:r>
      <w:r>
        <w:rPr>
          <w:rFonts w:cstheme="minorHAnsi"/>
          <w:color w:val="0D0D0D"/>
          <w:shd w:val="clear" w:color="auto" w:fill="FFFFFF"/>
          <w:lang w:val="en-US"/>
        </w:rPr>
        <w:t xml:space="preserve"> shifting to greener </w:t>
      </w:r>
      <w:r w:rsidR="00EC38B3">
        <w:rPr>
          <w:rFonts w:cstheme="minorHAnsi"/>
          <w:color w:val="0D0D0D"/>
          <w:shd w:val="clear" w:color="auto" w:fill="FFFFFF"/>
          <w:lang w:val="en-US"/>
        </w:rPr>
        <w:t>industries</w:t>
      </w:r>
      <w:r>
        <w:rPr>
          <w:rFonts w:cstheme="minorHAnsi"/>
          <w:color w:val="0D0D0D"/>
          <w:shd w:val="clear" w:color="auto" w:fill="FFFFFF"/>
          <w:lang w:val="en-US"/>
        </w:rPr>
        <w:t>, impacting turnover in the long term</w:t>
      </w:r>
      <w:r w:rsidR="00B578A6">
        <w:rPr>
          <w:rFonts w:cstheme="minorHAnsi"/>
          <w:color w:val="0D0D0D"/>
          <w:shd w:val="clear" w:color="auto" w:fill="FFFFFF"/>
          <w:lang w:val="en-US"/>
        </w:rPr>
        <w:t>,</w:t>
      </w:r>
      <w:r w:rsidR="006347FE">
        <w:rPr>
          <w:rFonts w:cstheme="minorHAnsi"/>
          <w:color w:val="0D0D0D"/>
          <w:shd w:val="clear" w:color="auto" w:fill="FFFFFF"/>
          <w:lang w:val="en-US"/>
        </w:rPr>
        <w:t xml:space="preserve"> a</w:t>
      </w:r>
      <w:r w:rsidR="00823E4F">
        <w:rPr>
          <w:rFonts w:cstheme="minorHAnsi"/>
          <w:color w:val="0D0D0D"/>
          <w:shd w:val="clear" w:color="auto" w:fill="FFFFFF"/>
          <w:lang w:val="en-US"/>
        </w:rPr>
        <w:t xml:space="preserve"> climate-related disaster that would</w:t>
      </w:r>
      <w:r w:rsidR="00901418">
        <w:rPr>
          <w:rFonts w:cstheme="minorHAnsi"/>
          <w:color w:val="0D0D0D"/>
          <w:shd w:val="clear" w:color="auto" w:fill="FFFFFF"/>
          <w:lang w:val="en-US"/>
        </w:rPr>
        <w:t xml:space="preserve"> become a reputation</w:t>
      </w:r>
      <w:r w:rsidR="00D276E4">
        <w:rPr>
          <w:rFonts w:cstheme="minorHAnsi"/>
          <w:color w:val="0D0D0D"/>
          <w:shd w:val="clear" w:color="auto" w:fill="FFFFFF"/>
          <w:lang w:val="en-US"/>
        </w:rPr>
        <w:t>a</w:t>
      </w:r>
      <w:r w:rsidR="00901418">
        <w:rPr>
          <w:rFonts w:cstheme="minorHAnsi"/>
          <w:color w:val="0D0D0D"/>
          <w:shd w:val="clear" w:color="auto" w:fill="FFFFFF"/>
          <w:lang w:val="en-US"/>
        </w:rPr>
        <w:t>l risks</w:t>
      </w:r>
      <w:r w:rsidR="00D276E4">
        <w:rPr>
          <w:rFonts w:cstheme="minorHAnsi"/>
          <w:color w:val="0D0D0D"/>
          <w:shd w:val="clear" w:color="auto" w:fill="FFFFFF"/>
          <w:lang w:val="en-US"/>
        </w:rPr>
        <w:t xml:space="preserve"> by</w:t>
      </w:r>
      <w:r w:rsidR="00823E4F">
        <w:rPr>
          <w:rFonts w:cstheme="minorHAnsi"/>
          <w:color w:val="0D0D0D"/>
          <w:shd w:val="clear" w:color="auto" w:fill="FFFFFF"/>
          <w:lang w:val="en-US"/>
        </w:rPr>
        <w:t xml:space="preserve"> generat</w:t>
      </w:r>
      <w:r w:rsidR="00D276E4">
        <w:rPr>
          <w:rFonts w:cstheme="minorHAnsi"/>
          <w:color w:val="0D0D0D"/>
          <w:shd w:val="clear" w:color="auto" w:fill="FFFFFF"/>
          <w:lang w:val="en-US"/>
        </w:rPr>
        <w:t>ing</w:t>
      </w:r>
      <w:r w:rsidR="00DE0027">
        <w:rPr>
          <w:rFonts w:cstheme="minorHAnsi"/>
          <w:color w:val="0D0D0D"/>
          <w:shd w:val="clear" w:color="auto" w:fill="FFFFFF"/>
          <w:lang w:val="en-US"/>
        </w:rPr>
        <w:t xml:space="preserve"> an</w:t>
      </w:r>
      <w:r w:rsidR="00901418">
        <w:rPr>
          <w:rFonts w:cstheme="minorHAnsi"/>
          <w:color w:val="0D0D0D"/>
          <w:shd w:val="clear" w:color="auto" w:fill="FFFFFF"/>
          <w:lang w:val="en-US"/>
        </w:rPr>
        <w:t xml:space="preserve"> unusual</w:t>
      </w:r>
      <w:r w:rsidR="00B578A6">
        <w:rPr>
          <w:rFonts w:cstheme="minorHAnsi"/>
          <w:color w:val="0D0D0D"/>
          <w:shd w:val="clear" w:color="auto" w:fill="FFFFFF"/>
          <w:lang w:val="en-US"/>
        </w:rPr>
        <w:t xml:space="preserve"> </w:t>
      </w:r>
      <w:r w:rsidR="00F81D0E">
        <w:rPr>
          <w:rFonts w:cstheme="minorHAnsi"/>
          <w:color w:val="0D0D0D"/>
          <w:shd w:val="clear" w:color="auto" w:fill="FFFFFF"/>
          <w:lang w:val="en-US"/>
        </w:rPr>
        <w:t>focus of NGOs on the company activities</w:t>
      </w:r>
      <w:r w:rsidR="00AB5516">
        <w:rPr>
          <w:rFonts w:cstheme="minorHAnsi"/>
          <w:color w:val="0D0D0D"/>
          <w:shd w:val="clear" w:color="auto" w:fill="FFFFFF"/>
          <w:lang w:val="en-US"/>
        </w:rPr>
        <w:t xml:space="preserve"> </w:t>
      </w:r>
      <w:r w:rsidR="00A26050">
        <w:rPr>
          <w:rFonts w:cstheme="minorHAnsi"/>
          <w:color w:val="0D0D0D"/>
          <w:shd w:val="clear" w:color="auto" w:fill="FFFFFF"/>
          <w:lang w:val="en-US"/>
        </w:rPr>
        <w:t xml:space="preserve">with associated </w:t>
      </w:r>
      <w:r w:rsidR="004B58E2">
        <w:rPr>
          <w:rFonts w:cstheme="minorHAnsi"/>
          <w:color w:val="0D0D0D"/>
          <w:shd w:val="clear" w:color="auto" w:fill="FFFFFF"/>
          <w:lang w:val="en-US"/>
        </w:rPr>
        <w:t xml:space="preserve">bad </w:t>
      </w:r>
      <w:r w:rsidR="00A26050">
        <w:rPr>
          <w:rFonts w:cstheme="minorHAnsi"/>
          <w:color w:val="0D0D0D"/>
          <w:shd w:val="clear" w:color="auto" w:fill="FFFFFF"/>
          <w:lang w:val="en-US"/>
        </w:rPr>
        <w:t>publicity</w:t>
      </w:r>
      <w:r w:rsidR="004E5121">
        <w:rPr>
          <w:rFonts w:cstheme="minorHAnsi"/>
          <w:color w:val="0D0D0D"/>
          <w:shd w:val="clear" w:color="auto" w:fill="FFFFFF"/>
          <w:lang w:val="en-US"/>
        </w:rPr>
        <w:t xml:space="preserve"> and media coverage</w:t>
      </w:r>
      <w:r w:rsidR="00213D4E">
        <w:rPr>
          <w:rFonts w:cstheme="minorHAnsi"/>
          <w:color w:val="0D0D0D"/>
          <w:shd w:val="clear" w:color="auto" w:fill="FFFFFF"/>
          <w:lang w:val="en-US"/>
        </w:rPr>
        <w:t xml:space="preserve"> or reluctance</w:t>
      </w:r>
      <w:r w:rsidR="004E5121">
        <w:rPr>
          <w:rFonts w:cstheme="minorHAnsi"/>
          <w:color w:val="0D0D0D"/>
          <w:shd w:val="clear" w:color="auto" w:fill="FFFFFF"/>
          <w:lang w:val="en-US"/>
        </w:rPr>
        <w:t xml:space="preserve"> from clients to engage </w:t>
      </w:r>
      <w:r w:rsidR="00AB28EA">
        <w:rPr>
          <w:rFonts w:cstheme="minorHAnsi"/>
          <w:color w:val="0D0D0D"/>
          <w:shd w:val="clear" w:color="auto" w:fill="FFFFFF"/>
          <w:lang w:val="en-US"/>
        </w:rPr>
        <w:t>business activities or</w:t>
      </w:r>
      <w:r w:rsidR="00213D4E">
        <w:rPr>
          <w:rFonts w:cstheme="minorHAnsi"/>
          <w:color w:val="0D0D0D"/>
          <w:shd w:val="clear" w:color="auto" w:fill="FFFFFF"/>
          <w:lang w:val="en-US"/>
        </w:rPr>
        <w:t xml:space="preserve"> from talents to apply to vacancies</w:t>
      </w:r>
      <w:r w:rsidR="001066B5">
        <w:rPr>
          <w:rFonts w:cstheme="minorHAnsi"/>
          <w:color w:val="0D0D0D"/>
          <w:shd w:val="clear" w:color="auto" w:fill="FFFFFF"/>
          <w:lang w:val="en-US"/>
        </w:rPr>
        <w:t xml:space="preserve"> in a given company</w:t>
      </w:r>
      <w:r>
        <w:rPr>
          <w:rFonts w:cstheme="minorHAnsi"/>
          <w:color w:val="0D0D0D"/>
          <w:shd w:val="clear" w:color="auto" w:fill="FFFFFF"/>
          <w:lang w:val="en-US"/>
        </w:rPr>
        <w:t>)</w:t>
      </w:r>
      <w:r w:rsidRPr="000150A0">
        <w:rPr>
          <w:rFonts w:cstheme="minorHAnsi"/>
          <w:color w:val="0D0D0D"/>
          <w:shd w:val="clear" w:color="auto" w:fill="FFFFFF"/>
          <w:lang w:val="en-US"/>
        </w:rPr>
        <w:t xml:space="preserve">. Consequently, the quantification of transition risks </w:t>
      </w:r>
      <w:r>
        <w:rPr>
          <w:rFonts w:cstheme="minorHAnsi"/>
          <w:color w:val="0D0D0D"/>
          <w:shd w:val="clear" w:color="auto" w:fill="FFFFFF"/>
          <w:lang w:val="en-US"/>
        </w:rPr>
        <w:t xml:space="preserve">is </w:t>
      </w:r>
      <w:r w:rsidR="0048505D" w:rsidRPr="000150A0">
        <w:rPr>
          <w:rFonts w:cstheme="minorHAnsi"/>
          <w:color w:val="0D0D0D"/>
          <w:shd w:val="clear" w:color="auto" w:fill="FFFFFF"/>
          <w:lang w:val="en-US"/>
        </w:rPr>
        <w:t>challenging</w:t>
      </w:r>
      <w:r>
        <w:rPr>
          <w:rFonts w:cstheme="minorHAnsi"/>
          <w:color w:val="0D0D0D"/>
          <w:shd w:val="clear" w:color="auto" w:fill="FFFFFF"/>
          <w:lang w:val="en-US"/>
        </w:rPr>
        <w:t xml:space="preserve"> </w:t>
      </w:r>
      <w:r w:rsidR="00EC38B3">
        <w:rPr>
          <w:rFonts w:cstheme="minorHAnsi"/>
          <w:color w:val="0D0D0D"/>
          <w:shd w:val="clear" w:color="auto" w:fill="FFFFFF"/>
          <w:lang w:val="en-US"/>
        </w:rPr>
        <w:t xml:space="preserve">and </w:t>
      </w:r>
      <w:r w:rsidRPr="000150A0">
        <w:rPr>
          <w:rFonts w:cstheme="minorHAnsi"/>
          <w:color w:val="0D0D0D"/>
          <w:shd w:val="clear" w:color="auto" w:fill="FFFFFF"/>
          <w:lang w:val="en-US"/>
        </w:rPr>
        <w:t>assess</w:t>
      </w:r>
      <w:r>
        <w:rPr>
          <w:rFonts w:cstheme="minorHAnsi"/>
          <w:color w:val="0D0D0D"/>
          <w:shd w:val="clear" w:color="auto" w:fill="FFFFFF"/>
          <w:lang w:val="en-US"/>
        </w:rPr>
        <w:t>ing</w:t>
      </w:r>
      <w:r w:rsidRPr="000150A0">
        <w:rPr>
          <w:rFonts w:cstheme="minorHAnsi"/>
          <w:color w:val="0D0D0D"/>
          <w:shd w:val="clear" w:color="auto" w:fill="FFFFFF"/>
          <w:lang w:val="en-US"/>
        </w:rPr>
        <w:t xml:space="preserve"> their potential effects with the same precision as physical risks</w:t>
      </w:r>
      <w:r>
        <w:rPr>
          <w:rFonts w:cstheme="minorHAnsi"/>
          <w:color w:val="0D0D0D"/>
          <w:shd w:val="clear" w:color="auto" w:fill="FFFFFF"/>
          <w:lang w:val="en-US"/>
        </w:rPr>
        <w:t xml:space="preserve"> is not possible, but evaluating their potential impact and discussing mitigation solutions remain a necessity to improve long-term climate resilience</w:t>
      </w:r>
      <w:r w:rsidR="00AB3689">
        <w:rPr>
          <w:rFonts w:cstheme="minorHAnsi"/>
          <w:color w:val="0D0D0D"/>
          <w:shd w:val="clear" w:color="auto" w:fill="FFFFFF"/>
          <w:lang w:val="en-US"/>
        </w:rPr>
        <w:t xml:space="preserve"> and strengthen the </w:t>
      </w:r>
      <w:r w:rsidR="008F01B0">
        <w:rPr>
          <w:rFonts w:cstheme="minorHAnsi"/>
          <w:color w:val="0D0D0D"/>
          <w:shd w:val="clear" w:color="auto" w:fill="FFFFFF"/>
          <w:lang w:val="en-US"/>
        </w:rPr>
        <w:t>risk matrix featuring in the company’s risks management policy.</w:t>
      </w:r>
    </w:p>
    <w:p w14:paraId="7C029D61" w14:textId="77777777" w:rsidR="00522B4D" w:rsidRDefault="00522B4D" w:rsidP="00522B4D">
      <w:pPr>
        <w:pStyle w:val="Titre2"/>
        <w:rPr>
          <w:lang w:val="en-US"/>
        </w:rPr>
      </w:pPr>
      <w:bookmarkStart w:id="34" w:name="_Toc173914809"/>
      <w:bookmarkStart w:id="35" w:name="_Toc183015103"/>
      <w:r>
        <w:rPr>
          <w:lang w:val="en-US"/>
        </w:rPr>
        <w:t>2. Analysis a sub-risk level</w:t>
      </w:r>
      <w:bookmarkEnd w:id="34"/>
      <w:bookmarkEnd w:id="35"/>
    </w:p>
    <w:p w14:paraId="356F1B32" w14:textId="77777777" w:rsidR="008B6A94" w:rsidRDefault="008B6A94" w:rsidP="008B6A94">
      <w:pPr>
        <w:pStyle w:val="Titre3"/>
        <w:numPr>
          <w:ilvl w:val="1"/>
          <w:numId w:val="23"/>
        </w:numPr>
        <w:ind w:left="993"/>
        <w:rPr>
          <w:lang w:val="en-US"/>
        </w:rPr>
      </w:pPr>
      <w:bookmarkStart w:id="36" w:name="_Toc183015104"/>
      <w:r>
        <w:rPr>
          <w:lang w:val="en-US"/>
        </w:rPr>
        <w:t>Sustainability reporting mandates</w:t>
      </w:r>
      <w:bookmarkEnd w:id="36"/>
    </w:p>
    <w:p w14:paraId="027318EC" w14:textId="167F4613" w:rsidR="008B6A94" w:rsidRDefault="008B6A94" w:rsidP="008B6A94">
      <w:pPr>
        <w:rPr>
          <w:lang w:val="en-US"/>
        </w:rPr>
      </w:pPr>
      <w:r w:rsidRPr="001D3687">
        <w:rPr>
          <w:lang w:val="en-US"/>
        </w:rPr>
        <w:t xml:space="preserve">The transition risk associated with sustainability reporting mandates presents a significant challenge for ASCO, as international regulations on GHG emissions in the maritime sector grow increasingly stringent. Both European Union and International Maritime Organization (IMO) regulations now require ship operators to rigorously monitor and report data on fuel consumption, GHG emissions, and carbon performance metrics like the Carbon Intensity Indicator (CII), the Energy Efficiency Existing Ship Index (EEXI), and emissions under the EU Emissions Trading System (ETS). Additionally, new environmental, social, and governance (ESG) reporting standards are </w:t>
      </w:r>
      <w:r w:rsidR="00BD014C" w:rsidRPr="001D3687">
        <w:rPr>
          <w:lang w:val="en-US"/>
        </w:rPr>
        <w:t>be</w:t>
      </w:r>
      <w:r w:rsidR="00BD014C">
        <w:rPr>
          <w:lang w:val="en-US"/>
        </w:rPr>
        <w:t>ing incorporated</w:t>
      </w:r>
      <w:r w:rsidR="00DD464F">
        <w:rPr>
          <w:lang w:val="en-US"/>
        </w:rPr>
        <w:t xml:space="preserve"> into</w:t>
      </w:r>
      <w:r w:rsidR="00BD014C" w:rsidRPr="001D3687">
        <w:rPr>
          <w:lang w:val="en-US"/>
        </w:rPr>
        <w:t xml:space="preserve"> </w:t>
      </w:r>
      <w:r w:rsidRPr="001D3687">
        <w:rPr>
          <w:lang w:val="en-US"/>
        </w:rPr>
        <w:t>law globally, necessitating robust plans for fuel management and decarbonization. For ASCO, failing to meet these mandates could result in substantial financial penalties, which are structured to increase with ongoing non-compliance.</w:t>
      </w:r>
    </w:p>
    <w:p w14:paraId="148FBB5A" w14:textId="77777777" w:rsidR="008B6A94" w:rsidRPr="00022E3E" w:rsidRDefault="008B6A94" w:rsidP="00EB7B08">
      <w:pPr>
        <w:pStyle w:val="Paragraphedeliste"/>
        <w:numPr>
          <w:ilvl w:val="0"/>
          <w:numId w:val="28"/>
        </w:numPr>
        <w:ind w:left="993"/>
        <w:rPr>
          <w:b/>
          <w:bCs/>
          <w:lang w:val="en-US"/>
        </w:rPr>
      </w:pPr>
      <w:r w:rsidRPr="00022E3E">
        <w:rPr>
          <w:b/>
          <w:bCs/>
          <w:lang w:val="en-US"/>
        </w:rPr>
        <w:t>Investments needed in data technologies for tracking new indicators</w:t>
      </w:r>
    </w:p>
    <w:p w14:paraId="69132637" w14:textId="069334F0" w:rsidR="008B6A94" w:rsidRPr="00776395" w:rsidRDefault="008B6A94" w:rsidP="008B6A94">
      <w:pPr>
        <w:spacing w:before="100" w:beforeAutospacing="1" w:after="100" w:afterAutospacing="1" w:line="240" w:lineRule="auto"/>
        <w:rPr>
          <w:lang w:val="en-US"/>
        </w:rPr>
      </w:pPr>
      <w:r>
        <w:rPr>
          <w:lang w:val="en-US"/>
        </w:rPr>
        <w:t>T</w:t>
      </w:r>
      <w:r w:rsidRPr="00776395">
        <w:rPr>
          <w:lang w:val="en-US"/>
        </w:rPr>
        <w:t xml:space="preserve">o meet these evolving requirements, ASCO </w:t>
      </w:r>
      <w:r w:rsidR="005E1245">
        <w:rPr>
          <w:lang w:val="en-US"/>
        </w:rPr>
        <w:t>would benefit in</w:t>
      </w:r>
      <w:r w:rsidR="005E1245" w:rsidRPr="00776395">
        <w:rPr>
          <w:lang w:val="en-US"/>
        </w:rPr>
        <w:t xml:space="preserve"> </w:t>
      </w:r>
      <w:r w:rsidRPr="00776395">
        <w:rPr>
          <w:lang w:val="en-US"/>
        </w:rPr>
        <w:t>invest</w:t>
      </w:r>
      <w:r w:rsidR="005E1245">
        <w:rPr>
          <w:lang w:val="en-US"/>
        </w:rPr>
        <w:t>ing</w:t>
      </w:r>
      <w:r w:rsidRPr="00776395">
        <w:rPr>
          <w:lang w:val="en-US"/>
        </w:rPr>
        <w:t xml:space="preserve"> in advanced technology to collect, verify, and report emissions data in compliance with regulatory standards. This will likely involve acquiring software systems for managing fuel consumption, emissions tracking, and integrating data across fleet, operations, and technology teams. </w:t>
      </w:r>
      <w:r w:rsidR="002345BE">
        <w:rPr>
          <w:lang w:val="en-US"/>
        </w:rPr>
        <w:t>Ensuring</w:t>
      </w:r>
      <w:r w:rsidR="004E1407">
        <w:rPr>
          <w:lang w:val="en-US"/>
        </w:rPr>
        <w:t xml:space="preserve"> </w:t>
      </w:r>
      <w:r w:rsidR="00C01676">
        <w:rPr>
          <w:lang w:val="en-US"/>
        </w:rPr>
        <w:t>to collect the highest</w:t>
      </w:r>
      <w:r w:rsidR="00803C97">
        <w:rPr>
          <w:lang w:val="en-US"/>
        </w:rPr>
        <w:t xml:space="preserve"> quality of data to comply with</w:t>
      </w:r>
      <w:r w:rsidR="00653CD9">
        <w:rPr>
          <w:lang w:val="en-US"/>
        </w:rPr>
        <w:t xml:space="preserve"> </w:t>
      </w:r>
      <w:r w:rsidR="005364D8">
        <w:rPr>
          <w:lang w:val="en-US"/>
        </w:rPr>
        <w:t xml:space="preserve">appropriate </w:t>
      </w:r>
      <w:r w:rsidRPr="00776395">
        <w:rPr>
          <w:lang w:val="en-US"/>
        </w:rPr>
        <w:t>carbon performance</w:t>
      </w:r>
      <w:r w:rsidR="00DE5D04">
        <w:rPr>
          <w:lang w:val="en-US"/>
        </w:rPr>
        <w:t xml:space="preserve"> </w:t>
      </w:r>
      <w:r w:rsidRPr="00776395">
        <w:rPr>
          <w:lang w:val="en-US"/>
        </w:rPr>
        <w:t>metrics</w:t>
      </w:r>
      <w:r w:rsidR="00A35472">
        <w:rPr>
          <w:lang w:val="en-US"/>
        </w:rPr>
        <w:t xml:space="preserve"> </w:t>
      </w:r>
      <w:r w:rsidR="005364D8">
        <w:rPr>
          <w:lang w:val="en-US"/>
        </w:rPr>
        <w:t>will</w:t>
      </w:r>
      <w:r w:rsidR="00B04003">
        <w:rPr>
          <w:lang w:val="en-US"/>
        </w:rPr>
        <w:t xml:space="preserve"> </w:t>
      </w:r>
      <w:r w:rsidRPr="00776395">
        <w:rPr>
          <w:lang w:val="en-US"/>
        </w:rPr>
        <w:t>require the implementation of real-time monitoring systems to track fuel consumption and emissions at the voyage, ship, and fleet levels.</w:t>
      </w:r>
    </w:p>
    <w:p w14:paraId="1EADF781" w14:textId="77777777" w:rsidR="008B6A94" w:rsidRPr="00C7020B" w:rsidRDefault="008B6A94" w:rsidP="008B6A94">
      <w:pPr>
        <w:spacing w:before="100" w:beforeAutospacing="1" w:after="100" w:afterAutospacing="1" w:line="240" w:lineRule="auto"/>
        <w:rPr>
          <w:lang w:val="en-US"/>
        </w:rPr>
      </w:pPr>
      <w:r w:rsidRPr="00C7020B">
        <w:rPr>
          <w:lang w:val="en-US"/>
        </w:rPr>
        <w:t>ASCO will be required to report on several key performance indicators (KPIs) associated with GHG emissions and energy efficiency, as detailed below:</w:t>
      </w:r>
    </w:p>
    <w:p w14:paraId="6E602562" w14:textId="15B99898" w:rsidR="00B36AD3" w:rsidRDefault="00B36AD3" w:rsidP="00FA7359">
      <w:pPr>
        <w:pStyle w:val="Lgende"/>
      </w:pPr>
      <w:r>
        <w:lastRenderedPageBreak/>
        <w:t xml:space="preserve">Table </w:t>
      </w:r>
      <w:r>
        <w:fldChar w:fldCharType="begin"/>
      </w:r>
      <w:r>
        <w:instrText xml:space="preserve"> SEQ Table \* ARABIC </w:instrText>
      </w:r>
      <w:r>
        <w:fldChar w:fldCharType="separate"/>
      </w:r>
      <w:r w:rsidR="009B31C6">
        <w:rPr>
          <w:noProof/>
        </w:rPr>
        <w:t>7</w:t>
      </w:r>
      <w:r>
        <w:fldChar w:fldCharType="end"/>
      </w:r>
      <w:r>
        <w:t xml:space="preserve">: </w:t>
      </w:r>
      <w:r w:rsidRPr="00D43FE4">
        <w:t xml:space="preserve">Example of </w:t>
      </w:r>
      <w:r>
        <w:t>r</w:t>
      </w:r>
      <w:r w:rsidRPr="00D43FE4">
        <w:t xml:space="preserve">ecently </w:t>
      </w:r>
      <w:r>
        <w:t>i</w:t>
      </w:r>
      <w:r w:rsidRPr="00D43FE4">
        <w:t xml:space="preserve">ntroduced or </w:t>
      </w:r>
      <w:r>
        <w:t>u</w:t>
      </w:r>
      <w:r w:rsidRPr="00D43FE4">
        <w:t xml:space="preserve">pcoming </w:t>
      </w:r>
      <w:r>
        <w:t>i</w:t>
      </w:r>
      <w:r w:rsidRPr="00D43FE4">
        <w:t xml:space="preserve">ndicators </w:t>
      </w:r>
      <w:r>
        <w:t>i</w:t>
      </w:r>
      <w:r w:rsidRPr="00D43FE4">
        <w:t xml:space="preserve">mpacting </w:t>
      </w:r>
      <w:r>
        <w:t>s</w:t>
      </w:r>
      <w:r w:rsidRPr="00D43FE4">
        <w:t xml:space="preserve">hip </w:t>
      </w:r>
      <w:r>
        <w:t>r</w:t>
      </w:r>
      <w:r w:rsidRPr="00D43FE4">
        <w:t>eporting</w:t>
      </w:r>
    </w:p>
    <w:tbl>
      <w:tblPr>
        <w:tblStyle w:val="TableauGrille4-Accentuation1"/>
        <w:tblW w:w="5000" w:type="pct"/>
        <w:tblLayout w:type="fixed"/>
        <w:tblLook w:val="04A0" w:firstRow="1" w:lastRow="0" w:firstColumn="1" w:lastColumn="0" w:noHBand="0" w:noVBand="1"/>
      </w:tblPr>
      <w:tblGrid>
        <w:gridCol w:w="3680"/>
        <w:gridCol w:w="1419"/>
        <w:gridCol w:w="2267"/>
        <w:gridCol w:w="1694"/>
      </w:tblGrid>
      <w:tr w:rsidR="008B6A94" w:rsidRPr="00367C0B" w14:paraId="3E219E57" w14:textId="77777777">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031" w:type="pct"/>
            <w:noWrap/>
            <w:hideMark/>
          </w:tcPr>
          <w:p w14:paraId="12FCDC71" w14:textId="77777777" w:rsidR="008B6A94" w:rsidRPr="005767CE" w:rsidRDefault="008B6A94">
            <w:pPr>
              <w:jc w:val="left"/>
              <w:rPr>
                <w:rFonts w:ascii="Calibri" w:eastAsia="Times New Roman" w:hAnsi="Calibri" w:cs="Calibri"/>
                <w:lang w:val="en-US"/>
              </w:rPr>
            </w:pPr>
            <w:r>
              <w:rPr>
                <w:rFonts w:ascii="Calibri" w:eastAsia="Times New Roman" w:hAnsi="Calibri" w:cs="Calibri"/>
                <w:lang w:val="en-US"/>
              </w:rPr>
              <w:t>KPI to be reported</w:t>
            </w:r>
          </w:p>
        </w:tc>
        <w:tc>
          <w:tcPr>
            <w:tcW w:w="783" w:type="pct"/>
          </w:tcPr>
          <w:p w14:paraId="09A1A6F5" w14:textId="77777777" w:rsidR="008B6A94" w:rsidRDefault="008B6A9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val="en-US"/>
              </w:rPr>
            </w:pPr>
            <w:r>
              <w:rPr>
                <w:rFonts w:ascii="Calibri" w:eastAsia="Times New Roman" w:hAnsi="Calibri" w:cs="Calibri"/>
                <w:lang w:val="en-US"/>
              </w:rPr>
              <w:t>Application date</w:t>
            </w:r>
          </w:p>
        </w:tc>
        <w:tc>
          <w:tcPr>
            <w:tcW w:w="1251" w:type="pct"/>
          </w:tcPr>
          <w:p w14:paraId="198EB88F" w14:textId="77777777" w:rsidR="008B6A94" w:rsidRDefault="008B6A9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val="en-US"/>
              </w:rPr>
            </w:pPr>
            <w:r>
              <w:rPr>
                <w:rFonts w:ascii="Calibri" w:eastAsia="Times New Roman" w:hAnsi="Calibri" w:cs="Calibri"/>
                <w:lang w:val="en-US"/>
              </w:rPr>
              <w:t>Coverage</w:t>
            </w:r>
          </w:p>
        </w:tc>
        <w:tc>
          <w:tcPr>
            <w:tcW w:w="935" w:type="pct"/>
            <w:noWrap/>
            <w:hideMark/>
          </w:tcPr>
          <w:p w14:paraId="134AF83B" w14:textId="77777777" w:rsidR="008B6A94" w:rsidRPr="005767CE" w:rsidRDefault="008B6A9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val="en-US"/>
              </w:rPr>
            </w:pPr>
            <w:r>
              <w:rPr>
                <w:rFonts w:ascii="Calibri" w:eastAsia="Times New Roman" w:hAnsi="Calibri" w:cs="Calibri"/>
                <w:lang w:val="en-US"/>
              </w:rPr>
              <w:t>Vessel threshold (gross tonnage)</w:t>
            </w:r>
          </w:p>
        </w:tc>
      </w:tr>
      <w:tr w:rsidR="008B6A94" w:rsidRPr="00367C0B" w14:paraId="3922F16B" w14:textId="77777777">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2031" w:type="pct"/>
            <w:noWrap/>
            <w:hideMark/>
          </w:tcPr>
          <w:p w14:paraId="2AC43E35" w14:textId="77777777" w:rsidR="008B6A94" w:rsidRPr="006E754E" w:rsidRDefault="008B6A94">
            <w:pPr>
              <w:jc w:val="left"/>
              <w:rPr>
                <w:rFonts w:asciiTheme="minorHAnsi" w:eastAsia="Times New Roman" w:hAnsiTheme="minorHAnsi" w:cstheme="minorHAnsi"/>
                <w:b w:val="0"/>
                <w:bCs w:val="0"/>
                <w:color w:val="000000"/>
                <w:lang w:val="en-US"/>
              </w:rPr>
            </w:pPr>
            <w:r w:rsidRPr="009B4283">
              <w:rPr>
                <w:rFonts w:asciiTheme="minorHAnsi" w:hAnsiTheme="minorHAnsi" w:cstheme="minorHAnsi"/>
                <w:lang w:val="en-US"/>
              </w:rPr>
              <w:t>Carbon Intensity Indicator - CII</w:t>
            </w:r>
            <w:r w:rsidRPr="006E754E">
              <w:rPr>
                <w:rFonts w:asciiTheme="minorHAnsi" w:hAnsiTheme="minorHAnsi" w:cstheme="minorHAnsi"/>
                <w:b w:val="0"/>
                <w:bCs w:val="0"/>
                <w:lang w:val="en-US"/>
              </w:rPr>
              <w:t xml:space="preserve">: GHG </w:t>
            </w:r>
            <w:r>
              <w:rPr>
                <w:rFonts w:asciiTheme="minorHAnsi" w:hAnsiTheme="minorHAnsi" w:cstheme="minorHAnsi"/>
                <w:b w:val="0"/>
                <w:bCs w:val="0"/>
                <w:lang w:val="en-US"/>
              </w:rPr>
              <w:t>emissions</w:t>
            </w:r>
            <w:r w:rsidRPr="0076538D">
              <w:rPr>
                <w:rFonts w:asciiTheme="minorHAnsi" w:hAnsiTheme="minorHAnsi" w:cstheme="minorHAnsi"/>
                <w:b w:val="0"/>
                <w:bCs w:val="0"/>
                <w:lang w:val="en-US"/>
              </w:rPr>
              <w:t xml:space="preserve"> per ton of cargo per mile traveled.</w:t>
            </w:r>
          </w:p>
        </w:tc>
        <w:tc>
          <w:tcPr>
            <w:tcW w:w="783" w:type="pct"/>
          </w:tcPr>
          <w:p w14:paraId="45933F7C" w14:textId="77777777" w:rsidR="008B6A94" w:rsidRPr="005767CE" w:rsidRDefault="008B6A9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r>
              <w:rPr>
                <w:rFonts w:ascii="Calibri" w:eastAsia="Times New Roman" w:hAnsi="Calibri" w:cs="Calibri"/>
                <w:color w:val="000000"/>
                <w:lang w:val="en-US"/>
              </w:rPr>
              <w:t>Annual reporting 2023, ratings in 2024</w:t>
            </w:r>
          </w:p>
        </w:tc>
        <w:tc>
          <w:tcPr>
            <w:tcW w:w="1251" w:type="pct"/>
          </w:tcPr>
          <w:p w14:paraId="3CF755C8" w14:textId="77777777" w:rsidR="008B6A94" w:rsidRDefault="008B6A9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r>
              <w:rPr>
                <w:rFonts w:ascii="Calibri" w:eastAsia="Times New Roman" w:hAnsi="Calibri" w:cs="Calibri"/>
                <w:color w:val="000000"/>
                <w:lang w:val="en-US"/>
              </w:rPr>
              <w:t>Global</w:t>
            </w:r>
          </w:p>
        </w:tc>
        <w:tc>
          <w:tcPr>
            <w:tcW w:w="935" w:type="pct"/>
            <w:noWrap/>
            <w:hideMark/>
          </w:tcPr>
          <w:p w14:paraId="77A2BC69" w14:textId="77777777" w:rsidR="008B6A94" w:rsidRPr="005767CE" w:rsidRDefault="008B6A9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r>
              <w:rPr>
                <w:rFonts w:ascii="Calibri" w:eastAsia="Times New Roman" w:hAnsi="Calibri" w:cs="Calibri"/>
                <w:color w:val="000000"/>
                <w:lang w:val="en-US"/>
              </w:rPr>
              <w:t>&gt;5000 GT, all ships</w:t>
            </w:r>
          </w:p>
        </w:tc>
      </w:tr>
      <w:tr w:rsidR="008B6A94" w:rsidRPr="00367C0B" w14:paraId="3ECEE966" w14:textId="77777777">
        <w:trPr>
          <w:trHeight w:val="290"/>
        </w:trPr>
        <w:tc>
          <w:tcPr>
            <w:cnfStyle w:val="001000000000" w:firstRow="0" w:lastRow="0" w:firstColumn="1" w:lastColumn="0" w:oddVBand="0" w:evenVBand="0" w:oddHBand="0" w:evenHBand="0" w:firstRowFirstColumn="0" w:firstRowLastColumn="0" w:lastRowFirstColumn="0" w:lastRowLastColumn="0"/>
            <w:tcW w:w="2031" w:type="pct"/>
            <w:noWrap/>
          </w:tcPr>
          <w:p w14:paraId="0C9477A8" w14:textId="77777777" w:rsidR="008B6A94" w:rsidRPr="00F84554" w:rsidRDefault="008B6A94">
            <w:pPr>
              <w:jc w:val="left"/>
              <w:rPr>
                <w:rFonts w:asciiTheme="minorHAnsi" w:hAnsiTheme="minorHAnsi" w:cstheme="minorHAnsi"/>
                <w:b w:val="0"/>
                <w:bCs w:val="0"/>
                <w:lang w:val="en-US"/>
              </w:rPr>
            </w:pPr>
            <w:r w:rsidRPr="009B4283">
              <w:rPr>
                <w:rFonts w:asciiTheme="minorHAnsi" w:hAnsiTheme="minorHAnsi" w:cstheme="minorHAnsi"/>
                <w:lang w:val="en-US"/>
              </w:rPr>
              <w:t>Energy Efficiency Operational Indicator- EEOI</w:t>
            </w:r>
            <w:r>
              <w:rPr>
                <w:rFonts w:asciiTheme="minorHAnsi" w:hAnsiTheme="minorHAnsi" w:cstheme="minorHAnsi"/>
                <w:b w:val="0"/>
                <w:bCs w:val="0"/>
                <w:lang w:val="en-US"/>
              </w:rPr>
              <w:t>: r</w:t>
            </w:r>
            <w:r w:rsidRPr="00F84554">
              <w:rPr>
                <w:rFonts w:asciiTheme="minorHAnsi" w:hAnsiTheme="minorHAnsi" w:cstheme="minorHAnsi"/>
                <w:b w:val="0"/>
                <w:bCs w:val="0"/>
                <w:lang w:val="en-US"/>
              </w:rPr>
              <w:t>eal-time tracking of CO₂ emissions per freight ton per mile</w:t>
            </w:r>
          </w:p>
        </w:tc>
        <w:tc>
          <w:tcPr>
            <w:tcW w:w="783" w:type="pct"/>
          </w:tcPr>
          <w:p w14:paraId="36BF1D15" w14:textId="77777777" w:rsidR="008B6A94" w:rsidRDefault="008B6A9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rPr>
            </w:pPr>
            <w:r>
              <w:rPr>
                <w:rFonts w:ascii="Calibri" w:eastAsia="Times New Roman" w:hAnsi="Calibri" w:cs="Calibri"/>
                <w:color w:val="000000"/>
                <w:lang w:val="en-US"/>
              </w:rPr>
              <w:t>2023</w:t>
            </w:r>
          </w:p>
        </w:tc>
        <w:tc>
          <w:tcPr>
            <w:tcW w:w="1251" w:type="pct"/>
          </w:tcPr>
          <w:p w14:paraId="5CCB792E" w14:textId="77777777" w:rsidR="008B6A94" w:rsidRDefault="008B6A9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rPr>
            </w:pPr>
            <w:r>
              <w:rPr>
                <w:rFonts w:ascii="Calibri" w:eastAsia="Times New Roman" w:hAnsi="Calibri" w:cs="Calibri"/>
                <w:color w:val="000000"/>
                <w:lang w:val="en-US"/>
              </w:rPr>
              <w:t>Global</w:t>
            </w:r>
          </w:p>
        </w:tc>
        <w:tc>
          <w:tcPr>
            <w:tcW w:w="935" w:type="pct"/>
            <w:noWrap/>
          </w:tcPr>
          <w:p w14:paraId="04F4CFA7" w14:textId="77777777" w:rsidR="008B6A94" w:rsidRDefault="008B6A9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rPr>
            </w:pPr>
            <w:r>
              <w:rPr>
                <w:rFonts w:ascii="Calibri" w:eastAsia="Times New Roman" w:hAnsi="Calibri" w:cs="Calibri"/>
                <w:color w:val="000000"/>
                <w:lang w:val="en-US"/>
              </w:rPr>
              <w:t>&gt;400GT, existing fleet</w:t>
            </w:r>
          </w:p>
        </w:tc>
      </w:tr>
      <w:tr w:rsidR="008B6A94" w:rsidRPr="00367C0B" w14:paraId="69419AEF"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031" w:type="pct"/>
            <w:noWrap/>
            <w:hideMark/>
          </w:tcPr>
          <w:p w14:paraId="22DCBC95" w14:textId="77777777" w:rsidR="008B6A94" w:rsidRPr="006E754E" w:rsidRDefault="008B6A94">
            <w:pPr>
              <w:jc w:val="left"/>
              <w:rPr>
                <w:rFonts w:asciiTheme="minorHAnsi" w:eastAsia="Times New Roman" w:hAnsiTheme="minorHAnsi" w:cstheme="minorHAnsi"/>
                <w:b w:val="0"/>
                <w:bCs w:val="0"/>
                <w:color w:val="000000"/>
                <w:lang w:val="en-US"/>
              </w:rPr>
            </w:pPr>
            <w:r w:rsidRPr="009B4283">
              <w:rPr>
                <w:rFonts w:asciiTheme="minorHAnsi" w:hAnsiTheme="minorHAnsi" w:cstheme="minorHAnsi"/>
                <w:lang w:val="en-US"/>
              </w:rPr>
              <w:t>Energy Efficiency Existing Ship Index - EEXI</w:t>
            </w:r>
            <w:r>
              <w:rPr>
                <w:rStyle w:val="Appelnotedebasdep"/>
                <w:rFonts w:asciiTheme="minorHAnsi" w:hAnsiTheme="minorHAnsi" w:cstheme="minorHAnsi"/>
                <w:lang w:val="en-US"/>
              </w:rPr>
              <w:footnoteReference w:id="4"/>
            </w:r>
            <w:r w:rsidRPr="009B4283">
              <w:rPr>
                <w:rFonts w:asciiTheme="minorHAnsi" w:hAnsiTheme="minorHAnsi" w:cstheme="minorHAnsi"/>
                <w:lang w:val="en-US"/>
              </w:rPr>
              <w:t>:</w:t>
            </w:r>
            <w:r>
              <w:rPr>
                <w:rFonts w:asciiTheme="minorHAnsi" w:hAnsiTheme="minorHAnsi" w:cstheme="minorHAnsi"/>
                <w:b w:val="0"/>
                <w:bCs w:val="0"/>
                <w:lang w:val="en-US"/>
              </w:rPr>
              <w:t xml:space="preserve"> </w:t>
            </w:r>
            <w:r w:rsidRPr="003F467B">
              <w:rPr>
                <w:rFonts w:asciiTheme="minorHAnsi" w:hAnsiTheme="minorHAnsi" w:cstheme="minorHAnsi"/>
                <w:b w:val="0"/>
                <w:bCs w:val="0"/>
                <w:lang w:val="en-US"/>
              </w:rPr>
              <w:t>CO₂ emissions</w:t>
            </w:r>
            <w:r>
              <w:rPr>
                <w:rFonts w:asciiTheme="minorHAnsi" w:hAnsiTheme="minorHAnsi" w:cstheme="minorHAnsi"/>
                <w:b w:val="0"/>
                <w:bCs w:val="0"/>
                <w:lang w:val="en-US"/>
              </w:rPr>
              <w:t xml:space="preserve"> due to fuel consumption</w:t>
            </w:r>
            <w:r w:rsidRPr="003F467B">
              <w:rPr>
                <w:rFonts w:asciiTheme="minorHAnsi" w:hAnsiTheme="minorHAnsi" w:cstheme="minorHAnsi"/>
                <w:b w:val="0"/>
                <w:bCs w:val="0"/>
                <w:lang w:val="en-US"/>
              </w:rPr>
              <w:t xml:space="preserve"> by freight ton and mile</w:t>
            </w:r>
            <w:r>
              <w:rPr>
                <w:rFonts w:asciiTheme="minorHAnsi" w:hAnsiTheme="minorHAnsi" w:cstheme="minorHAnsi"/>
                <w:b w:val="0"/>
                <w:bCs w:val="0"/>
                <w:lang w:val="en-US"/>
              </w:rPr>
              <w:t xml:space="preserve"> in real time</w:t>
            </w:r>
          </w:p>
        </w:tc>
        <w:tc>
          <w:tcPr>
            <w:tcW w:w="783" w:type="pct"/>
          </w:tcPr>
          <w:p w14:paraId="093B6165" w14:textId="77777777" w:rsidR="008B6A94" w:rsidRPr="005767CE" w:rsidRDefault="008B6A9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r>
              <w:rPr>
                <w:rFonts w:ascii="Calibri" w:eastAsia="Times New Roman" w:hAnsi="Calibri" w:cs="Calibri"/>
                <w:color w:val="000000"/>
                <w:lang w:val="en-US"/>
              </w:rPr>
              <w:t>2023</w:t>
            </w:r>
          </w:p>
        </w:tc>
        <w:tc>
          <w:tcPr>
            <w:tcW w:w="1251" w:type="pct"/>
          </w:tcPr>
          <w:p w14:paraId="46141B2F" w14:textId="77777777" w:rsidR="008B6A94" w:rsidRPr="005767CE" w:rsidRDefault="008B6A9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r>
              <w:rPr>
                <w:rFonts w:ascii="Calibri" w:eastAsia="Times New Roman" w:hAnsi="Calibri" w:cs="Calibri"/>
                <w:color w:val="000000"/>
                <w:lang w:val="en-US"/>
              </w:rPr>
              <w:t>Global</w:t>
            </w:r>
          </w:p>
        </w:tc>
        <w:tc>
          <w:tcPr>
            <w:tcW w:w="935" w:type="pct"/>
            <w:noWrap/>
            <w:hideMark/>
          </w:tcPr>
          <w:p w14:paraId="0C63BC75" w14:textId="77777777" w:rsidR="008B6A94" w:rsidRPr="005767CE" w:rsidRDefault="008B6A9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r>
              <w:rPr>
                <w:rFonts w:ascii="Calibri" w:eastAsia="Times New Roman" w:hAnsi="Calibri" w:cs="Calibri"/>
                <w:color w:val="000000"/>
                <w:lang w:val="en-US"/>
              </w:rPr>
              <w:t>&gt;400GT, all ships</w:t>
            </w:r>
          </w:p>
        </w:tc>
      </w:tr>
      <w:tr w:rsidR="008B6A94" w:rsidRPr="00FA7359" w14:paraId="7E9E26E8" w14:textId="77777777">
        <w:trPr>
          <w:trHeight w:val="290"/>
        </w:trPr>
        <w:tc>
          <w:tcPr>
            <w:cnfStyle w:val="001000000000" w:firstRow="0" w:lastRow="0" w:firstColumn="1" w:lastColumn="0" w:oddVBand="0" w:evenVBand="0" w:oddHBand="0" w:evenHBand="0" w:firstRowFirstColumn="0" w:firstRowLastColumn="0" w:lastRowFirstColumn="0" w:lastRowLastColumn="0"/>
            <w:tcW w:w="2031" w:type="pct"/>
            <w:noWrap/>
          </w:tcPr>
          <w:p w14:paraId="14E1B924" w14:textId="77777777" w:rsidR="008B6A94" w:rsidRPr="009B4283" w:rsidRDefault="008B6A94">
            <w:pPr>
              <w:jc w:val="left"/>
              <w:rPr>
                <w:rFonts w:asciiTheme="minorHAnsi" w:hAnsiTheme="minorHAnsi" w:cstheme="minorHAnsi"/>
                <w:b w:val="0"/>
                <w:bCs w:val="0"/>
                <w:lang w:val="en-US"/>
              </w:rPr>
            </w:pPr>
            <w:r w:rsidRPr="009B4283">
              <w:rPr>
                <w:rFonts w:asciiTheme="minorHAnsi" w:hAnsiTheme="minorHAnsi" w:cstheme="minorHAnsi"/>
                <w:lang w:val="en-US"/>
              </w:rPr>
              <w:t>GHG emissions</w:t>
            </w:r>
            <w:r w:rsidRPr="009B4283">
              <w:rPr>
                <w:rFonts w:asciiTheme="minorHAnsi" w:hAnsiTheme="minorHAnsi" w:cstheme="minorHAnsi"/>
                <w:b w:val="0"/>
                <w:bCs w:val="0"/>
                <w:lang w:val="en-US"/>
              </w:rPr>
              <w:t xml:space="preserve"> (MRV Maritime and EU ETS)</w:t>
            </w:r>
            <w:r w:rsidRPr="006E754E">
              <w:rPr>
                <w:rStyle w:val="Appelnotedebasdep"/>
                <w:rFonts w:asciiTheme="minorHAnsi" w:hAnsiTheme="minorHAnsi" w:cstheme="minorHAnsi"/>
                <w:b w:val="0"/>
                <w:bCs w:val="0"/>
                <w:lang w:val="en-US"/>
              </w:rPr>
              <w:footnoteReference w:id="5"/>
            </w:r>
            <w:r w:rsidRPr="009B4283">
              <w:rPr>
                <w:rFonts w:asciiTheme="minorHAnsi" w:hAnsiTheme="minorHAnsi" w:cstheme="minorHAnsi"/>
                <w:b w:val="0"/>
                <w:bCs w:val="0"/>
                <w:lang w:val="en-US"/>
              </w:rPr>
              <w:t> :</w:t>
            </w:r>
            <w:r w:rsidRPr="009B4283">
              <w:rPr>
                <w:b w:val="0"/>
                <w:bCs w:val="0"/>
                <w:lang w:val="en-US"/>
              </w:rPr>
              <w:t xml:space="preserve"> </w:t>
            </w:r>
            <w:r w:rsidRPr="009B4283">
              <w:rPr>
                <w:rFonts w:asciiTheme="minorHAnsi" w:hAnsiTheme="minorHAnsi" w:cstheme="minorHAnsi"/>
                <w:b w:val="0"/>
                <w:bCs w:val="0"/>
                <w:lang w:val="en-US"/>
              </w:rPr>
              <w:t>fuel consumption, distance traveled, and time at sea per voyage</w:t>
            </w:r>
          </w:p>
        </w:tc>
        <w:tc>
          <w:tcPr>
            <w:tcW w:w="783" w:type="pct"/>
          </w:tcPr>
          <w:p w14:paraId="32884649" w14:textId="77777777" w:rsidR="008B6A94" w:rsidRPr="00AB58A2" w:rsidRDefault="008B6A9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rPr>
            </w:pPr>
            <w:r>
              <w:rPr>
                <w:rFonts w:ascii="Calibri" w:eastAsia="Times New Roman" w:hAnsi="Calibri" w:cs="Calibri"/>
                <w:color w:val="000000"/>
                <w:lang w:val="en-US"/>
              </w:rPr>
              <w:t>2024 and 2025</w:t>
            </w:r>
          </w:p>
        </w:tc>
        <w:tc>
          <w:tcPr>
            <w:tcW w:w="1251" w:type="pct"/>
          </w:tcPr>
          <w:p w14:paraId="30FD3ECE" w14:textId="77777777" w:rsidR="008B6A94" w:rsidRPr="00D11D81" w:rsidRDefault="008B6A9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11D81">
              <w:rPr>
                <w:rFonts w:ascii="Calibri" w:eastAsia="Times New Roman" w:hAnsi="Calibri" w:cs="Calibri"/>
                <w:color w:val="000000"/>
              </w:rPr>
              <w:t xml:space="preserve">EU/EEA </w:t>
            </w:r>
            <w:proofErr w:type="spellStart"/>
            <w:r w:rsidRPr="00D11D81">
              <w:rPr>
                <w:rFonts w:ascii="Calibri" w:eastAsia="Times New Roman" w:hAnsi="Calibri" w:cs="Calibri"/>
                <w:color w:val="000000"/>
              </w:rPr>
              <w:t>journeys</w:t>
            </w:r>
            <w:proofErr w:type="spellEnd"/>
            <w:r w:rsidRPr="00D11D81">
              <w:rPr>
                <w:rFonts w:ascii="Calibri" w:eastAsia="Times New Roman" w:hAnsi="Calibri" w:cs="Calibri"/>
                <w:color w:val="000000"/>
              </w:rPr>
              <w:t xml:space="preserve">, 50% of </w:t>
            </w:r>
            <w:proofErr w:type="spellStart"/>
            <w:r w:rsidRPr="00D11D81">
              <w:rPr>
                <w:rFonts w:ascii="Calibri" w:eastAsia="Times New Roman" w:hAnsi="Calibri" w:cs="Calibri"/>
                <w:color w:val="000000"/>
              </w:rPr>
              <w:t>emissions</w:t>
            </w:r>
            <w:proofErr w:type="spellEnd"/>
            <w:r w:rsidRPr="00D11D81">
              <w:rPr>
                <w:rFonts w:ascii="Calibri" w:eastAsia="Times New Roman" w:hAnsi="Calibri" w:cs="Calibri"/>
                <w:color w:val="000000"/>
              </w:rPr>
              <w:t xml:space="preserve"> for EU-Non-EU routes</w:t>
            </w:r>
          </w:p>
        </w:tc>
        <w:tc>
          <w:tcPr>
            <w:tcW w:w="935" w:type="pct"/>
            <w:noWrap/>
          </w:tcPr>
          <w:p w14:paraId="7E5F27F8" w14:textId="77777777" w:rsidR="008B6A94" w:rsidRDefault="008B6A9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rPr>
            </w:pPr>
            <w:r>
              <w:rPr>
                <w:rFonts w:ascii="Calibri" w:eastAsia="Times New Roman" w:hAnsi="Calibri" w:cs="Calibri"/>
                <w:color w:val="000000"/>
                <w:lang w:val="en-US"/>
              </w:rPr>
              <w:t>2024: &gt;5000GT cargo ships</w:t>
            </w:r>
          </w:p>
          <w:p w14:paraId="238D4BB5" w14:textId="77777777" w:rsidR="008B6A94" w:rsidRPr="00AB58A2" w:rsidRDefault="008B6A9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rPr>
            </w:pPr>
            <w:r>
              <w:rPr>
                <w:rFonts w:ascii="Calibri" w:eastAsia="Times New Roman" w:hAnsi="Calibri" w:cs="Calibri"/>
                <w:color w:val="000000"/>
                <w:lang w:val="en-US"/>
              </w:rPr>
              <w:t>2025: &gt;400GT, offshore fleet and cargo ships</w:t>
            </w:r>
          </w:p>
        </w:tc>
      </w:tr>
      <w:tr w:rsidR="008B6A94" w:rsidRPr="00367C0B" w14:paraId="1F08EC36"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031" w:type="pct"/>
            <w:noWrap/>
            <w:hideMark/>
          </w:tcPr>
          <w:p w14:paraId="14478F6A" w14:textId="77777777" w:rsidR="008B6A94" w:rsidRPr="006E754E" w:rsidRDefault="008B6A94">
            <w:pPr>
              <w:jc w:val="left"/>
              <w:rPr>
                <w:rFonts w:asciiTheme="minorHAnsi" w:eastAsia="Times New Roman" w:hAnsiTheme="minorHAnsi" w:cstheme="minorHAnsi"/>
                <w:b w:val="0"/>
                <w:bCs w:val="0"/>
                <w:color w:val="000000"/>
                <w:lang w:val="en-US"/>
              </w:rPr>
            </w:pPr>
            <w:r w:rsidRPr="009B4283">
              <w:rPr>
                <w:rFonts w:asciiTheme="minorHAnsi" w:eastAsia="Times New Roman" w:hAnsiTheme="minorHAnsi" w:cstheme="minorHAnsi"/>
                <w:color w:val="000000"/>
                <w:lang w:val="en-US"/>
              </w:rPr>
              <w:t>Emission intensity WTW</w:t>
            </w:r>
            <w:r w:rsidRPr="006E754E">
              <w:rPr>
                <w:rFonts w:asciiTheme="minorHAnsi" w:eastAsia="Times New Roman" w:hAnsiTheme="minorHAnsi" w:cstheme="minorHAnsi"/>
                <w:b w:val="0"/>
                <w:bCs w:val="0"/>
                <w:color w:val="000000"/>
                <w:lang w:val="en-US"/>
              </w:rPr>
              <w:t xml:space="preserve"> (Fuel EU Maritime</w:t>
            </w:r>
            <w:r>
              <w:rPr>
                <w:rFonts w:asciiTheme="minorHAnsi" w:eastAsia="Times New Roman" w:hAnsiTheme="minorHAnsi" w:cstheme="minorHAnsi"/>
                <w:b w:val="0"/>
                <w:bCs w:val="0"/>
                <w:color w:val="000000"/>
                <w:lang w:val="en-US"/>
              </w:rPr>
              <w:t>):</w:t>
            </w:r>
            <w:r w:rsidRPr="00C96A28">
              <w:rPr>
                <w:lang w:val="en-US"/>
              </w:rPr>
              <w:t xml:space="preserve"> </w:t>
            </w:r>
            <w:r w:rsidRPr="00C96A28">
              <w:rPr>
                <w:rFonts w:asciiTheme="minorHAnsi" w:eastAsia="Times New Roman" w:hAnsiTheme="minorHAnsi" w:cstheme="minorHAnsi"/>
                <w:b w:val="0"/>
                <w:bCs w:val="0"/>
                <w:color w:val="000000"/>
                <w:lang w:val="en-US"/>
              </w:rPr>
              <w:t xml:space="preserve">GHG emissions </w:t>
            </w:r>
            <w:r w:rsidRPr="002D11F8">
              <w:rPr>
                <w:rFonts w:asciiTheme="minorHAnsi" w:eastAsia="Times New Roman" w:hAnsiTheme="minorHAnsi" w:cstheme="minorHAnsi"/>
                <w:b w:val="0"/>
                <w:bCs w:val="0"/>
                <w:color w:val="000000"/>
                <w:lang w:val="en-US"/>
              </w:rPr>
              <w:t xml:space="preserve">from fuel extraction, production, refining, transport </w:t>
            </w:r>
            <w:r w:rsidRPr="00C96A28">
              <w:rPr>
                <w:rFonts w:asciiTheme="minorHAnsi" w:eastAsia="Times New Roman" w:hAnsiTheme="minorHAnsi" w:cstheme="minorHAnsi"/>
                <w:b w:val="0"/>
                <w:bCs w:val="0"/>
                <w:color w:val="000000"/>
                <w:lang w:val="en-US"/>
              </w:rPr>
              <w:t>+ direct emissions from fuel combustion / energy produced by fuel</w:t>
            </w:r>
          </w:p>
        </w:tc>
        <w:tc>
          <w:tcPr>
            <w:tcW w:w="783" w:type="pct"/>
          </w:tcPr>
          <w:p w14:paraId="1855962C" w14:textId="77777777" w:rsidR="008B6A94" w:rsidRPr="005767CE" w:rsidRDefault="008B6A9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r>
              <w:rPr>
                <w:rFonts w:ascii="Calibri" w:eastAsia="Times New Roman" w:hAnsi="Calibri" w:cs="Calibri"/>
                <w:color w:val="000000"/>
                <w:lang w:val="en-US"/>
              </w:rPr>
              <w:t>2025</w:t>
            </w:r>
          </w:p>
        </w:tc>
        <w:tc>
          <w:tcPr>
            <w:tcW w:w="1251" w:type="pct"/>
          </w:tcPr>
          <w:p w14:paraId="266EE676" w14:textId="77777777" w:rsidR="008B6A94" w:rsidRPr="00D11D81" w:rsidRDefault="008B6A9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D11D81">
              <w:rPr>
                <w:rFonts w:ascii="Calibri" w:eastAsia="Times New Roman" w:hAnsi="Calibri" w:cs="Calibri"/>
                <w:color w:val="000000"/>
              </w:rPr>
              <w:t xml:space="preserve">EU/EEA </w:t>
            </w:r>
            <w:proofErr w:type="spellStart"/>
            <w:r w:rsidRPr="00D11D81">
              <w:rPr>
                <w:rFonts w:ascii="Calibri" w:eastAsia="Times New Roman" w:hAnsi="Calibri" w:cs="Calibri"/>
                <w:color w:val="000000"/>
              </w:rPr>
              <w:t>journeys</w:t>
            </w:r>
            <w:proofErr w:type="spellEnd"/>
            <w:r w:rsidRPr="00D11D81">
              <w:rPr>
                <w:rFonts w:ascii="Calibri" w:eastAsia="Times New Roman" w:hAnsi="Calibri" w:cs="Calibri"/>
                <w:color w:val="000000"/>
              </w:rPr>
              <w:t xml:space="preserve">, 50% of </w:t>
            </w:r>
            <w:proofErr w:type="spellStart"/>
            <w:r w:rsidRPr="00D11D81">
              <w:rPr>
                <w:rFonts w:ascii="Calibri" w:eastAsia="Times New Roman" w:hAnsi="Calibri" w:cs="Calibri"/>
                <w:color w:val="000000"/>
              </w:rPr>
              <w:t>emissions</w:t>
            </w:r>
            <w:proofErr w:type="spellEnd"/>
            <w:r w:rsidRPr="00D11D81">
              <w:rPr>
                <w:rFonts w:ascii="Calibri" w:eastAsia="Times New Roman" w:hAnsi="Calibri" w:cs="Calibri"/>
                <w:color w:val="000000"/>
              </w:rPr>
              <w:t xml:space="preserve"> for EU-Non-EU routes</w:t>
            </w:r>
          </w:p>
        </w:tc>
        <w:tc>
          <w:tcPr>
            <w:tcW w:w="935" w:type="pct"/>
            <w:noWrap/>
            <w:hideMark/>
          </w:tcPr>
          <w:p w14:paraId="078BF37E" w14:textId="77777777" w:rsidR="008B6A94" w:rsidRPr="005767CE" w:rsidRDefault="008B6A9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r>
              <w:rPr>
                <w:rFonts w:ascii="Calibri" w:eastAsia="Times New Roman" w:hAnsi="Calibri" w:cs="Calibri"/>
                <w:color w:val="000000"/>
                <w:lang w:val="en-US"/>
              </w:rPr>
              <w:t>&gt;5000GT</w:t>
            </w:r>
          </w:p>
        </w:tc>
      </w:tr>
    </w:tbl>
    <w:p w14:paraId="345A9960" w14:textId="77777777" w:rsidR="008B6A94" w:rsidRDefault="008B6A94" w:rsidP="008B6A94">
      <w:pPr>
        <w:pStyle w:val="Lgende"/>
        <w:jc w:val="both"/>
        <w:rPr>
          <w:b/>
          <w:bCs w:val="0"/>
          <w:sz w:val="22"/>
          <w:szCs w:val="22"/>
        </w:rPr>
      </w:pPr>
    </w:p>
    <w:p w14:paraId="12BAD5D7" w14:textId="77777777" w:rsidR="008B6A94" w:rsidRPr="009F76AB" w:rsidRDefault="008B6A94" w:rsidP="008B6A94">
      <w:pPr>
        <w:rPr>
          <w:lang w:val="en-US"/>
        </w:rPr>
      </w:pPr>
      <w:r w:rsidRPr="000C588D">
        <w:rPr>
          <w:lang w:val="en-US"/>
        </w:rPr>
        <w:t>These indicators are governed by detailed guidelines such as the Ship Energy Efficiency Management Plan (SEEMP)</w:t>
      </w:r>
      <w:r w:rsidRPr="00631292">
        <w:rPr>
          <w:rStyle w:val="ParagraphedelisteCar"/>
          <w:b/>
          <w:bCs/>
          <w:lang w:val="en-US"/>
        </w:rPr>
        <w:t xml:space="preserve"> </w:t>
      </w:r>
      <w:r w:rsidRPr="00367C0B">
        <w:rPr>
          <w:rStyle w:val="Appelnotedebasdep"/>
          <w:b/>
          <w:lang w:val="en-US"/>
        </w:rPr>
        <w:footnoteReference w:id="6"/>
      </w:r>
      <w:r w:rsidRPr="000C588D">
        <w:rPr>
          <w:lang w:val="en-US"/>
        </w:rPr>
        <w:t xml:space="preserve"> set by the IMO. To report effectively, ASCO must monitor and document key parameters, including fuel consumption, ship tonnage, distances traveled, and the methodologies used to calculate emissions. </w:t>
      </w:r>
      <w:r w:rsidRPr="00CF39D2">
        <w:rPr>
          <w:lang w:val="en-US"/>
        </w:rPr>
        <w:t>In addition, ASCO will need to provide a comprehensive plan outlining measures to achieve the required emissions reductions, along with self-evaluation and improvement processes. All supporting documentation must be made available to certification teams, including ship plans, engine specifications, propulsion system details, and performance test reports.</w:t>
      </w:r>
    </w:p>
    <w:p w14:paraId="24AA440B" w14:textId="77777777" w:rsidR="008B6A94" w:rsidRPr="00B33922" w:rsidRDefault="008B6A94" w:rsidP="00EB7B08">
      <w:pPr>
        <w:pStyle w:val="Paragraphedeliste"/>
        <w:numPr>
          <w:ilvl w:val="0"/>
          <w:numId w:val="28"/>
        </w:numPr>
        <w:ind w:left="993"/>
        <w:rPr>
          <w:b/>
          <w:bCs/>
          <w:lang w:val="en-US"/>
        </w:rPr>
      </w:pPr>
      <w:r w:rsidRPr="00B33922">
        <w:rPr>
          <w:b/>
          <w:bCs/>
          <w:lang w:val="en-US"/>
        </w:rPr>
        <w:t>Governance and team adaptation</w:t>
      </w:r>
    </w:p>
    <w:p w14:paraId="3301108C" w14:textId="187F49FE" w:rsidR="008B6A94" w:rsidRPr="00541254" w:rsidRDefault="008B6A94" w:rsidP="008B6A94">
      <w:pPr>
        <w:pStyle w:val="Lgende"/>
        <w:jc w:val="both"/>
        <w:rPr>
          <w:b/>
          <w:bCs w:val="0"/>
          <w:sz w:val="22"/>
          <w:szCs w:val="22"/>
        </w:rPr>
      </w:pPr>
      <w:r w:rsidRPr="00541254">
        <w:rPr>
          <w:bCs w:val="0"/>
          <w:sz w:val="22"/>
          <w:szCs w:val="22"/>
        </w:rPr>
        <w:t>To effectively track emissions data and ensure progress toward emissions targets, ASCO will need to establish a robust internal governance framework. This will likely involve recruiting additional team members</w:t>
      </w:r>
      <w:r w:rsidR="0066472D">
        <w:rPr>
          <w:bCs w:val="0"/>
          <w:sz w:val="22"/>
          <w:szCs w:val="22"/>
        </w:rPr>
        <w:t xml:space="preserve"> or </w:t>
      </w:r>
      <w:r w:rsidR="00FD7D79">
        <w:rPr>
          <w:bCs w:val="0"/>
          <w:sz w:val="22"/>
          <w:szCs w:val="22"/>
        </w:rPr>
        <w:t>reassign tasks and responsibilities among its workforce.</w:t>
      </w:r>
      <w:r w:rsidRPr="00541254">
        <w:rPr>
          <w:bCs w:val="0"/>
          <w:sz w:val="22"/>
          <w:szCs w:val="22"/>
        </w:rPr>
        <w:t xml:space="preserve"> </w:t>
      </w:r>
      <w:r w:rsidR="00FD7D79">
        <w:rPr>
          <w:bCs w:val="0"/>
          <w:sz w:val="22"/>
          <w:szCs w:val="22"/>
        </w:rPr>
        <w:t>In addition,</w:t>
      </w:r>
      <w:r w:rsidR="00D519C9">
        <w:rPr>
          <w:bCs w:val="0"/>
          <w:sz w:val="22"/>
          <w:szCs w:val="22"/>
        </w:rPr>
        <w:t xml:space="preserve"> </w:t>
      </w:r>
      <w:r w:rsidRPr="00541254">
        <w:rPr>
          <w:bCs w:val="0"/>
          <w:sz w:val="22"/>
          <w:szCs w:val="22"/>
        </w:rPr>
        <w:t>collaboration</w:t>
      </w:r>
      <w:r w:rsidR="004C5C50">
        <w:rPr>
          <w:bCs w:val="0"/>
          <w:sz w:val="22"/>
          <w:szCs w:val="22"/>
        </w:rPr>
        <w:t xml:space="preserve"> will need to be enhanced</w:t>
      </w:r>
      <w:r w:rsidRPr="00541254">
        <w:rPr>
          <w:bCs w:val="0"/>
          <w:sz w:val="22"/>
          <w:szCs w:val="22"/>
        </w:rPr>
        <w:t xml:space="preserve"> across data, strategy, regulatory, fleet, and operations teams. </w:t>
      </w:r>
      <w:r w:rsidR="004009BF">
        <w:rPr>
          <w:bCs w:val="0"/>
          <w:sz w:val="22"/>
          <w:szCs w:val="22"/>
        </w:rPr>
        <w:t>As an example</w:t>
      </w:r>
      <w:r w:rsidRPr="00541254">
        <w:rPr>
          <w:bCs w:val="0"/>
          <w:sz w:val="22"/>
          <w:szCs w:val="22"/>
        </w:rPr>
        <w:t>, Maersk estimates that the costs of regulatory reporting, including hiring specialized engineers and system developers, could reach tens of thousands of euros annually, depending on fleet size.</w:t>
      </w:r>
      <w:r>
        <w:rPr>
          <w:bCs w:val="0"/>
          <w:sz w:val="22"/>
          <w:szCs w:val="22"/>
        </w:rPr>
        <w:t xml:space="preserve"> </w:t>
      </w:r>
      <w:r w:rsidRPr="00513AE8">
        <w:rPr>
          <w:bCs w:val="0"/>
          <w:sz w:val="22"/>
          <w:szCs w:val="22"/>
        </w:rPr>
        <w:t>It is also crucial to</w:t>
      </w:r>
      <w:r w:rsidR="004009BF">
        <w:rPr>
          <w:bCs w:val="0"/>
          <w:sz w:val="22"/>
          <w:szCs w:val="22"/>
        </w:rPr>
        <w:t xml:space="preserve"> regularly</w:t>
      </w:r>
      <w:r w:rsidRPr="00513AE8">
        <w:rPr>
          <w:bCs w:val="0"/>
          <w:sz w:val="22"/>
          <w:szCs w:val="22"/>
        </w:rPr>
        <w:t xml:space="preserve"> train staff on new </w:t>
      </w:r>
      <w:r w:rsidRPr="00513AE8">
        <w:rPr>
          <w:bCs w:val="0"/>
          <w:sz w:val="22"/>
          <w:szCs w:val="22"/>
        </w:rPr>
        <w:lastRenderedPageBreak/>
        <w:t>regulatory requirements and best practices for emission reduction, ensuring that the entire organization is aligned with the latest standards and prepared to meet future challenges.</w:t>
      </w:r>
    </w:p>
    <w:p w14:paraId="4AE48753" w14:textId="34A21B79" w:rsidR="008B6A94" w:rsidRPr="00541254" w:rsidRDefault="008B6A94" w:rsidP="008B6A94">
      <w:pPr>
        <w:pStyle w:val="Lgende"/>
        <w:jc w:val="both"/>
        <w:rPr>
          <w:b/>
          <w:bCs w:val="0"/>
          <w:sz w:val="22"/>
          <w:szCs w:val="22"/>
        </w:rPr>
      </w:pPr>
      <w:r w:rsidRPr="00541254">
        <w:rPr>
          <w:bCs w:val="0"/>
          <w:sz w:val="22"/>
          <w:szCs w:val="22"/>
        </w:rPr>
        <w:t xml:space="preserve">To support these efforts, ASCO will need to invest </w:t>
      </w:r>
      <w:r w:rsidR="000A189F">
        <w:rPr>
          <w:bCs w:val="0"/>
          <w:sz w:val="22"/>
          <w:szCs w:val="22"/>
        </w:rPr>
        <w:t>time and resources</w:t>
      </w:r>
      <w:r w:rsidR="000A189F" w:rsidRPr="00541254">
        <w:rPr>
          <w:bCs w:val="0"/>
          <w:sz w:val="22"/>
          <w:szCs w:val="22"/>
        </w:rPr>
        <w:t xml:space="preserve"> </w:t>
      </w:r>
      <w:r w:rsidR="00D901C5">
        <w:rPr>
          <w:bCs w:val="0"/>
          <w:sz w:val="22"/>
          <w:szCs w:val="22"/>
        </w:rPr>
        <w:t>including hiring</w:t>
      </w:r>
      <w:r w:rsidR="00D901C5" w:rsidRPr="00541254">
        <w:rPr>
          <w:bCs w:val="0"/>
          <w:sz w:val="22"/>
          <w:szCs w:val="22"/>
        </w:rPr>
        <w:t xml:space="preserve"> </w:t>
      </w:r>
      <w:r w:rsidRPr="00541254">
        <w:rPr>
          <w:bCs w:val="0"/>
          <w:sz w:val="22"/>
          <w:szCs w:val="22"/>
        </w:rPr>
        <w:t>specialized consultants to navigate complex regulatory requirements and ensure ongoing compliance with international GHG regulations, particularly under the EU ETS. Verification teams will be essential for data validation, and ASCO can expect additional costs for third-party audits and compliance checks.</w:t>
      </w:r>
    </w:p>
    <w:p w14:paraId="3C286B65" w14:textId="77777777" w:rsidR="008B6A94" w:rsidRPr="002D53F5" w:rsidRDefault="008B6A94" w:rsidP="008B6A94">
      <w:pPr>
        <w:pStyle w:val="Lgende"/>
        <w:jc w:val="both"/>
      </w:pPr>
      <w:r w:rsidRPr="00541254">
        <w:rPr>
          <w:bCs w:val="0"/>
          <w:sz w:val="22"/>
          <w:szCs w:val="22"/>
        </w:rPr>
        <w:t>Furthermore, ASCO may need to invest in emission-reduction technologies (e.g., hull optimization, heat recovery systems) to comply with performance standards like the Carbon Intensity Indicator (CII). The capital expenditures for these technologies could reach several million euros per vessel, depending on the size of the fleet and the scope of retrofits required.</w:t>
      </w:r>
      <w:r>
        <w:rPr>
          <w:bCs w:val="0"/>
          <w:sz w:val="22"/>
          <w:szCs w:val="22"/>
        </w:rPr>
        <w:t xml:space="preserve"> </w:t>
      </w:r>
    </w:p>
    <w:p w14:paraId="715ACD5F" w14:textId="77777777" w:rsidR="008B6A94" w:rsidRDefault="008B6A94" w:rsidP="008B6A94">
      <w:pPr>
        <w:pStyle w:val="Titre3"/>
        <w:numPr>
          <w:ilvl w:val="1"/>
          <w:numId w:val="23"/>
        </w:numPr>
        <w:ind w:left="993"/>
        <w:rPr>
          <w:lang w:val="en-US"/>
        </w:rPr>
      </w:pPr>
      <w:bookmarkStart w:id="37" w:name="_Toc183015105"/>
      <w:r w:rsidRPr="00C9782F">
        <w:rPr>
          <w:lang w:val="en-US"/>
        </w:rPr>
        <w:t>Increasing pricing of GHG e</w:t>
      </w:r>
      <w:r>
        <w:rPr>
          <w:lang w:val="en-US"/>
        </w:rPr>
        <w:t>missions</w:t>
      </w:r>
      <w:bookmarkEnd w:id="37"/>
    </w:p>
    <w:p w14:paraId="4385B4AA" w14:textId="61B3669A" w:rsidR="008B6A94" w:rsidRDefault="008B6A94" w:rsidP="008B6A94">
      <w:pPr>
        <w:rPr>
          <w:lang w:val="en-US"/>
        </w:rPr>
      </w:pPr>
      <w:r>
        <w:rPr>
          <w:lang w:val="en-US"/>
        </w:rPr>
        <w:t>Several regulations and public policies are implementing or considering carbon taxes to finance the transition to a low carbon future. Carbon taxes on GHG emissions are a direct additional cost for companies that needs to be considered for the annual budget review and therefore future policies on this topic may represent a significant transition risk for ASCO. This risk will be assessed in two different segments</w:t>
      </w:r>
      <w:r w:rsidR="00336170">
        <w:rPr>
          <w:lang w:val="en-US"/>
        </w:rPr>
        <w:t>. for the first will cover</w:t>
      </w:r>
      <w:r>
        <w:rPr>
          <w:lang w:val="en-US"/>
        </w:rPr>
        <w:t xml:space="preserve"> ASCO current and future activity in the Mediterranean Sea, where legislation on carbon pricing already exists, </w:t>
      </w:r>
      <w:r w:rsidR="00C47077">
        <w:rPr>
          <w:lang w:val="en-US"/>
        </w:rPr>
        <w:t>while the second will focus on</w:t>
      </w:r>
      <w:r>
        <w:rPr>
          <w:lang w:val="en-US"/>
        </w:rPr>
        <w:t xml:space="preserve"> the Caspian Sea activities. </w:t>
      </w:r>
    </w:p>
    <w:p w14:paraId="7B70C109" w14:textId="77777777" w:rsidR="008B6A94" w:rsidRPr="00FD16F0" w:rsidRDefault="008B6A94" w:rsidP="008B6A94">
      <w:pPr>
        <w:pStyle w:val="Paragraphedeliste"/>
        <w:numPr>
          <w:ilvl w:val="2"/>
          <w:numId w:val="24"/>
        </w:numPr>
        <w:ind w:left="709"/>
        <w:rPr>
          <w:b/>
          <w:bCs/>
          <w:lang w:val="en-US"/>
        </w:rPr>
      </w:pPr>
      <w:r w:rsidRPr="00FD16F0">
        <w:rPr>
          <w:b/>
          <w:bCs/>
          <w:lang w:val="en-US"/>
        </w:rPr>
        <w:t>Mediterranean Sea GHG emission pricing</w:t>
      </w:r>
    </w:p>
    <w:p w14:paraId="2FAA69F6" w14:textId="77777777" w:rsidR="008B6A94" w:rsidRPr="00367C0B" w:rsidRDefault="008B6A94" w:rsidP="008B6A94">
      <w:pPr>
        <w:rPr>
          <w:rFonts w:eastAsiaTheme="minorEastAsia"/>
          <w:lang w:val="en-US"/>
        </w:rPr>
      </w:pPr>
      <w:r>
        <w:rPr>
          <w:lang w:val="en-US"/>
        </w:rPr>
        <w:t>EU-ETS legislation for shipping sector came into effect on January 1</w:t>
      </w:r>
      <w:r w:rsidRPr="00DE4E37">
        <w:rPr>
          <w:vertAlign w:val="superscript"/>
          <w:lang w:val="en-US"/>
        </w:rPr>
        <w:t>st</w:t>
      </w:r>
      <w:r>
        <w:rPr>
          <w:lang w:val="en-US"/>
        </w:rPr>
        <w:t xml:space="preserve">, 2024, and affect all cargo and passengers’ ships above 5000 gross tons. On a company level, CO2 emissions (and </w:t>
      </w:r>
      <w:r w:rsidRPr="00367C0B">
        <w:rPr>
          <w:lang w:val="en-US"/>
        </w:rPr>
        <w:t xml:space="preserve">CH4 (methane) and N2O (nitrous oxide) emissions starting from 2026) </w:t>
      </w:r>
      <w:r>
        <w:rPr>
          <w:lang w:val="en-US"/>
        </w:rPr>
        <w:t>of ships travelling to or from an EU port should be accounted for and equivalent allowances should be surrendered. N</w:t>
      </w:r>
      <w:r w:rsidRPr="00367C0B">
        <w:rPr>
          <w:rFonts w:eastAsiaTheme="minorEastAsia"/>
          <w:lang w:val="en-US"/>
        </w:rPr>
        <w:t xml:space="preserve">on-compliance may result in penalties such as fines and ship detentions. </w:t>
      </w:r>
      <w:r>
        <w:rPr>
          <w:lang w:val="en-US"/>
        </w:rPr>
        <w:t xml:space="preserve">These allowances are tradable within the carbon market and their quantity is determined by a general cap that will progressively decrease in accordance with EU trajectory to a low-carbon future. </w:t>
      </w:r>
    </w:p>
    <w:p w14:paraId="37AFC73A" w14:textId="3A7414A9" w:rsidR="008B6A94" w:rsidRPr="00367C0B" w:rsidRDefault="008B6A94" w:rsidP="008B6A94">
      <w:pPr>
        <w:rPr>
          <w:rFonts w:eastAsiaTheme="minorEastAsia"/>
          <w:lang w:val="en-US"/>
        </w:rPr>
      </w:pPr>
      <w:r w:rsidRPr="00367C0B">
        <w:rPr>
          <w:rFonts w:eastAsiaTheme="minorEastAsia"/>
          <w:lang w:val="en-US"/>
        </w:rPr>
        <w:t>Currently, ASCO has a limited activity within the European boundary with approximately 14% of shipping turnover in the Mediterranean Sea and less than 3% of activity with European ports. For the 2023 year, if EU-ETS was effective</w:t>
      </w:r>
      <w:r w:rsidR="00A234DE">
        <w:rPr>
          <w:rFonts w:eastAsiaTheme="minorEastAsia"/>
          <w:lang w:val="en-US"/>
        </w:rPr>
        <w:t xml:space="preserve"> and based on the data provided by ASCO</w:t>
      </w:r>
      <w:r w:rsidRPr="00367C0B">
        <w:rPr>
          <w:rFonts w:eastAsiaTheme="minorEastAsia"/>
          <w:lang w:val="en-US"/>
        </w:rPr>
        <w:t xml:space="preserve">, </w:t>
      </w:r>
      <w:r w:rsidR="00F30C7E">
        <w:rPr>
          <w:rFonts w:eastAsiaTheme="minorEastAsia"/>
          <w:lang w:val="en-US"/>
        </w:rPr>
        <w:t>the impact</w:t>
      </w:r>
      <w:r w:rsidR="00F30C7E" w:rsidRPr="00367C0B">
        <w:rPr>
          <w:rFonts w:eastAsiaTheme="minorEastAsia"/>
          <w:lang w:val="en-US"/>
        </w:rPr>
        <w:t xml:space="preserve"> </w:t>
      </w:r>
      <w:r w:rsidRPr="00367C0B">
        <w:rPr>
          <w:rFonts w:eastAsiaTheme="minorEastAsia"/>
          <w:lang w:val="en-US"/>
        </w:rPr>
        <w:t>would have represented approximately 1 600 tCO2 emissions</w:t>
      </w:r>
      <w:r w:rsidRPr="00367C0B">
        <w:rPr>
          <w:rStyle w:val="Appelnotedebasdep"/>
          <w:rFonts w:eastAsiaTheme="minorEastAsia"/>
          <w:lang w:val="en-US"/>
        </w:rPr>
        <w:footnoteReference w:id="7"/>
      </w:r>
      <w:r w:rsidRPr="00367C0B">
        <w:rPr>
          <w:rFonts w:eastAsiaTheme="minorEastAsia"/>
          <w:lang w:val="en-US"/>
        </w:rPr>
        <w:t xml:space="preserve"> and 130 000€ with an average price of 80€/tCO2</w:t>
      </w:r>
      <w:r w:rsidRPr="00367C0B">
        <w:rPr>
          <w:rStyle w:val="Appelnotedebasdep"/>
          <w:rFonts w:eastAsiaTheme="minorEastAsia"/>
          <w:lang w:val="en-US"/>
        </w:rPr>
        <w:footnoteReference w:id="8"/>
      </w:r>
      <w:r w:rsidRPr="00367C0B">
        <w:rPr>
          <w:rFonts w:eastAsiaTheme="minorEastAsia"/>
          <w:lang w:val="en-US"/>
        </w:rPr>
        <w:t xml:space="preserve"> (excluding free allowances that ASCO could benefit).</w:t>
      </w:r>
    </w:p>
    <w:p w14:paraId="6D7AD322" w14:textId="37964DC9" w:rsidR="008B6A94" w:rsidRPr="00367C0B" w:rsidRDefault="008B6A94" w:rsidP="008B6A94">
      <w:pPr>
        <w:rPr>
          <w:rFonts w:eastAsiaTheme="minorEastAsia"/>
          <w:lang w:val="en-US"/>
        </w:rPr>
      </w:pPr>
      <w:r w:rsidRPr="00367C0B">
        <w:rPr>
          <w:rFonts w:eastAsiaTheme="minorEastAsia"/>
          <w:lang w:val="en-US"/>
        </w:rPr>
        <w:t>As the cap of allowance of the EU trading system will decrease, the trading allowances will become less common, impacting the trading price of carbon. Several projections</w:t>
      </w:r>
      <w:r w:rsidRPr="00367C0B">
        <w:rPr>
          <w:rStyle w:val="Appelnotedebasdep"/>
          <w:rFonts w:eastAsiaTheme="minorEastAsia"/>
          <w:lang w:val="en-US"/>
        </w:rPr>
        <w:footnoteReference w:id="9"/>
      </w:r>
      <w:r w:rsidRPr="00367C0B">
        <w:rPr>
          <w:rFonts w:eastAsiaTheme="minorEastAsia"/>
          <w:lang w:val="en-US"/>
        </w:rPr>
        <w:t xml:space="preserve"> estimate an average price of a carbon ton to be between 70€ and 150€ for the 2025 – 2030 period and then to </w:t>
      </w:r>
      <w:r w:rsidR="00E70F8F" w:rsidRPr="00367C0B">
        <w:rPr>
          <w:rFonts w:eastAsiaTheme="minorEastAsia"/>
          <w:lang w:val="en-US"/>
        </w:rPr>
        <w:t>stabilize</w:t>
      </w:r>
      <w:r w:rsidRPr="00367C0B">
        <w:rPr>
          <w:rFonts w:eastAsiaTheme="minorEastAsia"/>
          <w:lang w:val="en-US"/>
        </w:rPr>
        <w:t>. However, the price remains highly volatile on a day-to</w:t>
      </w:r>
      <w:r w:rsidR="00E70F8F">
        <w:rPr>
          <w:rFonts w:eastAsiaTheme="minorEastAsia"/>
          <w:lang w:val="en-US"/>
        </w:rPr>
        <w:t>-</w:t>
      </w:r>
      <w:r w:rsidRPr="00367C0B">
        <w:rPr>
          <w:rFonts w:eastAsiaTheme="minorEastAsia"/>
          <w:lang w:val="en-US"/>
        </w:rPr>
        <w:t xml:space="preserve">day basis </w:t>
      </w:r>
      <w:r w:rsidR="00E70F8F">
        <w:rPr>
          <w:rFonts w:eastAsiaTheme="minorEastAsia"/>
          <w:lang w:val="en-US"/>
        </w:rPr>
        <w:t>as the</w:t>
      </w:r>
      <w:r w:rsidRPr="00367C0B">
        <w:rPr>
          <w:rFonts w:eastAsiaTheme="minorEastAsia"/>
          <w:lang w:val="en-US"/>
        </w:rPr>
        <w:t xml:space="preserve"> market price </w:t>
      </w:r>
      <w:r w:rsidR="00E70F8F">
        <w:rPr>
          <w:rFonts w:eastAsiaTheme="minorEastAsia"/>
          <w:lang w:val="en-US"/>
        </w:rPr>
        <w:t xml:space="preserve">is </w:t>
      </w:r>
      <w:r w:rsidRPr="00367C0B">
        <w:rPr>
          <w:rFonts w:eastAsiaTheme="minorEastAsia"/>
          <w:lang w:val="en-US"/>
        </w:rPr>
        <w:t>regulated by supply and demand.</w:t>
      </w:r>
    </w:p>
    <w:p w14:paraId="1C02C21B" w14:textId="0326F726" w:rsidR="008B6A94" w:rsidRPr="00367C0B" w:rsidRDefault="008B6A94" w:rsidP="008B6A94">
      <w:pPr>
        <w:rPr>
          <w:rFonts w:eastAsiaTheme="minorEastAsia"/>
          <w:lang w:val="en-US"/>
        </w:rPr>
      </w:pPr>
      <w:r w:rsidRPr="00367C0B">
        <w:rPr>
          <w:rFonts w:eastAsiaTheme="minorEastAsia"/>
          <w:lang w:val="en-US"/>
        </w:rPr>
        <w:t xml:space="preserve">Depending on ASCO’s international strategy development, carbon price to be paid due to EU-ETS cap and trade system could represent a significant expense in the future years. This </w:t>
      </w:r>
      <w:r w:rsidRPr="00367C0B">
        <w:rPr>
          <w:rFonts w:eastAsiaTheme="minorEastAsia"/>
          <w:lang w:val="en-US"/>
        </w:rPr>
        <w:lastRenderedPageBreak/>
        <w:t>expense could be charged to clients and therefore not be a direct additional fee,</w:t>
      </w:r>
      <w:r w:rsidR="00EA319C">
        <w:rPr>
          <w:rFonts w:eastAsiaTheme="minorEastAsia"/>
          <w:lang w:val="en-US"/>
        </w:rPr>
        <w:t xml:space="preserve"> but will affect ASCO competitiveness.</w:t>
      </w:r>
      <w:r w:rsidRPr="00367C0B">
        <w:rPr>
          <w:rFonts w:eastAsiaTheme="minorEastAsia"/>
          <w:lang w:val="en-US"/>
        </w:rPr>
        <w:t xml:space="preserve"> </w:t>
      </w:r>
      <w:r w:rsidR="00EA319C">
        <w:rPr>
          <w:rFonts w:eastAsiaTheme="minorEastAsia"/>
          <w:lang w:val="en-US"/>
        </w:rPr>
        <w:t>However,</w:t>
      </w:r>
      <w:r w:rsidR="00EA319C" w:rsidRPr="00367C0B">
        <w:rPr>
          <w:rFonts w:eastAsiaTheme="minorEastAsia"/>
          <w:lang w:val="en-US"/>
        </w:rPr>
        <w:t xml:space="preserve"> </w:t>
      </w:r>
      <w:r w:rsidRPr="00367C0B">
        <w:rPr>
          <w:rFonts w:eastAsiaTheme="minorEastAsia"/>
          <w:lang w:val="en-US"/>
        </w:rPr>
        <w:t>ASCO will remain the legal</w:t>
      </w:r>
      <w:r w:rsidR="00AF536D">
        <w:rPr>
          <w:rFonts w:eastAsiaTheme="minorEastAsia"/>
          <w:lang w:val="en-US"/>
        </w:rPr>
        <w:t>ly</w:t>
      </w:r>
      <w:r w:rsidRPr="00367C0B">
        <w:rPr>
          <w:rFonts w:eastAsiaTheme="minorEastAsia"/>
          <w:lang w:val="en-US"/>
        </w:rPr>
        <w:t xml:space="preserve"> accountable entity for monitoring and reporting to the EU all emissions and allowances. </w:t>
      </w:r>
    </w:p>
    <w:p w14:paraId="30DD37F0" w14:textId="77777777" w:rsidR="008B6A94" w:rsidRPr="00FD16F0" w:rsidRDefault="008B6A94" w:rsidP="008B6A94">
      <w:pPr>
        <w:pStyle w:val="Paragraphedeliste"/>
        <w:numPr>
          <w:ilvl w:val="2"/>
          <w:numId w:val="24"/>
        </w:numPr>
        <w:ind w:left="709"/>
        <w:rPr>
          <w:b/>
          <w:bCs/>
          <w:lang w:val="en-US"/>
        </w:rPr>
      </w:pPr>
      <w:r w:rsidRPr="00FD16F0">
        <w:rPr>
          <w:b/>
          <w:bCs/>
          <w:lang w:val="en-US"/>
        </w:rPr>
        <w:t>Caspian Sea GHG emission pricing</w:t>
      </w:r>
    </w:p>
    <w:p w14:paraId="31B7B985" w14:textId="521A23CB" w:rsidR="008B6A94" w:rsidRDefault="008B6A94" w:rsidP="008B6A94">
      <w:pPr>
        <w:rPr>
          <w:lang w:val="en-US"/>
        </w:rPr>
      </w:pPr>
      <w:r w:rsidRPr="00AC0AF1">
        <w:rPr>
          <w:lang w:val="en-US"/>
        </w:rPr>
        <w:t>Currently, there is no legislation on carbon pricing in the countries surrounding the Caspian Sea basin, nor are there any discussions about the creation of such projects. Therefore, it is unlikely that any regulations taxing carbon will emerge in the coming years in this region</w:t>
      </w:r>
      <w:r>
        <w:rPr>
          <w:lang w:val="en-US"/>
        </w:rPr>
        <w:t>, even though international pressure and rising concern over accelerating climate change could eventually change the situation</w:t>
      </w:r>
      <w:r w:rsidRPr="00AC0AF1">
        <w:rPr>
          <w:lang w:val="en-US"/>
        </w:rPr>
        <w:t>.</w:t>
      </w:r>
    </w:p>
    <w:p w14:paraId="7054FA28" w14:textId="4FDBF17F" w:rsidR="008B6A94" w:rsidRPr="00AC19F4" w:rsidRDefault="008B6A94" w:rsidP="008B6A94">
      <w:pPr>
        <w:rPr>
          <w:lang w:val="en-US"/>
        </w:rPr>
      </w:pPr>
      <w:r w:rsidRPr="00AC19F4">
        <w:rPr>
          <w:lang w:val="en-US"/>
        </w:rPr>
        <w:t>However, it may be worthwhile to envision a low-carbon world that aligns with the Paris Agreement in order to estimate the effort ASCO would need to make and the economic impact it would entail.</w:t>
      </w:r>
      <w:r>
        <w:rPr>
          <w:lang w:val="en-US"/>
        </w:rPr>
        <w:t xml:space="preserve"> </w:t>
      </w:r>
      <w:r w:rsidRPr="001F7EED">
        <w:rPr>
          <w:lang w:val="en-US"/>
        </w:rPr>
        <w:t>The EY CAP tool allows for projections into various future scenarios and estimates the potential carbon price in Azerbaijan by 2050</w:t>
      </w:r>
      <w:r>
        <w:rPr>
          <w:lang w:val="en-US"/>
        </w:rPr>
        <w:t xml:space="preserve"> and its impact for ASCO’s activities</w:t>
      </w:r>
      <w:r w:rsidRPr="001F7EED">
        <w:rPr>
          <w:lang w:val="en-US"/>
        </w:rPr>
        <w:t xml:space="preserve">. We have selected two </w:t>
      </w:r>
      <w:r>
        <w:rPr>
          <w:lang w:val="en-US"/>
        </w:rPr>
        <w:t>NGFS</w:t>
      </w:r>
      <w:r>
        <w:rPr>
          <w:rStyle w:val="Appelnotedebasdep"/>
          <w:lang w:val="en-US"/>
        </w:rPr>
        <w:footnoteReference w:id="10"/>
      </w:r>
      <w:r>
        <w:rPr>
          <w:lang w:val="en-US"/>
        </w:rPr>
        <w:t xml:space="preserve"> </w:t>
      </w:r>
      <w:r w:rsidRPr="001F7EED">
        <w:rPr>
          <w:lang w:val="en-US"/>
        </w:rPr>
        <w:t>scenarios to facilitate this projection</w:t>
      </w:r>
      <w:r>
        <w:rPr>
          <w:lang w:val="en-US"/>
        </w:rPr>
        <w:t>:</w:t>
      </w:r>
    </w:p>
    <w:p w14:paraId="070DBE61" w14:textId="77777777" w:rsidR="008B6A94" w:rsidRPr="001A3214" w:rsidRDefault="008B6A94" w:rsidP="00EB7B08">
      <w:pPr>
        <w:pStyle w:val="Paragraphedeliste"/>
        <w:numPr>
          <w:ilvl w:val="0"/>
          <w:numId w:val="26"/>
        </w:numPr>
        <w:rPr>
          <w:lang w:val="en-US"/>
        </w:rPr>
      </w:pPr>
      <w:r>
        <w:rPr>
          <w:lang w:val="en-US"/>
        </w:rPr>
        <w:t xml:space="preserve">Net Zero 2050: This scenario </w:t>
      </w:r>
      <w:r w:rsidRPr="00A97342">
        <w:rPr>
          <w:lang w:val="en-US"/>
        </w:rPr>
        <w:t>limits global warming to 1.5°C through stringent climate policies and innovation, reaching global net zero CO2 emissions around 2050.</w:t>
      </w:r>
      <w:r>
        <w:rPr>
          <w:lang w:val="en-US"/>
        </w:rPr>
        <w:t xml:space="preserve"> </w:t>
      </w:r>
    </w:p>
    <w:p w14:paraId="354D4DCE" w14:textId="77777777" w:rsidR="008B6A94" w:rsidRPr="001A3214" w:rsidRDefault="008B6A94" w:rsidP="00EB7B08">
      <w:pPr>
        <w:pStyle w:val="Paragraphedeliste"/>
        <w:numPr>
          <w:ilvl w:val="0"/>
          <w:numId w:val="26"/>
        </w:numPr>
        <w:rPr>
          <w:lang w:val="en-US"/>
        </w:rPr>
      </w:pPr>
      <w:r>
        <w:rPr>
          <w:lang w:val="en-US"/>
        </w:rPr>
        <w:t>Below 2°C: In this scenario, p</w:t>
      </w:r>
      <w:r w:rsidRPr="002E6D66">
        <w:rPr>
          <w:lang w:val="en-US"/>
        </w:rPr>
        <w:t>olicies are gradually being tightened, allowing a 67% chance of limiting warming to less than 2°C.</w:t>
      </w:r>
      <w:r>
        <w:rPr>
          <w:lang w:val="en-US"/>
        </w:rPr>
        <w:t xml:space="preserve"> T</w:t>
      </w:r>
      <w:r w:rsidRPr="006C4F68">
        <w:rPr>
          <w:lang w:val="en-US"/>
        </w:rPr>
        <w:t>his scenario assumes that climate policies are introduced immediately and become gradually more stringent though not as high as in Net Zero 2050.</w:t>
      </w:r>
    </w:p>
    <w:p w14:paraId="71AEA502" w14:textId="77777777" w:rsidR="008B6A94" w:rsidRPr="00AC19F4" w:rsidRDefault="008B6A94" w:rsidP="008B6A94">
      <w:pPr>
        <w:rPr>
          <w:lang w:val="en-US"/>
        </w:rPr>
      </w:pPr>
      <w:r>
        <w:rPr>
          <w:lang w:val="en-US"/>
        </w:rPr>
        <w:t xml:space="preserve">The EY CAP Tool projects under both scenarios ASCO’s emissions and the associated carbon costs the company would have had to pay for its scope 1 and 2 emissions. The table below presents the key findings of the study. </w:t>
      </w:r>
    </w:p>
    <w:p w14:paraId="45B82FA1" w14:textId="03829952" w:rsidR="00C725DC" w:rsidRDefault="00C725DC" w:rsidP="00FA7359">
      <w:pPr>
        <w:pStyle w:val="Lgende"/>
      </w:pPr>
      <w:r>
        <w:t xml:space="preserve">Table </w:t>
      </w:r>
      <w:r>
        <w:fldChar w:fldCharType="begin"/>
      </w:r>
      <w:r>
        <w:instrText xml:space="preserve"> SEQ Table \* ARABIC </w:instrText>
      </w:r>
      <w:r>
        <w:fldChar w:fldCharType="separate"/>
      </w:r>
      <w:r w:rsidR="009B31C6">
        <w:rPr>
          <w:noProof/>
        </w:rPr>
        <w:t>8</w:t>
      </w:r>
      <w:r>
        <w:fldChar w:fldCharType="end"/>
      </w:r>
      <w:r>
        <w:t xml:space="preserve">: </w:t>
      </w:r>
      <w:r w:rsidRPr="00CB301E">
        <w:t xml:space="preserve">ASCO's </w:t>
      </w:r>
      <w:r>
        <w:t>e</w:t>
      </w:r>
      <w:r w:rsidRPr="00CB301E">
        <w:t xml:space="preserve">missions and the </w:t>
      </w:r>
      <w:r>
        <w:t>p</w:t>
      </w:r>
      <w:r w:rsidRPr="00CB301E">
        <w:t xml:space="preserve">otential </w:t>
      </w:r>
      <w:r>
        <w:t>c</w:t>
      </w:r>
      <w:r w:rsidRPr="00CB301E">
        <w:t xml:space="preserve">arbon </w:t>
      </w:r>
      <w:r>
        <w:t>c</w:t>
      </w:r>
      <w:r w:rsidRPr="00CB301E">
        <w:t xml:space="preserve">osts for Scope 1 and 2 </w:t>
      </w:r>
      <w:r>
        <w:t>e</w:t>
      </w:r>
      <w:r w:rsidRPr="00CB301E">
        <w:t>missions</w:t>
      </w:r>
    </w:p>
    <w:tbl>
      <w:tblPr>
        <w:tblStyle w:val="TableauGrille4-Accentuation1"/>
        <w:tblW w:w="0" w:type="auto"/>
        <w:tblLook w:val="04A0" w:firstRow="1" w:lastRow="0" w:firstColumn="1" w:lastColumn="0" w:noHBand="0" w:noVBand="1"/>
      </w:tblPr>
      <w:tblGrid>
        <w:gridCol w:w="1992"/>
        <w:gridCol w:w="1767"/>
        <w:gridCol w:w="1767"/>
        <w:gridCol w:w="1767"/>
        <w:gridCol w:w="1767"/>
      </w:tblGrid>
      <w:tr w:rsidR="008B6A94" w:rsidRPr="00367C0B" w14:paraId="0BA83478"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2" w:type="dxa"/>
            <w:vMerge w:val="restart"/>
            <w:tcBorders>
              <w:right w:val="single" w:sz="4" w:space="0" w:color="8EAADB" w:themeColor="accent1" w:themeTint="99"/>
            </w:tcBorders>
            <w:vAlign w:val="center"/>
          </w:tcPr>
          <w:p w14:paraId="53FD4160" w14:textId="77777777" w:rsidR="008B6A94" w:rsidRDefault="008B6A94">
            <w:pPr>
              <w:jc w:val="center"/>
              <w:rPr>
                <w:lang w:val="en-US"/>
              </w:rPr>
            </w:pPr>
            <w:r w:rsidRPr="00C84C59">
              <w:rPr>
                <w:b w:val="0"/>
                <w:bCs w:val="0"/>
                <w:lang w:val="en-US"/>
              </w:rPr>
              <w:t>Scenario</w:t>
            </w:r>
          </w:p>
        </w:tc>
        <w:tc>
          <w:tcPr>
            <w:tcW w:w="3534" w:type="dxa"/>
            <w:gridSpan w:val="2"/>
            <w:tcBorders>
              <w:left w:val="single" w:sz="4" w:space="0" w:color="8EAADB" w:themeColor="accent1" w:themeTint="99"/>
              <w:right w:val="single" w:sz="4" w:space="0" w:color="8EAADB" w:themeColor="accent1" w:themeTint="99"/>
            </w:tcBorders>
            <w:vAlign w:val="center"/>
          </w:tcPr>
          <w:p w14:paraId="35C1DF42" w14:textId="77777777" w:rsidR="008B6A94" w:rsidRDefault="008B6A94">
            <w:pPr>
              <w:jc w:val="center"/>
              <w:cnfStyle w:val="100000000000" w:firstRow="1" w:lastRow="0" w:firstColumn="0" w:lastColumn="0" w:oddVBand="0" w:evenVBand="0" w:oddHBand="0" w:evenHBand="0" w:firstRowFirstColumn="0" w:firstRowLastColumn="0" w:lastRowFirstColumn="0" w:lastRowLastColumn="0"/>
              <w:rPr>
                <w:lang w:val="en-US"/>
              </w:rPr>
            </w:pPr>
            <w:r>
              <w:rPr>
                <w:lang w:val="en-US"/>
              </w:rPr>
              <w:t>2030</w:t>
            </w:r>
          </w:p>
        </w:tc>
        <w:tc>
          <w:tcPr>
            <w:tcW w:w="3534" w:type="dxa"/>
            <w:gridSpan w:val="2"/>
            <w:tcBorders>
              <w:left w:val="single" w:sz="4" w:space="0" w:color="8EAADB" w:themeColor="accent1" w:themeTint="99"/>
            </w:tcBorders>
            <w:vAlign w:val="center"/>
          </w:tcPr>
          <w:p w14:paraId="699EC994" w14:textId="77777777" w:rsidR="008B6A94" w:rsidRDefault="008B6A94">
            <w:pPr>
              <w:jc w:val="center"/>
              <w:cnfStyle w:val="100000000000" w:firstRow="1" w:lastRow="0" w:firstColumn="0" w:lastColumn="0" w:oddVBand="0" w:evenVBand="0" w:oddHBand="0" w:evenHBand="0" w:firstRowFirstColumn="0" w:firstRowLastColumn="0" w:lastRowFirstColumn="0" w:lastRowLastColumn="0"/>
              <w:rPr>
                <w:lang w:val="en-US"/>
              </w:rPr>
            </w:pPr>
            <w:r>
              <w:rPr>
                <w:lang w:val="en-US"/>
              </w:rPr>
              <w:t>2040</w:t>
            </w:r>
          </w:p>
        </w:tc>
      </w:tr>
      <w:tr w:rsidR="008B6A94" w:rsidRPr="00367C0B" w14:paraId="312085B4" w14:textId="77777777">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1992" w:type="dxa"/>
            <w:vMerge/>
            <w:shd w:val="clear" w:color="auto" w:fill="4472C4" w:themeFill="accent1"/>
            <w:vAlign w:val="center"/>
          </w:tcPr>
          <w:p w14:paraId="4EF1A32E" w14:textId="77777777" w:rsidR="008B6A94" w:rsidRPr="00C84C59" w:rsidRDefault="008B6A94">
            <w:pPr>
              <w:jc w:val="center"/>
              <w:rPr>
                <w:b w:val="0"/>
                <w:color w:val="FFFFFF" w:themeColor="background1"/>
                <w:lang w:val="en-US"/>
              </w:rPr>
            </w:pPr>
          </w:p>
        </w:tc>
        <w:tc>
          <w:tcPr>
            <w:tcW w:w="1767" w:type="dxa"/>
            <w:shd w:val="clear" w:color="auto" w:fill="4472C4" w:themeFill="accent1"/>
            <w:vAlign w:val="center"/>
          </w:tcPr>
          <w:p w14:paraId="270DEF68" w14:textId="77777777" w:rsidR="008B6A94" w:rsidRPr="00C84C59" w:rsidRDefault="008B6A94">
            <w:pPr>
              <w:jc w:val="center"/>
              <w:cnfStyle w:val="000000100000" w:firstRow="0" w:lastRow="0" w:firstColumn="0" w:lastColumn="0" w:oddVBand="0" w:evenVBand="0" w:oddHBand="1" w:evenHBand="0" w:firstRowFirstColumn="0" w:firstRowLastColumn="0" w:lastRowFirstColumn="0" w:lastRowLastColumn="0"/>
              <w:rPr>
                <w:color w:val="FFFFFF" w:themeColor="background1"/>
                <w:lang w:val="en-US"/>
              </w:rPr>
            </w:pPr>
            <w:r w:rsidRPr="00C84C59">
              <w:rPr>
                <w:color w:val="FFFFFF" w:themeColor="background1"/>
                <w:lang w:val="en-US"/>
              </w:rPr>
              <w:t>Carbon price</w:t>
            </w:r>
          </w:p>
        </w:tc>
        <w:tc>
          <w:tcPr>
            <w:tcW w:w="1767" w:type="dxa"/>
            <w:shd w:val="clear" w:color="auto" w:fill="4472C4" w:themeFill="accent1"/>
            <w:vAlign w:val="center"/>
          </w:tcPr>
          <w:p w14:paraId="5CA63E7F" w14:textId="77777777" w:rsidR="008B6A94" w:rsidRPr="00C84C59" w:rsidRDefault="008B6A94">
            <w:pPr>
              <w:jc w:val="center"/>
              <w:cnfStyle w:val="000000100000" w:firstRow="0" w:lastRow="0" w:firstColumn="0" w:lastColumn="0" w:oddVBand="0" w:evenVBand="0" w:oddHBand="1" w:evenHBand="0" w:firstRowFirstColumn="0" w:firstRowLastColumn="0" w:lastRowFirstColumn="0" w:lastRowLastColumn="0"/>
              <w:rPr>
                <w:color w:val="FFFFFF" w:themeColor="background1"/>
                <w:lang w:val="en-US"/>
              </w:rPr>
            </w:pPr>
            <w:r>
              <w:rPr>
                <w:color w:val="FFFFFF" w:themeColor="background1"/>
                <w:lang w:val="en-US"/>
              </w:rPr>
              <w:t>Cost</w:t>
            </w:r>
            <w:r w:rsidRPr="00C84C59">
              <w:rPr>
                <w:color w:val="FFFFFF" w:themeColor="background1"/>
                <w:lang w:val="en-US"/>
              </w:rPr>
              <w:t xml:space="preserve"> for ASCO</w:t>
            </w:r>
          </w:p>
        </w:tc>
        <w:tc>
          <w:tcPr>
            <w:tcW w:w="1767" w:type="dxa"/>
            <w:shd w:val="clear" w:color="auto" w:fill="4472C4" w:themeFill="accent1"/>
            <w:vAlign w:val="center"/>
          </w:tcPr>
          <w:p w14:paraId="70B8868B" w14:textId="77777777" w:rsidR="008B6A94" w:rsidRPr="00C84C59" w:rsidRDefault="008B6A94">
            <w:pPr>
              <w:jc w:val="center"/>
              <w:cnfStyle w:val="000000100000" w:firstRow="0" w:lastRow="0" w:firstColumn="0" w:lastColumn="0" w:oddVBand="0" w:evenVBand="0" w:oddHBand="1" w:evenHBand="0" w:firstRowFirstColumn="0" w:firstRowLastColumn="0" w:lastRowFirstColumn="0" w:lastRowLastColumn="0"/>
              <w:rPr>
                <w:color w:val="FFFFFF" w:themeColor="background1"/>
                <w:lang w:val="en-US"/>
              </w:rPr>
            </w:pPr>
            <w:r w:rsidRPr="00C84C59">
              <w:rPr>
                <w:color w:val="FFFFFF" w:themeColor="background1"/>
                <w:lang w:val="en-US"/>
              </w:rPr>
              <w:t>Carbon price</w:t>
            </w:r>
          </w:p>
        </w:tc>
        <w:tc>
          <w:tcPr>
            <w:tcW w:w="1767" w:type="dxa"/>
            <w:shd w:val="clear" w:color="auto" w:fill="4472C4" w:themeFill="accent1"/>
            <w:vAlign w:val="center"/>
          </w:tcPr>
          <w:p w14:paraId="720E7EB9" w14:textId="77777777" w:rsidR="008B6A94" w:rsidRPr="00C84C59" w:rsidRDefault="008B6A94">
            <w:pPr>
              <w:jc w:val="center"/>
              <w:cnfStyle w:val="000000100000" w:firstRow="0" w:lastRow="0" w:firstColumn="0" w:lastColumn="0" w:oddVBand="0" w:evenVBand="0" w:oddHBand="1" w:evenHBand="0" w:firstRowFirstColumn="0" w:firstRowLastColumn="0" w:lastRowFirstColumn="0" w:lastRowLastColumn="0"/>
              <w:rPr>
                <w:color w:val="FFFFFF" w:themeColor="background1"/>
                <w:lang w:val="en-US"/>
              </w:rPr>
            </w:pPr>
            <w:r>
              <w:rPr>
                <w:color w:val="FFFFFF" w:themeColor="background1"/>
                <w:lang w:val="en-US"/>
              </w:rPr>
              <w:t>Cost</w:t>
            </w:r>
            <w:r w:rsidRPr="00C84C59">
              <w:rPr>
                <w:color w:val="FFFFFF" w:themeColor="background1"/>
                <w:lang w:val="en-US"/>
              </w:rPr>
              <w:t xml:space="preserve"> for ASCO</w:t>
            </w:r>
          </w:p>
        </w:tc>
      </w:tr>
      <w:tr w:rsidR="008B6A94" w:rsidRPr="00367C0B" w14:paraId="68471974" w14:textId="77777777">
        <w:trPr>
          <w:trHeight w:val="477"/>
        </w:trPr>
        <w:tc>
          <w:tcPr>
            <w:cnfStyle w:val="001000000000" w:firstRow="0" w:lastRow="0" w:firstColumn="1" w:lastColumn="0" w:oddVBand="0" w:evenVBand="0" w:oddHBand="0" w:evenHBand="0" w:firstRowFirstColumn="0" w:firstRowLastColumn="0" w:lastRowFirstColumn="0" w:lastRowLastColumn="0"/>
            <w:tcW w:w="1992" w:type="dxa"/>
            <w:shd w:val="clear" w:color="auto" w:fill="FFFFFF" w:themeFill="background1"/>
            <w:vAlign w:val="center"/>
          </w:tcPr>
          <w:p w14:paraId="47B62607" w14:textId="77777777" w:rsidR="008B6A94" w:rsidRDefault="008B6A94">
            <w:pPr>
              <w:jc w:val="left"/>
              <w:rPr>
                <w:lang w:val="en-US"/>
              </w:rPr>
            </w:pPr>
            <w:r>
              <w:rPr>
                <w:lang w:val="en-US"/>
              </w:rPr>
              <w:t>Net Zero 2050</w:t>
            </w:r>
          </w:p>
        </w:tc>
        <w:tc>
          <w:tcPr>
            <w:tcW w:w="1767" w:type="dxa"/>
            <w:shd w:val="clear" w:color="auto" w:fill="FFFFFF" w:themeFill="background1"/>
            <w:vAlign w:val="center"/>
          </w:tcPr>
          <w:p w14:paraId="31DDBA01" w14:textId="77777777" w:rsidR="008B6A94" w:rsidRDefault="008B6A94">
            <w:pPr>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260 $/tCO2</w:t>
            </w:r>
          </w:p>
        </w:tc>
        <w:tc>
          <w:tcPr>
            <w:tcW w:w="1767" w:type="dxa"/>
            <w:shd w:val="clear" w:color="auto" w:fill="FFFFFF" w:themeFill="background1"/>
            <w:vAlign w:val="center"/>
          </w:tcPr>
          <w:p w14:paraId="22357B93" w14:textId="77777777" w:rsidR="008B6A94" w:rsidRDefault="008B6A94">
            <w:pPr>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40 M$</w:t>
            </w:r>
          </w:p>
        </w:tc>
        <w:tc>
          <w:tcPr>
            <w:tcW w:w="1767" w:type="dxa"/>
            <w:shd w:val="clear" w:color="auto" w:fill="FFFFFF" w:themeFill="background1"/>
            <w:vAlign w:val="center"/>
          </w:tcPr>
          <w:p w14:paraId="78D28D9E" w14:textId="77777777" w:rsidR="008B6A94" w:rsidRDefault="008B6A94">
            <w:pPr>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490 $/tCO2</w:t>
            </w:r>
          </w:p>
        </w:tc>
        <w:tc>
          <w:tcPr>
            <w:tcW w:w="1767" w:type="dxa"/>
            <w:shd w:val="clear" w:color="auto" w:fill="FFFFFF" w:themeFill="background1"/>
            <w:vAlign w:val="center"/>
          </w:tcPr>
          <w:p w14:paraId="408FD0B9" w14:textId="77777777" w:rsidR="008B6A94" w:rsidRDefault="008B6A94">
            <w:pPr>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65 M$</w:t>
            </w:r>
          </w:p>
        </w:tc>
      </w:tr>
      <w:tr w:rsidR="008B6A94" w:rsidRPr="00367C0B" w14:paraId="621B20A5" w14:textId="77777777">
        <w:trPr>
          <w:cnfStyle w:val="000000100000" w:firstRow="0" w:lastRow="0" w:firstColumn="0" w:lastColumn="0" w:oddVBand="0" w:evenVBand="0" w:oddHBand="1"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1992" w:type="dxa"/>
            <w:shd w:val="clear" w:color="auto" w:fill="auto"/>
            <w:vAlign w:val="center"/>
          </w:tcPr>
          <w:p w14:paraId="0AA86597" w14:textId="77777777" w:rsidR="008B6A94" w:rsidRDefault="008B6A94">
            <w:pPr>
              <w:jc w:val="left"/>
              <w:rPr>
                <w:lang w:val="en-US"/>
              </w:rPr>
            </w:pPr>
            <w:r>
              <w:rPr>
                <w:lang w:val="en-US"/>
              </w:rPr>
              <w:t>Below 2°C</w:t>
            </w:r>
          </w:p>
        </w:tc>
        <w:tc>
          <w:tcPr>
            <w:tcW w:w="1767" w:type="dxa"/>
            <w:shd w:val="clear" w:color="auto" w:fill="auto"/>
            <w:vAlign w:val="center"/>
          </w:tcPr>
          <w:p w14:paraId="794DFB4A" w14:textId="77777777" w:rsidR="008B6A94" w:rsidRDefault="008B6A94">
            <w:pPr>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t>65 $/tCO2</w:t>
            </w:r>
          </w:p>
        </w:tc>
        <w:tc>
          <w:tcPr>
            <w:tcW w:w="1767" w:type="dxa"/>
            <w:shd w:val="clear" w:color="auto" w:fill="auto"/>
            <w:vAlign w:val="center"/>
          </w:tcPr>
          <w:p w14:paraId="3FAE30E1" w14:textId="77777777" w:rsidR="008B6A94" w:rsidRDefault="008B6A94">
            <w:pPr>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t>10 M$</w:t>
            </w:r>
          </w:p>
        </w:tc>
        <w:tc>
          <w:tcPr>
            <w:tcW w:w="1767" w:type="dxa"/>
            <w:shd w:val="clear" w:color="auto" w:fill="auto"/>
            <w:vAlign w:val="center"/>
          </w:tcPr>
          <w:p w14:paraId="18961044" w14:textId="77777777" w:rsidR="008B6A94" w:rsidRDefault="008B6A94">
            <w:pPr>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t>115 $/tCO2</w:t>
            </w:r>
          </w:p>
        </w:tc>
        <w:tc>
          <w:tcPr>
            <w:tcW w:w="1767" w:type="dxa"/>
            <w:shd w:val="clear" w:color="auto" w:fill="auto"/>
            <w:vAlign w:val="center"/>
          </w:tcPr>
          <w:p w14:paraId="4FFAC317" w14:textId="77777777" w:rsidR="008B6A94" w:rsidRDefault="008B6A94">
            <w:pPr>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t>15 M$</w:t>
            </w:r>
          </w:p>
        </w:tc>
      </w:tr>
    </w:tbl>
    <w:p w14:paraId="45C04B3C" w14:textId="610EC6C9" w:rsidR="008B6A94" w:rsidRDefault="008B6A94" w:rsidP="008B6A94">
      <w:pPr>
        <w:spacing w:before="240"/>
        <w:rPr>
          <w:lang w:val="en-US"/>
        </w:rPr>
      </w:pPr>
      <w:r>
        <w:rPr>
          <w:lang w:val="en-US"/>
        </w:rPr>
        <w:t>These scenarios were selected</w:t>
      </w:r>
      <w:r w:rsidR="00A710CD">
        <w:rPr>
          <w:lang w:val="en-US"/>
        </w:rPr>
        <w:t xml:space="preserve"> as they would align with the objective of the Paris Agreement and</w:t>
      </w:r>
      <w:r>
        <w:rPr>
          <w:lang w:val="en-US"/>
        </w:rPr>
        <w:t xml:space="preserve"> because of the higher transition risks, including for carbon pricing, they entail for companies and the society. Even though they are unlikely, they enable us to acknowledge what it would take to commit to a low-carbon future. </w:t>
      </w:r>
      <w:r w:rsidRPr="00477295">
        <w:rPr>
          <w:lang w:val="en-US"/>
        </w:rPr>
        <w:t>Specifically, for ASCO, 10</w:t>
      </w:r>
      <w:r>
        <w:rPr>
          <w:lang w:val="en-US"/>
        </w:rPr>
        <w:t xml:space="preserve"> </w:t>
      </w:r>
      <w:r w:rsidRPr="00477295">
        <w:rPr>
          <w:lang w:val="en-US"/>
        </w:rPr>
        <w:t xml:space="preserve">M$ represent 7% of annual turnover generated from </w:t>
      </w:r>
      <w:r>
        <w:rPr>
          <w:lang w:val="en-US"/>
        </w:rPr>
        <w:t>shipping in 2023, which represent an important cost.</w:t>
      </w:r>
    </w:p>
    <w:p w14:paraId="06DFCC30" w14:textId="6AC322AF" w:rsidR="00013F2B" w:rsidRPr="00C724BC" w:rsidRDefault="005A1E0D" w:rsidP="009B689E">
      <w:pPr>
        <w:pStyle w:val="Paragraphedeliste"/>
        <w:numPr>
          <w:ilvl w:val="2"/>
          <w:numId w:val="24"/>
        </w:numPr>
        <w:ind w:left="709"/>
        <w:rPr>
          <w:lang w:val="en-US"/>
        </w:rPr>
      </w:pPr>
      <w:r>
        <w:rPr>
          <w:b/>
          <w:bCs/>
          <w:lang w:val="en-US"/>
        </w:rPr>
        <w:t xml:space="preserve">Pressure and opportunities </w:t>
      </w:r>
      <w:r w:rsidR="00543570">
        <w:rPr>
          <w:b/>
          <w:bCs/>
          <w:lang w:val="en-US"/>
        </w:rPr>
        <w:t>for</w:t>
      </w:r>
      <w:r>
        <w:rPr>
          <w:b/>
          <w:bCs/>
          <w:lang w:val="en-US"/>
        </w:rPr>
        <w:t xml:space="preserve"> ASCO’s market share</w:t>
      </w:r>
    </w:p>
    <w:p w14:paraId="43FF0158" w14:textId="66070B19" w:rsidR="008D33A5" w:rsidRPr="008D33A5" w:rsidRDefault="008D33A5" w:rsidP="008D33A5">
      <w:pPr>
        <w:spacing w:before="240"/>
        <w:rPr>
          <w:lang w:val="en-US"/>
        </w:rPr>
      </w:pPr>
      <w:r w:rsidRPr="008D33A5">
        <w:rPr>
          <w:lang w:val="en-US"/>
        </w:rPr>
        <w:t xml:space="preserve">ASCO, as a key contributor to its clients' Scope 3 emissions, is facing mounting pressure to deliver low-carbon maritime transport solutions. Initiatives such as the </w:t>
      </w:r>
      <w:r w:rsidRPr="00543570">
        <w:rPr>
          <w:lang w:val="en-US"/>
        </w:rPr>
        <w:t>Science-Based Targets Initiative</w:t>
      </w:r>
      <w:r w:rsidRPr="008D33A5">
        <w:rPr>
          <w:b/>
          <w:bCs/>
          <w:lang w:val="en-US"/>
        </w:rPr>
        <w:t xml:space="preserve"> </w:t>
      </w:r>
      <w:r w:rsidRPr="008D33A5">
        <w:rPr>
          <w:lang w:val="en-US"/>
        </w:rPr>
        <w:t xml:space="preserve">and the </w:t>
      </w:r>
      <w:r w:rsidRPr="00543570">
        <w:rPr>
          <w:lang w:val="en-US"/>
        </w:rPr>
        <w:t>Transition Pathway Initiative</w:t>
      </w:r>
      <w:r w:rsidRPr="008D33A5">
        <w:rPr>
          <w:b/>
          <w:bCs/>
          <w:lang w:val="en-US"/>
        </w:rPr>
        <w:t xml:space="preserve"> </w:t>
      </w:r>
      <w:r w:rsidRPr="008D33A5">
        <w:rPr>
          <w:lang w:val="en-US"/>
        </w:rPr>
        <w:t xml:space="preserve">are prompting companies to embed stringent sustainability criteria into their procurement processes. Without a proactive </w:t>
      </w:r>
      <w:r w:rsidRPr="008D33A5">
        <w:rPr>
          <w:lang w:val="en-US"/>
        </w:rPr>
        <w:lastRenderedPageBreak/>
        <w:t xml:space="preserve">approach, ASCO risks being sidelined in critical tenders, particularly by clients committed to ambitious climate goals like </w:t>
      </w:r>
      <w:r w:rsidRPr="00543570">
        <w:rPr>
          <w:lang w:val="en-US"/>
        </w:rPr>
        <w:t>Well Below 2 Degrees (WB2D)</w:t>
      </w:r>
      <w:r w:rsidRPr="008D33A5">
        <w:rPr>
          <w:lang w:val="en-US"/>
        </w:rPr>
        <w:t>.</w:t>
      </w:r>
    </w:p>
    <w:p w14:paraId="28E36157" w14:textId="7E0DDA1E" w:rsidR="008D33A5" w:rsidRPr="008D33A5" w:rsidRDefault="008D33A5" w:rsidP="008D33A5">
      <w:pPr>
        <w:spacing w:before="240"/>
        <w:rPr>
          <w:lang w:val="en-US"/>
        </w:rPr>
      </w:pPr>
      <w:r w:rsidRPr="008D33A5">
        <w:rPr>
          <w:lang w:val="en-US"/>
        </w:rPr>
        <w:t xml:space="preserve">In Europe, where ASCO seeks to expand, businesses are under increasing regulatory pressure to decarbonize their supply chains. A significant driver of this shift is the </w:t>
      </w:r>
      <w:r w:rsidRPr="00543570">
        <w:rPr>
          <w:lang w:val="en-US"/>
        </w:rPr>
        <w:t>Corporate Sustainability Reporting Directive</w:t>
      </w:r>
      <w:r w:rsidRPr="008D33A5">
        <w:rPr>
          <w:lang w:val="en-US"/>
        </w:rPr>
        <w:t>, which mandates that large companies disclose comprehensive data on their environmental and social impacts, including Scope 3 emissions. These emissions, encompassing the carbon footprint of logistics and transport operations, are becoming a focal point for clients aiming to achieve their own sustainability objectives.</w:t>
      </w:r>
    </w:p>
    <w:p w14:paraId="361A0E50" w14:textId="5E1161F8" w:rsidR="008D33A5" w:rsidRPr="008D33A5" w:rsidRDefault="008D33A5" w:rsidP="008D33A5">
      <w:pPr>
        <w:spacing w:before="240"/>
        <w:rPr>
          <w:lang w:val="en-US"/>
        </w:rPr>
      </w:pPr>
      <w:r w:rsidRPr="008D33A5">
        <w:rPr>
          <w:lang w:val="en-US"/>
        </w:rPr>
        <w:t>This regulatory landscape compels companies to demonstrate meaningful reductions in emissions across their value chains, including choosing transport providers that offer low-carbon solutions.</w:t>
      </w:r>
      <w:r w:rsidR="00792DCA" w:rsidRPr="00543570">
        <w:rPr>
          <w:lang w:val="en-US"/>
        </w:rPr>
        <w:t xml:space="preserve"> In many sectors, such as retail, mining, agriculture, energy, and electronics, maritime transport accounts for a significant share of scope 3 emissions, and contributes up to </w:t>
      </w:r>
      <w:r w:rsidR="00881ABC">
        <w:rPr>
          <w:lang w:val="en-US"/>
        </w:rPr>
        <w:t>10</w:t>
      </w:r>
      <w:r w:rsidR="00792DCA" w:rsidRPr="00543570">
        <w:rPr>
          <w:lang w:val="en-US"/>
        </w:rPr>
        <w:t>% of total emissions depending on the industry</w:t>
      </w:r>
      <w:r w:rsidR="00881ABC">
        <w:rPr>
          <w:rStyle w:val="Appelnotedebasdep"/>
          <w:lang w:val="en-US"/>
        </w:rPr>
        <w:footnoteReference w:id="11"/>
      </w:r>
      <w:r w:rsidR="00792DCA" w:rsidRPr="00543570">
        <w:rPr>
          <w:lang w:val="en-US"/>
        </w:rPr>
        <w:t>.</w:t>
      </w:r>
      <w:r w:rsidR="00792DCA">
        <w:rPr>
          <w:lang w:val="en-US"/>
        </w:rPr>
        <w:t xml:space="preserve"> </w:t>
      </w:r>
      <w:r w:rsidR="0080272B" w:rsidRPr="00543570">
        <w:rPr>
          <w:lang w:val="en-US"/>
        </w:rPr>
        <w:t>For maritime carriers like ASCO, aligning with stricter environmental standards and supporting clients' decarbonization strategies is becoming increasingly important.</w:t>
      </w:r>
      <w:r w:rsidRPr="008D33A5">
        <w:rPr>
          <w:lang w:val="en-US"/>
        </w:rPr>
        <w:t xml:space="preserve"> Failing to adapt could result in the loss of critical contracts, as businesses increasingly favor partners who facilitate compliance with these regulations and advance their sustainability goals.</w:t>
      </w:r>
    </w:p>
    <w:p w14:paraId="20A3E663" w14:textId="77777777" w:rsidR="008D33A5" w:rsidRPr="008D33A5" w:rsidRDefault="008D33A5" w:rsidP="008D33A5">
      <w:pPr>
        <w:spacing w:before="240"/>
        <w:rPr>
          <w:lang w:val="en-US"/>
        </w:rPr>
      </w:pPr>
      <w:r w:rsidRPr="008D33A5">
        <w:rPr>
          <w:lang w:val="en-US"/>
        </w:rPr>
        <w:t>Conversely, ASCO has a significant opportunity to differentiate itself by anticipating these demands. By adopting ambitious decarbonization strategies and offering innovative, low-carbon transport solutions, ASCO could position itself as a preferred partner, capturing new market opportunities and strengthening its competitive edge in a rapidly evolving industry.</w:t>
      </w:r>
    </w:p>
    <w:p w14:paraId="6953EFB1" w14:textId="77777777" w:rsidR="00C724BC" w:rsidRPr="00BA69B7" w:rsidRDefault="00C724BC" w:rsidP="008B6A94">
      <w:pPr>
        <w:spacing w:before="240"/>
        <w:rPr>
          <w:highlight w:val="yellow"/>
          <w:lang w:val="en-US"/>
        </w:rPr>
      </w:pPr>
    </w:p>
    <w:p w14:paraId="6E9FD20A" w14:textId="77777777" w:rsidR="008B6A94" w:rsidRDefault="008B6A94" w:rsidP="008B6A94">
      <w:pPr>
        <w:pStyle w:val="Titre3"/>
        <w:numPr>
          <w:ilvl w:val="1"/>
          <w:numId w:val="23"/>
        </w:numPr>
        <w:ind w:left="993"/>
        <w:rPr>
          <w:lang w:val="en-US"/>
        </w:rPr>
      </w:pPr>
      <w:bookmarkStart w:id="38" w:name="_Toc183015106"/>
      <w:r>
        <w:rPr>
          <w:lang w:val="en-US"/>
        </w:rPr>
        <w:t>Regulatory</w:t>
      </w:r>
      <w:r w:rsidRPr="002E53D7">
        <w:rPr>
          <w:lang w:val="en-US"/>
        </w:rPr>
        <w:t xml:space="preserve"> </w:t>
      </w:r>
      <w:r>
        <w:rPr>
          <w:lang w:val="en-US"/>
        </w:rPr>
        <w:t>m</w:t>
      </w:r>
      <w:r w:rsidRPr="002E53D7">
        <w:rPr>
          <w:lang w:val="en-US"/>
        </w:rPr>
        <w:t xml:space="preserve">andates on </w:t>
      </w:r>
      <w:r>
        <w:rPr>
          <w:lang w:val="en-US"/>
        </w:rPr>
        <w:t>l</w:t>
      </w:r>
      <w:r w:rsidRPr="002E53D7">
        <w:rPr>
          <w:lang w:val="en-US"/>
        </w:rPr>
        <w:t>ow-</w:t>
      </w:r>
      <w:r>
        <w:rPr>
          <w:lang w:val="en-US"/>
        </w:rPr>
        <w:t>c</w:t>
      </w:r>
      <w:r w:rsidRPr="002E53D7">
        <w:rPr>
          <w:lang w:val="en-US"/>
        </w:rPr>
        <w:t xml:space="preserve">arbon </w:t>
      </w:r>
      <w:r>
        <w:rPr>
          <w:lang w:val="en-US"/>
        </w:rPr>
        <w:t>f</w:t>
      </w:r>
      <w:r w:rsidRPr="002E53D7">
        <w:rPr>
          <w:lang w:val="en-US"/>
        </w:rPr>
        <w:t xml:space="preserve">uel </w:t>
      </w:r>
      <w:r>
        <w:rPr>
          <w:lang w:val="en-US"/>
        </w:rPr>
        <w:t>us</w:t>
      </w:r>
      <w:r w:rsidRPr="002E53D7">
        <w:rPr>
          <w:lang w:val="en-US"/>
        </w:rPr>
        <w:t xml:space="preserve">e and </w:t>
      </w:r>
      <w:r>
        <w:rPr>
          <w:lang w:val="en-US"/>
        </w:rPr>
        <w:t>e</w:t>
      </w:r>
      <w:r w:rsidRPr="002E53D7">
        <w:rPr>
          <w:lang w:val="en-US"/>
        </w:rPr>
        <w:t xml:space="preserve">nergy </w:t>
      </w:r>
      <w:r>
        <w:rPr>
          <w:lang w:val="en-US"/>
        </w:rPr>
        <w:t>e</w:t>
      </w:r>
      <w:r w:rsidRPr="002E53D7">
        <w:rPr>
          <w:lang w:val="en-US"/>
        </w:rPr>
        <w:t>fficiency</w:t>
      </w:r>
      <w:bookmarkEnd w:id="38"/>
    </w:p>
    <w:p w14:paraId="0449B89B" w14:textId="5429F896" w:rsidR="008B6A94" w:rsidRPr="00F47AD9" w:rsidRDefault="008B6A94" w:rsidP="008B6A94">
      <w:pPr>
        <w:rPr>
          <w:lang w:val="en-US"/>
        </w:rPr>
      </w:pPr>
      <w:r w:rsidRPr="00F47AD9">
        <w:rPr>
          <w:lang w:val="en-US"/>
        </w:rPr>
        <w:t xml:space="preserve">ASCO faces growing exposure to regulatory mandates aimed at reducing carbon intensity and improving energy efficiency across the maritime sector. The IMO’s revised greenhouse gas strategy, adopted in 2023, </w:t>
      </w:r>
      <w:r w:rsidR="004A3499">
        <w:rPr>
          <w:lang w:val="en-US"/>
        </w:rPr>
        <w:t>s</w:t>
      </w:r>
      <w:r w:rsidR="004A3499" w:rsidRPr="00543570">
        <w:rPr>
          <w:lang w:val="en-US"/>
        </w:rPr>
        <w:t>ets indicative targets to reduce international shipping's annual GHG emissions by at least 20% (aiming for 30%) by 2030 and at least 70% (aiming for 80%) by 2040, compared to 2008 levels</w:t>
      </w:r>
      <w:r w:rsidR="004A3499">
        <w:rPr>
          <w:lang w:val="en-US"/>
        </w:rPr>
        <w:t xml:space="preserve">, </w:t>
      </w:r>
      <w:r w:rsidRPr="00F47AD9">
        <w:rPr>
          <w:lang w:val="en-US"/>
        </w:rPr>
        <w:t>and aims for net-zero emissions by 2050</w:t>
      </w:r>
      <w:r w:rsidR="00653950">
        <w:rPr>
          <w:lang w:val="en-US"/>
        </w:rPr>
        <w:t xml:space="preserve">. </w:t>
      </w:r>
      <w:r w:rsidR="004A3499">
        <w:rPr>
          <w:lang w:val="en-US"/>
        </w:rPr>
        <w:t>It</w:t>
      </w:r>
      <w:r w:rsidR="00653950" w:rsidRPr="00543570">
        <w:rPr>
          <w:lang w:val="en-US"/>
        </w:rPr>
        <w:t xml:space="preserve">  also includes a new level of ambition relating to the uptake of zero or near-zero GHG emission technologies, fuels and/or energy sources which are to represent at least 5%, striving for 10%, of the energy used by international shipping by 2030</w:t>
      </w:r>
      <w:r w:rsidRPr="00F47AD9">
        <w:rPr>
          <w:lang w:val="en-US"/>
        </w:rPr>
        <w:t xml:space="preserve"> </w:t>
      </w:r>
      <w:r w:rsidR="00653950">
        <w:rPr>
          <w:rStyle w:val="Appelnotedebasdep"/>
          <w:lang w:val="en-US"/>
        </w:rPr>
        <w:footnoteReference w:id="12"/>
      </w:r>
      <w:r w:rsidR="00653950">
        <w:rPr>
          <w:lang w:val="en-US"/>
        </w:rPr>
        <w:t xml:space="preserve">. </w:t>
      </w:r>
      <w:r w:rsidR="0055561C">
        <w:rPr>
          <w:lang w:val="en-US"/>
        </w:rPr>
        <w:t>Reaching t</w:t>
      </w:r>
      <w:r w:rsidRPr="00F47AD9">
        <w:rPr>
          <w:lang w:val="en-US"/>
        </w:rPr>
        <w:t xml:space="preserve">hese goals </w:t>
      </w:r>
      <w:r w:rsidR="00F12C34">
        <w:rPr>
          <w:lang w:val="en-US"/>
        </w:rPr>
        <w:t xml:space="preserve">will </w:t>
      </w:r>
      <w:r w:rsidRPr="00F47AD9">
        <w:rPr>
          <w:lang w:val="en-US"/>
        </w:rPr>
        <w:t>require significant</w:t>
      </w:r>
      <w:r w:rsidR="00F12C34">
        <w:rPr>
          <w:lang w:val="en-US"/>
        </w:rPr>
        <w:t xml:space="preserve"> efforts to align corporates decarbonization strategies to</w:t>
      </w:r>
      <w:r w:rsidRPr="00F47AD9">
        <w:rPr>
          <w:lang w:val="en-US"/>
        </w:rPr>
        <w:t xml:space="preserve"> shifts towards low-carbon fuels, such as LNG,</w:t>
      </w:r>
      <w:r>
        <w:rPr>
          <w:lang w:val="en-US"/>
        </w:rPr>
        <w:t xml:space="preserve"> biofuels</w:t>
      </w:r>
      <w:r w:rsidRPr="00F47AD9">
        <w:rPr>
          <w:lang w:val="en-US"/>
        </w:rPr>
        <w:t xml:space="preserve"> methanol, and ammonia, as well as the adopt advanced energy-efficiency technologies. European regulations, including the EU Emissions Trading System (ETS) and </w:t>
      </w:r>
      <w:proofErr w:type="spellStart"/>
      <w:r w:rsidRPr="00F47AD9">
        <w:rPr>
          <w:lang w:val="en-US"/>
        </w:rPr>
        <w:t>FuelEU</w:t>
      </w:r>
      <w:proofErr w:type="spellEnd"/>
      <w:r w:rsidRPr="00F47AD9">
        <w:rPr>
          <w:lang w:val="en-US"/>
        </w:rPr>
        <w:t xml:space="preserve"> Maritime, impose additional pressures on ASCO to comply with stricter carbon reduction standards, particularly given its European fleet operations and planned expansions. Complying with these mandates </w:t>
      </w:r>
      <w:r w:rsidR="008527C7">
        <w:rPr>
          <w:lang w:val="en-US"/>
        </w:rPr>
        <w:t>is likely</w:t>
      </w:r>
      <w:r w:rsidR="00106861">
        <w:rPr>
          <w:lang w:val="en-US"/>
        </w:rPr>
        <w:t xml:space="preserve"> to</w:t>
      </w:r>
      <w:r w:rsidR="008527C7">
        <w:rPr>
          <w:lang w:val="en-US"/>
        </w:rPr>
        <w:t xml:space="preserve"> </w:t>
      </w:r>
      <w:r w:rsidR="00153DD5" w:rsidRPr="00C95FB8">
        <w:rPr>
          <w:lang w:val="en-US"/>
        </w:rPr>
        <w:t>result in increased fuel procurement costs for vessels transitioning to low-carbon fuels, as well as emissions-related expenses for vessels delayed in moving away from fuel oil</w:t>
      </w:r>
      <w:r w:rsidR="00153DD5">
        <w:rPr>
          <w:lang w:val="en-US"/>
        </w:rPr>
        <w:t>. Additionally, retrofitting</w:t>
      </w:r>
      <w:r w:rsidRPr="00F47AD9">
        <w:rPr>
          <w:lang w:val="en-US"/>
        </w:rPr>
        <w:t xml:space="preserve"> existing </w:t>
      </w:r>
      <w:r w:rsidRPr="00F47AD9">
        <w:rPr>
          <w:lang w:val="en-US"/>
        </w:rPr>
        <w:lastRenderedPageBreak/>
        <w:t xml:space="preserve">vessels with </w:t>
      </w:r>
      <w:r w:rsidR="00153DD5">
        <w:rPr>
          <w:lang w:val="en-US"/>
        </w:rPr>
        <w:t xml:space="preserve">required </w:t>
      </w:r>
      <w:r w:rsidRPr="00F47AD9">
        <w:rPr>
          <w:lang w:val="en-US"/>
        </w:rPr>
        <w:t>energy-saving technologies—such as hull optimization and heat recovery systems—</w:t>
      </w:r>
      <w:r w:rsidR="00153DD5">
        <w:rPr>
          <w:lang w:val="en-US"/>
        </w:rPr>
        <w:t xml:space="preserve"> may incur significant costs. These improvements could</w:t>
      </w:r>
      <w:r w:rsidR="00153DD5" w:rsidRPr="00F47AD9">
        <w:rPr>
          <w:lang w:val="en-US"/>
        </w:rPr>
        <w:t xml:space="preserve"> </w:t>
      </w:r>
      <w:r w:rsidRPr="00F47AD9">
        <w:rPr>
          <w:lang w:val="en-US"/>
        </w:rPr>
        <w:t xml:space="preserve">require capital investments estimated at approximately </w:t>
      </w:r>
      <w:r w:rsidRPr="00136213">
        <w:rPr>
          <w:lang w:val="en-US"/>
        </w:rPr>
        <w:t xml:space="preserve">$1-15 million </w:t>
      </w:r>
      <w:r>
        <w:rPr>
          <w:lang w:val="en-US"/>
        </w:rPr>
        <w:t>per vessel</w:t>
      </w:r>
      <w:r>
        <w:rPr>
          <w:rStyle w:val="Appelnotedebasdep"/>
          <w:lang w:val="en-US"/>
        </w:rPr>
        <w:footnoteReference w:id="13"/>
      </w:r>
      <w:r w:rsidRPr="00136213">
        <w:rPr>
          <w:lang w:val="en-US"/>
        </w:rPr>
        <w:t>, depending on the technology used</w:t>
      </w:r>
      <w:r>
        <w:rPr>
          <w:lang w:val="en-US"/>
        </w:rPr>
        <w:t xml:space="preserve">, </w:t>
      </w:r>
      <w:r w:rsidRPr="00E04ED0">
        <w:rPr>
          <w:lang w:val="en-US"/>
        </w:rPr>
        <w:t>the scale and scope of modifications</w:t>
      </w:r>
      <w:r w:rsidRPr="00F47AD9">
        <w:rPr>
          <w:lang w:val="en-US"/>
        </w:rPr>
        <w:t>. These developments underscore the importance of strategic fleet renewal</w:t>
      </w:r>
      <w:r>
        <w:rPr>
          <w:lang w:val="en-US"/>
        </w:rPr>
        <w:t xml:space="preserve"> or adaptation</w:t>
      </w:r>
      <w:r w:rsidRPr="00F47AD9">
        <w:rPr>
          <w:lang w:val="en-US"/>
        </w:rPr>
        <w:t xml:space="preserve"> and investment in new, low-emission ships to ensure regulatory compliance and optimize operational costs over the long term.</w:t>
      </w:r>
    </w:p>
    <w:p w14:paraId="1B3BC63D" w14:textId="74F01431" w:rsidR="008B6A94" w:rsidRPr="00CB1A3D" w:rsidRDefault="00BC2B50" w:rsidP="008B6A94">
      <w:pPr>
        <w:pStyle w:val="Paragraphedeliste"/>
        <w:numPr>
          <w:ilvl w:val="0"/>
          <w:numId w:val="25"/>
        </w:numPr>
        <w:ind w:left="993"/>
        <w:rPr>
          <w:b/>
          <w:bCs/>
          <w:lang w:val="en-US"/>
        </w:rPr>
      </w:pPr>
      <w:r w:rsidRPr="00CB1A3D">
        <w:rPr>
          <w:b/>
          <w:bCs/>
          <w:lang w:val="en-US"/>
        </w:rPr>
        <w:t>Strengthening</w:t>
      </w:r>
      <w:r w:rsidR="008B6A94" w:rsidRPr="00CB1A3D">
        <w:rPr>
          <w:b/>
          <w:bCs/>
          <w:lang w:val="en-US"/>
        </w:rPr>
        <w:t xml:space="preserve"> regulatory measures: a binding shift in global and European standard</w:t>
      </w:r>
    </w:p>
    <w:p w14:paraId="5F30C0EA" w14:textId="0B7A1712" w:rsidR="008B6A94" w:rsidRPr="00107F33" w:rsidRDefault="008B6A94" w:rsidP="008B6A94">
      <w:pPr>
        <w:spacing w:before="100" w:beforeAutospacing="1" w:after="100" w:afterAutospacing="1" w:line="240" w:lineRule="auto"/>
        <w:rPr>
          <w:lang w:val="en-US"/>
        </w:rPr>
      </w:pPr>
      <w:r w:rsidRPr="00107F33">
        <w:rPr>
          <w:lang w:val="en-US"/>
        </w:rPr>
        <w:t xml:space="preserve">The maritime sector is under increasing regulatory pressure to reduce carbon emissions and improve energy efficiency. Key frameworks, such as the Ship Energy Efficiency Management Plan (SEEMP), Energy Efficiency Design Index (EEDI), and Energy Efficiency Existing Ship Index (EEXI), along with the inclusion of maritime emissions in the EU ETS, underscore the sector's commitment to GHG reductions. The IMO's recent GHG strategy mandates a </w:t>
      </w:r>
      <w:r w:rsidR="000A264B">
        <w:rPr>
          <w:lang w:val="en-US"/>
        </w:rPr>
        <w:t>40</w:t>
      </w:r>
      <w:r w:rsidRPr="00107F33">
        <w:rPr>
          <w:lang w:val="en-US"/>
        </w:rPr>
        <w:t>% reduction in emissions</w:t>
      </w:r>
      <w:r w:rsidR="00907CA1">
        <w:rPr>
          <w:lang w:val="en-US"/>
        </w:rPr>
        <w:t xml:space="preserve"> per transport work, as an average across international shipping,</w:t>
      </w:r>
      <w:r w:rsidRPr="00107F33">
        <w:rPr>
          <w:lang w:val="en-US"/>
        </w:rPr>
        <w:t xml:space="preserve"> by 20</w:t>
      </w:r>
      <w:r w:rsidR="00907CA1">
        <w:rPr>
          <w:lang w:val="en-US"/>
        </w:rPr>
        <w:t>3</w:t>
      </w:r>
      <w:r w:rsidRPr="00107F33">
        <w:rPr>
          <w:lang w:val="en-US"/>
        </w:rPr>
        <w:t xml:space="preserve">0 (compared to 2008 levels), while EU initiatives like </w:t>
      </w:r>
      <w:proofErr w:type="spellStart"/>
      <w:r w:rsidRPr="00107F33">
        <w:rPr>
          <w:lang w:val="en-US"/>
        </w:rPr>
        <w:t>FuelEU</w:t>
      </w:r>
      <w:proofErr w:type="spellEnd"/>
      <w:r w:rsidRPr="00107F33">
        <w:rPr>
          <w:lang w:val="en-US"/>
        </w:rPr>
        <w:t xml:space="preserve"> Maritime and the expanded EU ETS introduce ambitious decarbonization targets specific to the European fleet.</w:t>
      </w:r>
    </w:p>
    <w:p w14:paraId="6C65B808" w14:textId="566E1B12" w:rsidR="008B6A94" w:rsidRPr="00107F33" w:rsidRDefault="008B6A94" w:rsidP="008B6A94">
      <w:pPr>
        <w:spacing w:before="100" w:beforeAutospacing="1" w:after="100" w:afterAutospacing="1" w:line="240" w:lineRule="auto"/>
        <w:rPr>
          <w:lang w:val="en-US"/>
        </w:rPr>
      </w:pPr>
      <w:r w:rsidRPr="00107F33">
        <w:rPr>
          <w:lang w:val="en-US"/>
        </w:rPr>
        <w:t>From 2024, ASCO will be required to purchase carbon allowances for CO</w:t>
      </w:r>
      <w:r w:rsidRPr="00107F33">
        <w:rPr>
          <w:rFonts w:ascii="Times New Roman" w:hAnsi="Times New Roman" w:cs="Times New Roman"/>
          <w:lang w:val="en-US"/>
        </w:rPr>
        <w:t>₂</w:t>
      </w:r>
      <w:r w:rsidRPr="00107F33">
        <w:rPr>
          <w:lang w:val="en-US"/>
        </w:rPr>
        <w:t xml:space="preserve"> emissions within EU/EEA ports, with emissions pricing extending to cover methane and nitrous oxide by 2026. </w:t>
      </w:r>
      <w:proofErr w:type="spellStart"/>
      <w:r w:rsidRPr="00107F33">
        <w:rPr>
          <w:lang w:val="en-US"/>
        </w:rPr>
        <w:t>FuelEU</w:t>
      </w:r>
      <w:proofErr w:type="spellEnd"/>
      <w:r w:rsidRPr="00107F33">
        <w:rPr>
          <w:lang w:val="en-US"/>
        </w:rPr>
        <w:t xml:space="preserve"> Maritime, set to take effect in 2025, will enforce annual reductions in well-to-wake (</w:t>
      </w:r>
      <w:proofErr w:type="spellStart"/>
      <w:r w:rsidRPr="00107F33">
        <w:rPr>
          <w:lang w:val="en-US"/>
        </w:rPr>
        <w:t>WtW</w:t>
      </w:r>
      <w:proofErr w:type="spellEnd"/>
      <w:r w:rsidRPr="00107F33">
        <w:rPr>
          <w:lang w:val="en-US"/>
        </w:rPr>
        <w:t>) GHG intensity for vessels over 5,000 GT, further encouraging the adoption of low-GHG fuels, shore power, and wind-assisted propulsion. These standards aim to reduce fuel emissions intensity by 2% by 2025 and by 80% by 2050</w:t>
      </w:r>
      <w:r w:rsidR="006E0921">
        <w:rPr>
          <w:rStyle w:val="Appelnotedebasdep"/>
          <w:lang w:val="en-US"/>
        </w:rPr>
        <w:footnoteReference w:id="14"/>
      </w:r>
      <w:r w:rsidRPr="00107F33">
        <w:rPr>
          <w:lang w:val="en-US"/>
        </w:rPr>
        <w:t>. Compliance with these increasingly stringent requirements compels ASCO to adopt advanced fuel-saving technologies and low-carbon fuels to keep pace with evolving emissions thresholds and remain competitive.</w:t>
      </w:r>
    </w:p>
    <w:p w14:paraId="155201BF" w14:textId="25A87817" w:rsidR="008B6A94" w:rsidRPr="005E1111" w:rsidRDefault="00E9379D" w:rsidP="008B6A94">
      <w:pPr>
        <w:pStyle w:val="Paragraphedeliste"/>
        <w:numPr>
          <w:ilvl w:val="0"/>
          <w:numId w:val="25"/>
        </w:numPr>
        <w:ind w:left="993"/>
        <w:rPr>
          <w:b/>
          <w:bCs/>
          <w:lang w:val="en-US"/>
        </w:rPr>
      </w:pPr>
      <w:r>
        <w:rPr>
          <w:b/>
          <w:bCs/>
          <w:lang w:val="en-US"/>
        </w:rPr>
        <w:t xml:space="preserve">Prospective investment options </w:t>
      </w:r>
      <w:r w:rsidR="000E7DBD">
        <w:rPr>
          <w:b/>
          <w:bCs/>
          <w:lang w:val="en-US"/>
        </w:rPr>
        <w:t>for</w:t>
      </w:r>
      <w:r w:rsidR="008B6A94" w:rsidRPr="005E1111">
        <w:rPr>
          <w:b/>
          <w:bCs/>
          <w:lang w:val="en-US"/>
        </w:rPr>
        <w:t xml:space="preserve"> ASCO</w:t>
      </w:r>
    </w:p>
    <w:p w14:paraId="0619B32A" w14:textId="639AA8E0" w:rsidR="008B6A94" w:rsidRPr="00A3531A" w:rsidRDefault="008B6A94" w:rsidP="008B6A94">
      <w:pPr>
        <w:rPr>
          <w:lang w:val="en-US"/>
        </w:rPr>
      </w:pPr>
      <w:r w:rsidRPr="002F4EFA">
        <w:rPr>
          <w:lang w:val="en-US"/>
        </w:rPr>
        <w:t>The tightening of energy efficiency and emissions regulations is expected to impact ASCO’s operational and maintenance expenses. To meet these standards</w:t>
      </w:r>
      <w:r w:rsidR="00764864">
        <w:rPr>
          <w:lang w:val="en-US"/>
        </w:rPr>
        <w:t xml:space="preserve"> while maintaining its growth strategy in </w:t>
      </w:r>
      <w:r w:rsidR="00BA1CFE">
        <w:rPr>
          <w:lang w:val="en-US"/>
        </w:rPr>
        <w:t>E</w:t>
      </w:r>
      <w:r w:rsidR="00764864">
        <w:rPr>
          <w:lang w:val="en-US"/>
        </w:rPr>
        <w:t xml:space="preserve">uropean </w:t>
      </w:r>
      <w:r w:rsidR="00BA1CFE">
        <w:rPr>
          <w:lang w:val="en-US"/>
        </w:rPr>
        <w:t>markets</w:t>
      </w:r>
      <w:r w:rsidRPr="002F4EFA">
        <w:rPr>
          <w:lang w:val="en-US"/>
        </w:rPr>
        <w:t>, ASCO will need to invest in five key strategies, each with varying levels of potential for reducing vessel energy intensity:</w:t>
      </w:r>
    </w:p>
    <w:p w14:paraId="23334AA1" w14:textId="1A6B2AC9" w:rsidR="009B31C6" w:rsidRDefault="009B31C6" w:rsidP="007A139C">
      <w:pPr>
        <w:pStyle w:val="Lgende"/>
      </w:pPr>
      <w:r>
        <w:t xml:space="preserve">Table </w:t>
      </w:r>
      <w:r>
        <w:fldChar w:fldCharType="begin"/>
      </w:r>
      <w:r>
        <w:instrText xml:space="preserve"> SEQ Table \* ARABIC </w:instrText>
      </w:r>
      <w:r>
        <w:fldChar w:fldCharType="separate"/>
      </w:r>
      <w:r>
        <w:rPr>
          <w:noProof/>
        </w:rPr>
        <w:t>9</w:t>
      </w:r>
      <w:r>
        <w:fldChar w:fldCharType="end"/>
      </w:r>
      <w:r>
        <w:t>: k</w:t>
      </w:r>
      <w:r w:rsidRPr="005F0FFE">
        <w:t xml:space="preserve">ey </w:t>
      </w:r>
      <w:r>
        <w:t>i</w:t>
      </w:r>
      <w:r w:rsidRPr="005F0FFE">
        <w:t xml:space="preserve">nvestment </w:t>
      </w:r>
      <w:r>
        <w:t>s</w:t>
      </w:r>
      <w:r w:rsidRPr="005F0FFE">
        <w:t xml:space="preserve">trategies for ASCO to </w:t>
      </w:r>
      <w:r>
        <w:t>a</w:t>
      </w:r>
      <w:r w:rsidRPr="005F0FFE">
        <w:t xml:space="preserve">chieve </w:t>
      </w:r>
      <w:r>
        <w:t>v</w:t>
      </w:r>
      <w:r w:rsidRPr="005F0FFE">
        <w:t xml:space="preserve">essel </w:t>
      </w:r>
      <w:r>
        <w:t>e</w:t>
      </w:r>
      <w:r w:rsidRPr="005F0FFE">
        <w:t xml:space="preserve">nergy </w:t>
      </w:r>
      <w:r>
        <w:t>e</w:t>
      </w:r>
      <w:r w:rsidRPr="005F0FFE">
        <w:t xml:space="preserve">fficiency </w:t>
      </w:r>
      <w:r>
        <w:t>s</w:t>
      </w:r>
      <w:r w:rsidRPr="005F0FFE">
        <w:t>tandards</w:t>
      </w:r>
    </w:p>
    <w:tbl>
      <w:tblPr>
        <w:tblStyle w:val="TableauGrille4-Accentuation1"/>
        <w:tblW w:w="5000" w:type="pct"/>
        <w:tblLook w:val="04A0" w:firstRow="1" w:lastRow="0" w:firstColumn="1" w:lastColumn="0" w:noHBand="0" w:noVBand="1"/>
      </w:tblPr>
      <w:tblGrid>
        <w:gridCol w:w="6141"/>
        <w:gridCol w:w="2919"/>
      </w:tblGrid>
      <w:tr w:rsidR="008B6A94" w:rsidRPr="00FA7359" w14:paraId="66571BD6" w14:textId="77777777" w:rsidTr="00BC2B50">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389" w:type="pct"/>
            <w:noWrap/>
            <w:hideMark/>
          </w:tcPr>
          <w:p w14:paraId="22FAFD45" w14:textId="77777777" w:rsidR="008B6A94" w:rsidRPr="005767CE" w:rsidRDefault="008B6A94">
            <w:pPr>
              <w:jc w:val="left"/>
              <w:rPr>
                <w:rFonts w:ascii="Calibri" w:eastAsia="Times New Roman" w:hAnsi="Calibri" w:cs="Calibri"/>
                <w:lang w:val="en-US"/>
              </w:rPr>
            </w:pPr>
            <w:r w:rsidRPr="005767CE">
              <w:rPr>
                <w:rFonts w:ascii="Calibri" w:eastAsia="Times New Roman" w:hAnsi="Calibri" w:cs="Calibri"/>
                <w:lang w:val="en-US"/>
              </w:rPr>
              <w:t>Measure</w:t>
            </w:r>
          </w:p>
        </w:tc>
        <w:tc>
          <w:tcPr>
            <w:tcW w:w="1611" w:type="pct"/>
            <w:noWrap/>
            <w:hideMark/>
          </w:tcPr>
          <w:p w14:paraId="11D2FD96" w14:textId="77777777" w:rsidR="008B6A94" w:rsidRPr="005767CE" w:rsidRDefault="008B6A9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val="en-US"/>
              </w:rPr>
            </w:pPr>
            <w:r w:rsidRPr="005767CE">
              <w:rPr>
                <w:rFonts w:ascii="Calibri" w:eastAsia="Times New Roman" w:hAnsi="Calibri" w:cs="Calibri"/>
                <w:lang w:val="en-US"/>
              </w:rPr>
              <w:t>Potential for reducing the energy intensity of vessels</w:t>
            </w:r>
          </w:p>
        </w:tc>
      </w:tr>
      <w:tr w:rsidR="008B6A94" w:rsidRPr="00367C0B" w14:paraId="449ACBA0" w14:textId="77777777" w:rsidTr="00BC2B50">
        <w:trPr>
          <w:cnfStyle w:val="000000100000" w:firstRow="0" w:lastRow="0" w:firstColumn="0" w:lastColumn="0" w:oddVBand="0" w:evenVBand="0" w:oddHBand="1" w:evenHBand="0" w:firstRowFirstColumn="0" w:firstRowLastColumn="0" w:lastRowFirstColumn="0" w:lastRowLastColumn="0"/>
          <w:trHeight w:val="745"/>
        </w:trPr>
        <w:tc>
          <w:tcPr>
            <w:cnfStyle w:val="001000000000" w:firstRow="0" w:lastRow="0" w:firstColumn="1" w:lastColumn="0" w:oddVBand="0" w:evenVBand="0" w:oddHBand="0" w:evenHBand="0" w:firstRowFirstColumn="0" w:firstRowLastColumn="0" w:lastRowFirstColumn="0" w:lastRowLastColumn="0"/>
            <w:tcW w:w="3389" w:type="pct"/>
            <w:noWrap/>
            <w:hideMark/>
          </w:tcPr>
          <w:p w14:paraId="36D3D15C" w14:textId="77777777" w:rsidR="008B6A94" w:rsidRPr="005767CE" w:rsidRDefault="008B6A94">
            <w:pPr>
              <w:jc w:val="left"/>
              <w:rPr>
                <w:rFonts w:ascii="Calibri" w:eastAsia="Times New Roman" w:hAnsi="Calibri" w:cs="Calibri"/>
                <w:color w:val="000000"/>
                <w:lang w:val="en-US"/>
              </w:rPr>
            </w:pPr>
            <w:r w:rsidRPr="005767CE">
              <w:rPr>
                <w:rFonts w:ascii="Calibri" w:eastAsia="Times New Roman" w:hAnsi="Calibri" w:cs="Calibri"/>
                <w:color w:val="000000"/>
                <w:lang w:val="en-US"/>
              </w:rPr>
              <w:t xml:space="preserve">Logistics and digitalization: </w:t>
            </w:r>
            <w:r w:rsidRPr="005767CE">
              <w:rPr>
                <w:rFonts w:ascii="Calibri" w:eastAsia="Times New Roman" w:hAnsi="Calibri" w:cs="Calibri"/>
                <w:b w:val="0"/>
                <w:bCs w:val="0"/>
                <w:color w:val="000000"/>
                <w:lang w:val="en-US"/>
              </w:rPr>
              <w:t>speed reduction, vessel utilization, vessel size, alternative routes</w:t>
            </w:r>
          </w:p>
        </w:tc>
        <w:tc>
          <w:tcPr>
            <w:tcW w:w="1611" w:type="pct"/>
            <w:noWrap/>
            <w:hideMark/>
          </w:tcPr>
          <w:p w14:paraId="7713907C" w14:textId="77777777" w:rsidR="008B6A94" w:rsidRPr="005767CE" w:rsidRDefault="008B6A9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r w:rsidRPr="005767CE">
              <w:rPr>
                <w:rFonts w:ascii="Calibri" w:eastAsia="Times New Roman" w:hAnsi="Calibri" w:cs="Calibri"/>
                <w:color w:val="000000"/>
                <w:lang w:val="en-US"/>
              </w:rPr>
              <w:t>&gt;20%</w:t>
            </w:r>
          </w:p>
        </w:tc>
      </w:tr>
      <w:tr w:rsidR="008B6A94" w:rsidRPr="00367C0B" w14:paraId="2A60FA66" w14:textId="77777777" w:rsidTr="0016694C">
        <w:trPr>
          <w:trHeight w:val="290"/>
        </w:trPr>
        <w:tc>
          <w:tcPr>
            <w:cnfStyle w:val="001000000000" w:firstRow="0" w:lastRow="0" w:firstColumn="1" w:lastColumn="0" w:oddVBand="0" w:evenVBand="0" w:oddHBand="0" w:evenHBand="0" w:firstRowFirstColumn="0" w:firstRowLastColumn="0" w:lastRowFirstColumn="0" w:lastRowLastColumn="0"/>
            <w:tcW w:w="3389" w:type="pct"/>
            <w:noWrap/>
            <w:hideMark/>
          </w:tcPr>
          <w:p w14:paraId="0182863B" w14:textId="77777777" w:rsidR="008B6A94" w:rsidRPr="005767CE" w:rsidRDefault="008B6A94">
            <w:pPr>
              <w:jc w:val="left"/>
              <w:rPr>
                <w:rFonts w:ascii="Calibri" w:eastAsia="Times New Roman" w:hAnsi="Calibri" w:cs="Calibri"/>
                <w:color w:val="000000"/>
                <w:lang w:val="en-US"/>
              </w:rPr>
            </w:pPr>
            <w:r w:rsidRPr="005767CE">
              <w:rPr>
                <w:rFonts w:ascii="Calibri" w:eastAsia="Times New Roman" w:hAnsi="Calibri" w:cs="Calibri"/>
                <w:color w:val="000000"/>
                <w:lang w:val="en-US"/>
              </w:rPr>
              <w:t xml:space="preserve">Hydrodynamics: </w:t>
            </w:r>
            <w:r w:rsidRPr="005767CE">
              <w:rPr>
                <w:rFonts w:ascii="Calibri" w:eastAsia="Times New Roman" w:hAnsi="Calibri" w:cs="Calibri"/>
                <w:b w:val="0"/>
                <w:bCs w:val="0"/>
                <w:color w:val="000000"/>
                <w:lang w:val="en-US"/>
              </w:rPr>
              <w:t>hull coating, hull-form optimizatio</w:t>
            </w:r>
            <w:r>
              <w:rPr>
                <w:rFonts w:ascii="Calibri" w:eastAsia="Times New Roman" w:hAnsi="Calibri" w:cs="Calibri"/>
                <w:b w:val="0"/>
                <w:bCs w:val="0"/>
                <w:color w:val="000000"/>
                <w:lang w:val="en-US"/>
              </w:rPr>
              <w:t>n</w:t>
            </w:r>
            <w:r w:rsidRPr="005767CE">
              <w:rPr>
                <w:rFonts w:ascii="Calibri" w:eastAsia="Times New Roman" w:hAnsi="Calibri" w:cs="Calibri"/>
                <w:b w:val="0"/>
                <w:bCs w:val="0"/>
                <w:color w:val="000000"/>
                <w:lang w:val="en-US"/>
              </w:rPr>
              <w:t>, air lubrication, cleaning</w:t>
            </w:r>
          </w:p>
        </w:tc>
        <w:tc>
          <w:tcPr>
            <w:tcW w:w="1611" w:type="pct"/>
            <w:noWrap/>
            <w:hideMark/>
          </w:tcPr>
          <w:p w14:paraId="07643564" w14:textId="77777777" w:rsidR="008B6A94" w:rsidRPr="005767CE" w:rsidRDefault="008B6A9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rPr>
            </w:pPr>
            <w:r w:rsidRPr="005767CE">
              <w:rPr>
                <w:rFonts w:ascii="Calibri" w:eastAsia="Times New Roman" w:hAnsi="Calibri" w:cs="Calibri"/>
                <w:color w:val="000000"/>
                <w:lang w:val="en-US"/>
              </w:rPr>
              <w:t>5-15%</w:t>
            </w:r>
          </w:p>
        </w:tc>
      </w:tr>
      <w:tr w:rsidR="008B6A94" w:rsidRPr="00367C0B" w14:paraId="4D5D77D5" w14:textId="77777777" w:rsidTr="0016694C">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389" w:type="pct"/>
            <w:noWrap/>
            <w:hideMark/>
          </w:tcPr>
          <w:p w14:paraId="6572DB74" w14:textId="77777777" w:rsidR="008B6A94" w:rsidRPr="005767CE" w:rsidRDefault="008B6A94">
            <w:pPr>
              <w:jc w:val="left"/>
              <w:rPr>
                <w:rFonts w:ascii="Calibri" w:eastAsia="Times New Roman" w:hAnsi="Calibri" w:cs="Calibri"/>
                <w:color w:val="000000"/>
                <w:lang w:val="en-US"/>
              </w:rPr>
            </w:pPr>
            <w:r w:rsidRPr="005767CE">
              <w:rPr>
                <w:rFonts w:ascii="Calibri" w:eastAsia="Times New Roman" w:hAnsi="Calibri" w:cs="Calibri"/>
                <w:color w:val="000000"/>
                <w:lang w:val="en-US"/>
              </w:rPr>
              <w:t xml:space="preserve">Machinery: </w:t>
            </w:r>
            <w:r w:rsidRPr="005767CE">
              <w:rPr>
                <w:rFonts w:ascii="Calibri" w:eastAsia="Times New Roman" w:hAnsi="Calibri" w:cs="Calibri"/>
                <w:b w:val="0"/>
                <w:bCs w:val="0"/>
                <w:color w:val="000000"/>
                <w:lang w:val="en-US"/>
              </w:rPr>
              <w:t xml:space="preserve">machinery efficiency improvements, waste-heat recovery, engine de-rating, battery </w:t>
            </w:r>
            <w:proofErr w:type="spellStart"/>
            <w:r w:rsidRPr="005767CE">
              <w:rPr>
                <w:rFonts w:ascii="Calibri" w:eastAsia="Times New Roman" w:hAnsi="Calibri" w:cs="Calibri"/>
                <w:b w:val="0"/>
                <w:bCs w:val="0"/>
                <w:color w:val="000000"/>
                <w:lang w:val="en-US"/>
              </w:rPr>
              <w:t>hybridation</w:t>
            </w:r>
            <w:proofErr w:type="spellEnd"/>
            <w:r w:rsidRPr="005767CE">
              <w:rPr>
                <w:rFonts w:ascii="Calibri" w:eastAsia="Times New Roman" w:hAnsi="Calibri" w:cs="Calibri"/>
                <w:b w:val="0"/>
                <w:bCs w:val="0"/>
                <w:color w:val="000000"/>
                <w:lang w:val="en-US"/>
              </w:rPr>
              <w:t>, fuel cells</w:t>
            </w:r>
          </w:p>
        </w:tc>
        <w:tc>
          <w:tcPr>
            <w:tcW w:w="1611" w:type="pct"/>
            <w:noWrap/>
            <w:hideMark/>
          </w:tcPr>
          <w:p w14:paraId="0259E2C6" w14:textId="77777777" w:rsidR="008B6A94" w:rsidRPr="005767CE" w:rsidRDefault="008B6A9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r w:rsidRPr="005767CE">
              <w:rPr>
                <w:rFonts w:ascii="Calibri" w:eastAsia="Times New Roman" w:hAnsi="Calibri" w:cs="Calibri"/>
                <w:color w:val="000000"/>
                <w:lang w:val="en-US"/>
              </w:rPr>
              <w:t>5-20%</w:t>
            </w:r>
          </w:p>
        </w:tc>
      </w:tr>
      <w:tr w:rsidR="008B6A94" w:rsidRPr="00367C0B" w14:paraId="0EC1BEAC" w14:textId="77777777" w:rsidTr="0016694C">
        <w:trPr>
          <w:trHeight w:val="290"/>
        </w:trPr>
        <w:tc>
          <w:tcPr>
            <w:cnfStyle w:val="001000000000" w:firstRow="0" w:lastRow="0" w:firstColumn="1" w:lastColumn="0" w:oddVBand="0" w:evenVBand="0" w:oddHBand="0" w:evenHBand="0" w:firstRowFirstColumn="0" w:firstRowLastColumn="0" w:lastRowFirstColumn="0" w:lastRowLastColumn="0"/>
            <w:tcW w:w="3389" w:type="pct"/>
            <w:noWrap/>
            <w:hideMark/>
          </w:tcPr>
          <w:p w14:paraId="15CAFF2D" w14:textId="77777777" w:rsidR="008B6A94" w:rsidRPr="005767CE" w:rsidRDefault="008B6A94">
            <w:pPr>
              <w:jc w:val="left"/>
              <w:rPr>
                <w:rFonts w:ascii="Calibri" w:eastAsia="Times New Roman" w:hAnsi="Calibri" w:cs="Calibri"/>
                <w:color w:val="000000"/>
                <w:lang w:val="en-US"/>
              </w:rPr>
            </w:pPr>
            <w:r w:rsidRPr="005767CE">
              <w:rPr>
                <w:rFonts w:ascii="Calibri" w:eastAsia="Times New Roman" w:hAnsi="Calibri" w:cs="Calibri"/>
                <w:color w:val="000000"/>
                <w:lang w:val="en-US"/>
              </w:rPr>
              <w:t xml:space="preserve">Energy: </w:t>
            </w:r>
            <w:r w:rsidRPr="005767CE">
              <w:rPr>
                <w:rFonts w:ascii="Calibri" w:eastAsia="Times New Roman" w:hAnsi="Calibri" w:cs="Calibri"/>
                <w:b w:val="0"/>
                <w:bCs w:val="0"/>
                <w:color w:val="000000"/>
                <w:lang w:val="en-US"/>
              </w:rPr>
              <w:t>LNG, LPG, biofuels, electrification, methanol, ammonia, H2, wind power, nuclear</w:t>
            </w:r>
          </w:p>
        </w:tc>
        <w:tc>
          <w:tcPr>
            <w:tcW w:w="1611" w:type="pct"/>
            <w:noWrap/>
            <w:hideMark/>
          </w:tcPr>
          <w:p w14:paraId="27AC0ED5" w14:textId="77777777" w:rsidR="008B6A94" w:rsidRPr="005767CE" w:rsidRDefault="008B6A9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rPr>
            </w:pPr>
            <w:r w:rsidRPr="005767CE">
              <w:rPr>
                <w:rFonts w:ascii="Calibri" w:eastAsia="Times New Roman" w:hAnsi="Calibri" w:cs="Calibri"/>
                <w:color w:val="000000"/>
                <w:lang w:val="en-US"/>
              </w:rPr>
              <w:t>0-100%</w:t>
            </w:r>
          </w:p>
        </w:tc>
      </w:tr>
      <w:tr w:rsidR="008B6A94" w:rsidRPr="00367C0B" w14:paraId="79CEE670" w14:textId="77777777" w:rsidTr="0016694C">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389" w:type="pct"/>
            <w:noWrap/>
            <w:hideMark/>
          </w:tcPr>
          <w:p w14:paraId="39BC964A" w14:textId="63A4C465" w:rsidR="008B6A94" w:rsidRPr="005767CE" w:rsidRDefault="00507A3D">
            <w:pPr>
              <w:jc w:val="left"/>
              <w:rPr>
                <w:rFonts w:ascii="Calibri" w:eastAsia="Times New Roman" w:hAnsi="Calibri" w:cs="Calibri"/>
                <w:color w:val="000000"/>
                <w:lang w:val="en-US"/>
              </w:rPr>
            </w:pPr>
            <w:r>
              <w:rPr>
                <w:rFonts w:ascii="Calibri" w:eastAsia="Times New Roman" w:hAnsi="Calibri" w:cs="Calibri"/>
                <w:color w:val="000000"/>
                <w:lang w:val="en-US"/>
              </w:rPr>
              <w:lastRenderedPageBreak/>
              <w:t>Ships exhaust post-treatment</w:t>
            </w:r>
            <w:r w:rsidR="008B6A94" w:rsidRPr="005767CE">
              <w:rPr>
                <w:rFonts w:ascii="Calibri" w:eastAsia="Times New Roman" w:hAnsi="Calibri" w:cs="Calibri"/>
                <w:color w:val="000000"/>
                <w:lang w:val="en-US"/>
              </w:rPr>
              <w:t xml:space="preserve">: </w:t>
            </w:r>
            <w:r w:rsidRPr="005767CE">
              <w:rPr>
                <w:rFonts w:ascii="Calibri" w:eastAsia="Times New Roman" w:hAnsi="Calibri" w:cs="Calibri"/>
                <w:b w:val="0"/>
                <w:bCs w:val="0"/>
                <w:color w:val="000000"/>
                <w:lang w:val="en-US"/>
              </w:rPr>
              <w:t>C</w:t>
            </w:r>
            <w:r>
              <w:rPr>
                <w:rFonts w:ascii="Calibri" w:eastAsia="Times New Roman" w:hAnsi="Calibri" w:cs="Calibri"/>
                <w:b w:val="0"/>
                <w:bCs w:val="0"/>
                <w:color w:val="000000"/>
                <w:lang w:val="en-US"/>
              </w:rPr>
              <w:t>arbon Capture and Storage</w:t>
            </w:r>
          </w:p>
        </w:tc>
        <w:tc>
          <w:tcPr>
            <w:tcW w:w="1611" w:type="pct"/>
            <w:noWrap/>
            <w:hideMark/>
          </w:tcPr>
          <w:p w14:paraId="12DE6B81" w14:textId="77777777" w:rsidR="008B6A94" w:rsidRPr="005767CE" w:rsidRDefault="008B6A9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r w:rsidRPr="005767CE">
              <w:rPr>
                <w:rFonts w:ascii="Calibri" w:eastAsia="Times New Roman" w:hAnsi="Calibri" w:cs="Calibri"/>
                <w:color w:val="000000"/>
                <w:lang w:val="en-US"/>
              </w:rPr>
              <w:t>0-90%</w:t>
            </w:r>
          </w:p>
        </w:tc>
      </w:tr>
    </w:tbl>
    <w:p w14:paraId="116B47D5" w14:textId="77777777" w:rsidR="008B6A94" w:rsidRDefault="008B6A94" w:rsidP="008B6A94">
      <w:pPr>
        <w:rPr>
          <w:lang w:val="en-US"/>
        </w:rPr>
      </w:pPr>
    </w:p>
    <w:p w14:paraId="5BAF74A5" w14:textId="430F5253" w:rsidR="008B6A94" w:rsidRPr="004D0C1E" w:rsidRDefault="008B6A94" w:rsidP="008B6A94">
      <w:pPr>
        <w:keepNext/>
        <w:rPr>
          <w:lang w:val="en-US"/>
        </w:rPr>
      </w:pPr>
      <w:r w:rsidRPr="00B1545A">
        <w:rPr>
          <w:lang w:val="en-US"/>
        </w:rPr>
        <w:t xml:space="preserve">Initial measures, such as optimizing operations and applying minor retrofits, could yield notable fuel savings with relatively low capital outlay. However, more extensive investments in alternative fuels and carbon capture systems will require </w:t>
      </w:r>
      <w:r w:rsidR="00405378">
        <w:rPr>
          <w:lang w:val="en-US"/>
        </w:rPr>
        <w:t>a considerable amount of</w:t>
      </w:r>
      <w:r w:rsidR="00405378" w:rsidRPr="00B1545A">
        <w:rPr>
          <w:lang w:val="en-US"/>
        </w:rPr>
        <w:t xml:space="preserve"> </w:t>
      </w:r>
      <w:r w:rsidRPr="00B1545A">
        <w:rPr>
          <w:lang w:val="en-US"/>
        </w:rPr>
        <w:t>capital but offer the highest potential emissions reductions, from 0% to 100%</w:t>
      </w:r>
      <w:r w:rsidRPr="004D0C1E">
        <w:rPr>
          <w:lang w:val="en-US"/>
        </w:rPr>
        <w:t>.</w:t>
      </w:r>
      <w:r>
        <w:rPr>
          <w:rStyle w:val="Appelnotedebasdep"/>
          <w:lang w:val="en-US"/>
        </w:rPr>
        <w:footnoteReference w:id="15"/>
      </w:r>
    </w:p>
    <w:p w14:paraId="751AB59B" w14:textId="77777777" w:rsidR="008B6A94" w:rsidRDefault="008B6A94" w:rsidP="008B6A94">
      <w:pPr>
        <w:keepNext/>
        <w:rPr>
          <w:lang w:val="en-US"/>
        </w:rPr>
      </w:pPr>
      <w:r w:rsidRPr="004D0C1E">
        <w:rPr>
          <w:lang w:val="en-US"/>
        </w:rPr>
        <w:t xml:space="preserve">The shift to renewable and low-carbon fuels is essential to comply with new carbon intensity standards, yet it involves </w:t>
      </w:r>
      <w:r w:rsidRPr="00403F79">
        <w:rPr>
          <w:lang w:val="en-US"/>
        </w:rPr>
        <w:t>costly adaptations or entirely new vessel designs</w:t>
      </w:r>
      <w:r w:rsidRPr="004D0C1E">
        <w:rPr>
          <w:lang w:val="en-US"/>
        </w:rPr>
        <w:t>.</w:t>
      </w:r>
      <w:r w:rsidRPr="00403F79">
        <w:rPr>
          <w:lang w:val="en-US"/>
        </w:rPr>
        <w:t xml:space="preserve"> </w:t>
      </w:r>
      <w:r w:rsidRPr="00367C0B">
        <w:rPr>
          <w:lang w:val="en-US"/>
        </w:rPr>
        <w:t>Key pathways include:</w:t>
      </w:r>
    </w:p>
    <w:p w14:paraId="1CB5E915" w14:textId="6850E59C" w:rsidR="008B6A94" w:rsidRPr="0002715E" w:rsidRDefault="008B6A94" w:rsidP="008B6A94">
      <w:pPr>
        <w:pStyle w:val="Paragraphedeliste"/>
        <w:keepNext/>
        <w:numPr>
          <w:ilvl w:val="0"/>
          <w:numId w:val="3"/>
        </w:numPr>
        <w:rPr>
          <w:lang w:val="en-US"/>
        </w:rPr>
      </w:pPr>
      <w:r w:rsidRPr="0002715E">
        <w:rPr>
          <w:b/>
          <w:bCs/>
          <w:lang w:val="en-US"/>
        </w:rPr>
        <w:t>Biofuels</w:t>
      </w:r>
      <w:r w:rsidRPr="0002715E">
        <w:rPr>
          <w:lang w:val="en-US"/>
        </w:rPr>
        <w:t xml:space="preserve"> offer</w:t>
      </w:r>
      <w:r>
        <w:rPr>
          <w:lang w:val="en-US"/>
        </w:rPr>
        <w:t>ing</w:t>
      </w:r>
      <w:r w:rsidRPr="0002715E">
        <w:rPr>
          <w:lang w:val="en-US"/>
        </w:rPr>
        <w:t xml:space="preserve"> a straightforward transition as they work with many existing engines, allowing blends (20-30%) without major changes.</w:t>
      </w:r>
      <w:r w:rsidR="00CA4A1E">
        <w:rPr>
          <w:rStyle w:val="Appelnotedebasdep"/>
          <w:lang w:val="en-US"/>
        </w:rPr>
        <w:footnoteReference w:id="16"/>
      </w:r>
      <w:r w:rsidR="00C94170">
        <w:rPr>
          <w:lang w:val="en-US"/>
        </w:rPr>
        <w:t xml:space="preserve"> </w:t>
      </w:r>
      <w:r w:rsidRPr="0002715E">
        <w:rPr>
          <w:lang w:val="en-US"/>
        </w:rPr>
        <w:t>Sourced from renewable materials like algae and waste, they are sustainable but costly, and higher blends may require engine upgrades.</w:t>
      </w:r>
    </w:p>
    <w:p w14:paraId="09BB8228" w14:textId="13070F80" w:rsidR="008B6A94" w:rsidRPr="0002715E" w:rsidRDefault="008B6A94" w:rsidP="008B6A94">
      <w:pPr>
        <w:pStyle w:val="Paragraphedeliste"/>
        <w:keepNext/>
        <w:numPr>
          <w:ilvl w:val="0"/>
          <w:numId w:val="3"/>
        </w:numPr>
        <w:rPr>
          <w:lang w:val="en-US"/>
        </w:rPr>
      </w:pPr>
      <w:r w:rsidRPr="0002715E">
        <w:rPr>
          <w:b/>
          <w:bCs/>
          <w:lang w:val="en-US"/>
        </w:rPr>
        <w:t>E-fuels</w:t>
      </w:r>
      <w:r w:rsidRPr="0002715E">
        <w:rPr>
          <w:lang w:val="en-US"/>
        </w:rPr>
        <w:t xml:space="preserve"> (e.g., green hydrogen, ammonia)</w:t>
      </w:r>
      <w:r>
        <w:rPr>
          <w:lang w:val="en-US"/>
        </w:rPr>
        <w:t>:</w:t>
      </w:r>
      <w:r w:rsidRPr="0002715E">
        <w:rPr>
          <w:lang w:val="en-US"/>
        </w:rPr>
        <w:t xml:space="preserve"> produced with renewable energy, offering low emissions but needing substantial modifications, including larger storage tanks</w:t>
      </w:r>
      <w:r>
        <w:rPr>
          <w:lang w:val="en-US"/>
        </w:rPr>
        <w:t xml:space="preserve">, </w:t>
      </w:r>
      <w:r w:rsidRPr="004D0C1E">
        <w:rPr>
          <w:lang w:val="en-US"/>
        </w:rPr>
        <w:t>2.3 to 4.3 times</w:t>
      </w:r>
      <w:r>
        <w:rPr>
          <w:lang w:val="en-US"/>
        </w:rPr>
        <w:t xml:space="preserve"> larger than those for traditional VLSFO</w:t>
      </w:r>
      <w:r w:rsidR="005D462F">
        <w:rPr>
          <w:rStyle w:val="Appelnotedebasdep"/>
          <w:lang w:val="en-US"/>
        </w:rPr>
        <w:footnoteReference w:id="17"/>
      </w:r>
      <w:r>
        <w:rPr>
          <w:lang w:val="en-US"/>
        </w:rPr>
        <w:t>. Therefore,</w:t>
      </w:r>
      <w:r w:rsidRPr="0002715E">
        <w:rPr>
          <w:lang w:val="en-US"/>
        </w:rPr>
        <w:t xml:space="preserve"> </w:t>
      </w:r>
      <w:r>
        <w:rPr>
          <w:lang w:val="en-US"/>
        </w:rPr>
        <w:t>n</w:t>
      </w:r>
      <w:r w:rsidRPr="0002715E">
        <w:rPr>
          <w:lang w:val="en-US"/>
        </w:rPr>
        <w:t xml:space="preserve">ew e-fuel-compatible vessels </w:t>
      </w:r>
      <w:r w:rsidR="00D240A8">
        <w:rPr>
          <w:lang w:val="en-US"/>
        </w:rPr>
        <w:t xml:space="preserve">could </w:t>
      </w:r>
      <w:r w:rsidRPr="0002715E">
        <w:rPr>
          <w:lang w:val="en-US"/>
        </w:rPr>
        <w:t xml:space="preserve">cost </w:t>
      </w:r>
      <w:r w:rsidR="00D63C29">
        <w:rPr>
          <w:lang w:val="en-US"/>
        </w:rPr>
        <w:t xml:space="preserve">about </w:t>
      </w:r>
      <w:r w:rsidRPr="0002715E">
        <w:rPr>
          <w:lang w:val="en-US"/>
        </w:rPr>
        <w:t xml:space="preserve">11-16% more, </w:t>
      </w:r>
      <w:r w:rsidRPr="004D0C1E">
        <w:rPr>
          <w:lang w:val="en-US"/>
        </w:rPr>
        <w:t xml:space="preserve">while conversions of existing vessels range </w:t>
      </w:r>
      <w:r w:rsidR="00D63C29">
        <w:rPr>
          <w:lang w:val="en-US"/>
        </w:rPr>
        <w:t xml:space="preserve">could </w:t>
      </w:r>
      <w:r w:rsidRPr="004D0C1E">
        <w:rPr>
          <w:lang w:val="en-US"/>
        </w:rPr>
        <w:t>from 10-16% (methanol) to 19-24% (ammonia), depending on pre-existing preparation</w:t>
      </w:r>
      <w:r w:rsidRPr="0002715E">
        <w:rPr>
          <w:lang w:val="en-US"/>
        </w:rPr>
        <w:t xml:space="preserve">. E-fuels are </w:t>
      </w:r>
      <w:r w:rsidR="00D63C29">
        <w:rPr>
          <w:lang w:val="en-US"/>
        </w:rPr>
        <w:t xml:space="preserve">considered </w:t>
      </w:r>
      <w:r w:rsidRPr="0002715E">
        <w:rPr>
          <w:lang w:val="en-US"/>
        </w:rPr>
        <w:t>also 3 to 5 times more expensive than traditional fuels.</w:t>
      </w:r>
      <w:r w:rsidR="00544B98">
        <w:rPr>
          <w:rStyle w:val="Appelnotedebasdep"/>
          <w:lang w:val="en-US"/>
        </w:rPr>
        <w:footnoteReference w:id="18"/>
      </w:r>
    </w:p>
    <w:p w14:paraId="797CDC7E" w14:textId="77777777" w:rsidR="008B6A94" w:rsidRPr="00E843A4" w:rsidRDefault="008B6A94" w:rsidP="008B6A94">
      <w:pPr>
        <w:pStyle w:val="Paragraphedeliste"/>
        <w:keepNext/>
        <w:numPr>
          <w:ilvl w:val="0"/>
          <w:numId w:val="3"/>
        </w:numPr>
        <w:rPr>
          <w:lang w:val="en-US"/>
        </w:rPr>
      </w:pPr>
      <w:r w:rsidRPr="0002715E">
        <w:rPr>
          <w:b/>
          <w:bCs/>
          <w:lang w:val="en-US"/>
        </w:rPr>
        <w:t>LNG</w:t>
      </w:r>
      <w:r w:rsidRPr="0002715E">
        <w:rPr>
          <w:lang w:val="en-US"/>
        </w:rPr>
        <w:t xml:space="preserve"> provides lower CO</w:t>
      </w:r>
      <w:r w:rsidRPr="0002715E">
        <w:rPr>
          <w:rFonts w:ascii="Times New Roman" w:hAnsi="Times New Roman" w:cs="Times New Roman"/>
          <w:lang w:val="en-US"/>
        </w:rPr>
        <w:t>₂</w:t>
      </w:r>
      <w:r w:rsidRPr="0002715E">
        <w:rPr>
          <w:lang w:val="en-US"/>
        </w:rPr>
        <w:t xml:space="preserve"> emissions than heavy fuel oil (HFO) and works in dual-fuel engines for flexibility. However, it requires investment in storage and bunkering and </w:t>
      </w:r>
      <w:r w:rsidRPr="0002715E">
        <w:rPr>
          <w:lang w:val="en-US"/>
        </w:rPr>
        <w:lastRenderedPageBreak/>
        <w:t>offers only a partial solution toward decarbonization, making it suitable as an interim measure while other low-carbon options develop.</w:t>
      </w:r>
    </w:p>
    <w:p w14:paraId="4623D52B" w14:textId="77777777" w:rsidR="008B6A94" w:rsidRPr="00367C0B" w:rsidRDefault="008B6A94" w:rsidP="008B6A94">
      <w:pPr>
        <w:keepNext/>
        <w:jc w:val="center"/>
        <w:rPr>
          <w:lang w:val="en-US"/>
        </w:rPr>
      </w:pPr>
      <w:r>
        <w:rPr>
          <w:b/>
          <w:bCs/>
          <w:noProof/>
          <w:lang w:val="en-US"/>
        </w:rPr>
        <mc:AlternateContent>
          <mc:Choice Requires="wps">
            <w:drawing>
              <wp:anchor distT="0" distB="0" distL="114300" distR="114300" simplePos="0" relativeHeight="251658246" behindDoc="0" locked="0" layoutInCell="1" allowOverlap="1" wp14:anchorId="47BD9778" wp14:editId="4F68B18E">
                <wp:simplePos x="0" y="0"/>
                <wp:positionH relativeFrom="column">
                  <wp:posOffset>4345690</wp:posOffset>
                </wp:positionH>
                <wp:positionV relativeFrom="paragraph">
                  <wp:posOffset>1179306</wp:posOffset>
                </wp:positionV>
                <wp:extent cx="1521775" cy="273653"/>
                <wp:effectExtent l="0" t="0" r="2540" b="0"/>
                <wp:wrapNone/>
                <wp:docPr id="1526509546" name="Rectangle 1"/>
                <wp:cNvGraphicFramePr/>
                <a:graphic xmlns:a="http://schemas.openxmlformats.org/drawingml/2006/main">
                  <a:graphicData uri="http://schemas.microsoft.com/office/word/2010/wordprocessingShape">
                    <wps:wsp>
                      <wps:cNvSpPr/>
                      <wps:spPr>
                        <a:xfrm>
                          <a:off x="0" y="0"/>
                          <a:ext cx="1521775" cy="273653"/>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rect w14:anchorId="3FB0EFDC" id="Rectangle 1" o:spid="_x0000_s1026" style="position:absolute;margin-left:342.2pt;margin-top:92.85pt;width:119.8pt;height:21.55pt;z-index:25165824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" fillcolor="white [3212]" stroked="f" strokeweight="1pt"/>
            </w:pict>
          </mc:Fallback>
        </mc:AlternateContent>
      </w:r>
      <w:r w:rsidRPr="00612DA4">
        <w:rPr>
          <w:b/>
          <w:bCs/>
          <w:noProof/>
          <w:lang w:val="en-US"/>
        </w:rPr>
        <w:drawing>
          <wp:inline distT="0" distB="0" distL="0" distR="0" wp14:anchorId="7E70820D" wp14:editId="3D3A3B63">
            <wp:extent cx="5759450" cy="2185035"/>
            <wp:effectExtent l="0" t="0" r="0" b="5715"/>
            <wp:docPr id="1023840450" name="Picture 1" descr="A graph with lines an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065541" name="Picture 1" descr="A graph with lines and dots&#10;&#10;Description automatically generated"/>
                    <pic:cNvPicPr/>
                  </pic:nvPicPr>
                  <pic:blipFill rotWithShape="1">
                    <a:blip r:embed="rId27"/>
                    <a:srcRect t="12242"/>
                    <a:stretch/>
                  </pic:blipFill>
                  <pic:spPr bwMode="auto">
                    <a:xfrm>
                      <a:off x="0" y="0"/>
                      <a:ext cx="5759450" cy="2185035"/>
                    </a:xfrm>
                    <a:prstGeom prst="rect">
                      <a:avLst/>
                    </a:prstGeom>
                    <a:ln>
                      <a:noFill/>
                    </a:ln>
                    <a:extLst>
                      <a:ext uri="{53640926-AAD7-44D8-BBD7-CCE9431645EC}">
                        <a14:shadowObscured xmlns:a14="http://schemas.microsoft.com/office/drawing/2010/main"/>
                      </a:ext>
                    </a:extLst>
                  </pic:spPr>
                </pic:pic>
              </a:graphicData>
            </a:graphic>
          </wp:inline>
        </w:drawing>
      </w:r>
    </w:p>
    <w:p w14:paraId="67B5B526" w14:textId="5ACFFFB4" w:rsidR="008B6A94" w:rsidRDefault="008B6A94" w:rsidP="008B6A94">
      <w:pPr>
        <w:pStyle w:val="Lgende"/>
      </w:pPr>
      <w:r>
        <w:t xml:space="preserve">Figure </w:t>
      </w:r>
      <w:r>
        <w:fldChar w:fldCharType="begin"/>
      </w:r>
      <w:r>
        <w:instrText xml:space="preserve"> SEQ Figure \* ARABIC </w:instrText>
      </w:r>
      <w:r>
        <w:fldChar w:fldCharType="separate"/>
      </w:r>
      <w:r w:rsidR="00227941">
        <w:rPr>
          <w:noProof/>
        </w:rPr>
        <w:t>7</w:t>
      </w:r>
      <w:r>
        <w:fldChar w:fldCharType="end"/>
      </w:r>
      <w:r>
        <w:t>: Evolution of the total cost of fuels in Asia (in USD/GJ)</w:t>
      </w:r>
      <w:r>
        <w:rPr>
          <w:rStyle w:val="Appelnotedebasdep"/>
        </w:rPr>
        <w:footnoteReference w:id="19"/>
      </w:r>
    </w:p>
    <w:p w14:paraId="40F36D8A" w14:textId="6539AEDB" w:rsidR="008B6A94" w:rsidRDefault="008B6A94" w:rsidP="008B6A94">
      <w:pPr>
        <w:rPr>
          <w:lang w:val="en-US"/>
        </w:rPr>
      </w:pPr>
      <w:r w:rsidRPr="002D53F5">
        <w:rPr>
          <w:lang w:val="en-US"/>
        </w:rPr>
        <w:t>Overall, adapting the fleet to meet decarbonization targets is expected to increase container costs by approximately 20% by 2030, between 60% and 100% by 2040, and 90% to 110% by 2050</w:t>
      </w:r>
      <w:r w:rsidR="009B31C6">
        <w:rPr>
          <w:lang w:val="en-US"/>
        </w:rPr>
        <w:t>.</w:t>
      </w:r>
      <w:r w:rsidR="00291EE1" w:rsidRPr="005339E0">
        <w:rPr>
          <w:lang w:val="en-US"/>
        </w:rPr>
        <w:t xml:space="preserve"> </w:t>
      </w:r>
      <w:r w:rsidR="001605E0" w:rsidRPr="005339E0">
        <w:rPr>
          <w:lang w:val="en-US"/>
        </w:rPr>
        <w:t>These total costs include CAPEX (investments in ships and onboard technologies), OPEX (operational costs)</w:t>
      </w:r>
      <w:r w:rsidR="001605E0">
        <w:rPr>
          <w:lang w:val="en-US"/>
        </w:rPr>
        <w:t xml:space="preserve">, </w:t>
      </w:r>
      <w:r w:rsidR="009C11E9" w:rsidRPr="005339E0">
        <w:rPr>
          <w:lang w:val="en-US"/>
        </w:rPr>
        <w:t>the cost of CO</w:t>
      </w:r>
      <w:r w:rsidR="009C11E9" w:rsidRPr="005339E0">
        <w:rPr>
          <w:rFonts w:ascii="Times New Roman" w:hAnsi="Times New Roman" w:cs="Times New Roman"/>
          <w:lang w:val="en-US"/>
        </w:rPr>
        <w:t>₂</w:t>
      </w:r>
      <w:r w:rsidR="009C11E9" w:rsidRPr="005339E0">
        <w:rPr>
          <w:lang w:val="en-US"/>
        </w:rPr>
        <w:t xml:space="preserve"> emissions, fuel expenses, and deposit fees for carbon capture and storage. </w:t>
      </w:r>
      <w:r w:rsidR="005C1C2A" w:rsidRPr="005339E0">
        <w:rPr>
          <w:lang w:val="en-US"/>
        </w:rPr>
        <w:t>The results of this analysis conducted by DNV on three segments,</w:t>
      </w:r>
      <w:r w:rsidR="005C1C2A">
        <w:rPr>
          <w:lang w:val="en-US"/>
        </w:rPr>
        <w:t xml:space="preserve"> </w:t>
      </w:r>
      <w:r w:rsidR="00291EE1" w:rsidRPr="005339E0">
        <w:rPr>
          <w:lang w:val="en-US"/>
        </w:rPr>
        <w:t>container vessels, bulk carriers, and tankers</w:t>
      </w:r>
      <w:r w:rsidR="001605E0">
        <w:rPr>
          <w:lang w:val="en-US"/>
        </w:rPr>
        <w:t xml:space="preserve"> </w:t>
      </w:r>
      <w:r w:rsidR="001605E0" w:rsidRPr="005339E0">
        <w:rPr>
          <w:lang w:val="en-US"/>
        </w:rPr>
        <w:t>are presented in the graph below</w:t>
      </w:r>
      <w:r w:rsidR="001605E0">
        <w:rPr>
          <w:lang w:val="en-US"/>
        </w:rPr>
        <w:t>:</w:t>
      </w:r>
    </w:p>
    <w:p w14:paraId="55BE0ED7" w14:textId="77777777" w:rsidR="008B6A94" w:rsidRPr="00367C0B" w:rsidRDefault="008B6A94" w:rsidP="008B6A94">
      <w:pPr>
        <w:keepNext/>
        <w:jc w:val="center"/>
        <w:rPr>
          <w:lang w:val="en-US"/>
        </w:rPr>
      </w:pPr>
      <w:r w:rsidRPr="00367C0B">
        <w:rPr>
          <w:noProof/>
          <w:lang w:val="en-US"/>
        </w:rPr>
        <w:drawing>
          <wp:inline distT="0" distB="0" distL="0" distR="0" wp14:anchorId="7E0518CE" wp14:editId="2495A0DB">
            <wp:extent cx="4978140" cy="2864485"/>
            <wp:effectExtent l="0" t="0" r="0" b="0"/>
            <wp:docPr id="2008050217" name="Picture 2" descr="A graph of a cargo ship&#10;&#10;Description automatically generated with medium confidence">
              <a:extLst xmlns:a="http://schemas.openxmlformats.org/drawingml/2006/main">
                <a:ext uri="{FF2B5EF4-FFF2-40B4-BE49-F238E27FC236}">
                  <a16:creationId xmlns:a16="http://schemas.microsoft.com/office/drawing/2014/main" id="{E585B892-467C-7F77-E4FE-9F62038FE58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066352" name="Picture 2" descr="A graph of a cargo ship&#10;&#10;Description automatically generated with medium confidence">
                      <a:extLst>
                        <a:ext uri="{FF2B5EF4-FFF2-40B4-BE49-F238E27FC236}">
                          <a16:creationId xmlns:a16="http://schemas.microsoft.com/office/drawing/2014/main" id="{E585B892-467C-7F77-E4FE-9F62038FE582}"/>
                        </a:ext>
                      </a:extLst>
                    </pic:cNvPr>
                    <pic:cNvPicPr>
                      <a:picLocks noChangeAspect="1"/>
                    </pic:cNvPicPr>
                  </pic:nvPicPr>
                  <pic:blipFill rotWithShape="1">
                    <a:blip r:embed="rId28"/>
                    <a:srcRect t="22638"/>
                    <a:stretch/>
                  </pic:blipFill>
                  <pic:spPr bwMode="auto">
                    <a:xfrm>
                      <a:off x="0" y="0"/>
                      <a:ext cx="4984528" cy="2868160"/>
                    </a:xfrm>
                    <a:prstGeom prst="rect">
                      <a:avLst/>
                    </a:prstGeom>
                    <a:ln>
                      <a:noFill/>
                    </a:ln>
                    <a:extLst>
                      <a:ext uri="{53640926-AAD7-44D8-BBD7-CCE9431645EC}">
                        <a14:shadowObscured xmlns:a14="http://schemas.microsoft.com/office/drawing/2010/main"/>
                      </a:ext>
                    </a:extLst>
                  </pic:spPr>
                </pic:pic>
              </a:graphicData>
            </a:graphic>
          </wp:inline>
        </w:drawing>
      </w:r>
    </w:p>
    <w:p w14:paraId="774C216C" w14:textId="5C68FF7D" w:rsidR="008B6A94" w:rsidRPr="002D53F5" w:rsidRDefault="008B6A94" w:rsidP="008B6A94">
      <w:pPr>
        <w:pStyle w:val="Lgende"/>
        <w:jc w:val="both"/>
        <w:rPr>
          <w:b/>
          <w:bCs w:val="0"/>
        </w:rPr>
      </w:pPr>
      <w:r>
        <w:t xml:space="preserve">Figure </w:t>
      </w:r>
      <w:r>
        <w:fldChar w:fldCharType="begin"/>
      </w:r>
      <w:r>
        <w:instrText xml:space="preserve"> SEQ Figure \* ARABIC </w:instrText>
      </w:r>
      <w:r>
        <w:fldChar w:fldCharType="separate"/>
      </w:r>
      <w:r w:rsidR="00227941">
        <w:rPr>
          <w:noProof/>
        </w:rPr>
        <w:t>8</w:t>
      </w:r>
      <w:r>
        <w:fldChar w:fldCharType="end"/>
      </w:r>
      <w:r>
        <w:t xml:space="preserve">: Range of increase in total costs per transport work (USD/DWT-nm for bulk and tank, USD/TEU-nm for containers) from decarbonization in 2030, 2040, and 2050 relative to a business-as-usual scenario. </w:t>
      </w:r>
      <w:r w:rsidR="00BF452C">
        <w:rPr>
          <w:rStyle w:val="Appelnotedebasdep"/>
          <w:b/>
          <w:bCs w:val="0"/>
        </w:rPr>
        <w:footnoteReference w:id="20"/>
      </w:r>
    </w:p>
    <w:p w14:paraId="3EAB2BD6" w14:textId="3216328C" w:rsidR="008B6A94" w:rsidRDefault="008B6A94" w:rsidP="008B6A94">
      <w:pPr>
        <w:rPr>
          <w:lang w:val="en-US"/>
        </w:rPr>
      </w:pPr>
      <w:r w:rsidRPr="004D0C1E">
        <w:rPr>
          <w:lang w:val="en-US"/>
        </w:rPr>
        <w:t xml:space="preserve">Despite these costs, early adoption could position ASCO </w:t>
      </w:r>
      <w:r w:rsidR="006E73A0">
        <w:rPr>
          <w:lang w:val="en-US"/>
        </w:rPr>
        <w:t>at the forefront</w:t>
      </w:r>
      <w:r w:rsidR="00E9100D">
        <w:rPr>
          <w:lang w:val="en-US"/>
        </w:rPr>
        <w:t xml:space="preserve"> among the industry players on the path towards</w:t>
      </w:r>
      <w:r w:rsidRPr="004D0C1E">
        <w:rPr>
          <w:lang w:val="en-US"/>
        </w:rPr>
        <w:t xml:space="preserve"> sustainable maritime operations, aligning with industry </w:t>
      </w:r>
      <w:r w:rsidRPr="004D0C1E">
        <w:rPr>
          <w:lang w:val="en-US"/>
        </w:rPr>
        <w:lastRenderedPageBreak/>
        <w:t xml:space="preserve">benchmarks and meeting the increasing expectations of </w:t>
      </w:r>
      <w:r w:rsidR="00E9100D">
        <w:rPr>
          <w:lang w:val="en-US"/>
        </w:rPr>
        <w:t>proactive</w:t>
      </w:r>
      <w:r w:rsidRPr="004D0C1E">
        <w:rPr>
          <w:lang w:val="en-US"/>
        </w:rPr>
        <w:t xml:space="preserve"> clients</w:t>
      </w:r>
      <w:r w:rsidR="00E9100D">
        <w:rPr>
          <w:lang w:val="en-US"/>
        </w:rPr>
        <w:t xml:space="preserve"> active to decrease climate change impacts in their value chain</w:t>
      </w:r>
      <w:r w:rsidRPr="004D0C1E">
        <w:rPr>
          <w:lang w:val="en-US"/>
        </w:rPr>
        <w:t>.</w:t>
      </w:r>
    </w:p>
    <w:p w14:paraId="685FC359" w14:textId="77777777" w:rsidR="00F8306A" w:rsidRPr="00F8306A" w:rsidRDefault="00F8306A" w:rsidP="00F8306A">
      <w:pPr>
        <w:rPr>
          <w:lang w:val="en-US"/>
        </w:rPr>
      </w:pPr>
      <w:r w:rsidRPr="00F8306A">
        <w:rPr>
          <w:lang w:val="en-US"/>
        </w:rPr>
        <w:t>For maritime stakeholders, investing in low-carbon fuels is becoming increasingly essential as the shipping industry's demand for these alternatives continues to grow. This rising demand, combined with limited production capacity, is likely to result in supply constraints and escalating prices, particularly as companies work to meet stringent compliance deadlines.</w:t>
      </w:r>
    </w:p>
    <w:p w14:paraId="3CD609CB" w14:textId="1AF372D5" w:rsidR="00F8306A" w:rsidRPr="00F8306A" w:rsidRDefault="00F8306A" w:rsidP="00F8306A">
      <w:pPr>
        <w:rPr>
          <w:lang w:val="en-US"/>
        </w:rPr>
      </w:pPr>
      <w:r w:rsidRPr="00F8306A">
        <w:rPr>
          <w:lang w:val="en-US"/>
        </w:rPr>
        <w:t>Between 2015 and 2022, biodiesel prices experienced notable surges due to increased demand and climate-related feedstock shortages. In Europe, rapeseed biodiesel prices climbed by 127%, soybean biodiesel prices in Argentina soared by 142%, and palm biodiesel prices in Indonesia rose by 101%.</w:t>
      </w:r>
      <w:r>
        <w:rPr>
          <w:rStyle w:val="Appelnotedebasdep"/>
          <w:lang w:val="en-US"/>
        </w:rPr>
        <w:footnoteReference w:id="21"/>
      </w:r>
      <w:r w:rsidR="00001C1C">
        <w:rPr>
          <w:lang w:val="en-US"/>
        </w:rPr>
        <w:t xml:space="preserve"> </w:t>
      </w:r>
      <w:r w:rsidRPr="00F8306A">
        <w:rPr>
          <w:lang w:val="en-US"/>
        </w:rPr>
        <w:t>These price trends reflect the combined effects of intensifying global demand, climate-driven supply challenges, and policy-induced incentives.</w:t>
      </w:r>
    </w:p>
    <w:p w14:paraId="0849086F" w14:textId="1C957D4F" w:rsidR="0089299B" w:rsidRDefault="00F8306A" w:rsidP="008B6A94">
      <w:pPr>
        <w:rPr>
          <w:lang w:val="en-US"/>
        </w:rPr>
      </w:pPr>
      <w:r w:rsidRPr="00F8306A">
        <w:rPr>
          <w:lang w:val="en-US"/>
        </w:rPr>
        <w:t>Proactive investment in low-carbon fuel solutions can help mitigate these risks, ensuring access to sustainable supplies and positioning maritime companies as frontrunners in the industry's decarbonization efforts.</w:t>
      </w:r>
    </w:p>
    <w:p w14:paraId="37380295" w14:textId="77777777" w:rsidR="008B6A94" w:rsidRDefault="008B6A94" w:rsidP="008B6A94">
      <w:pPr>
        <w:pStyle w:val="Titre3"/>
        <w:numPr>
          <w:ilvl w:val="1"/>
          <w:numId w:val="23"/>
        </w:numPr>
        <w:ind w:left="993"/>
        <w:rPr>
          <w:lang w:val="en-US"/>
        </w:rPr>
      </w:pPr>
      <w:bookmarkStart w:id="39" w:name="_Toc183015107"/>
      <w:r>
        <w:rPr>
          <w:lang w:val="en-US"/>
        </w:rPr>
        <w:t>Limited biofuel of e-fuel availability</w:t>
      </w:r>
      <w:bookmarkEnd w:id="39"/>
    </w:p>
    <w:p w14:paraId="7AC7D71B" w14:textId="7F925363" w:rsidR="008B6A94" w:rsidRDefault="008B6A94" w:rsidP="008B6A94">
      <w:pPr>
        <w:rPr>
          <w:lang w:val="en-US"/>
        </w:rPr>
      </w:pPr>
      <w:r w:rsidRPr="006048DE">
        <w:rPr>
          <w:lang w:val="en-US"/>
        </w:rPr>
        <w:t xml:space="preserve">With international regulations, including those from the IMO and EU, increasingly mandating cleaner fuels, ASCO </w:t>
      </w:r>
      <w:r w:rsidR="001150D0">
        <w:rPr>
          <w:lang w:val="en-US"/>
        </w:rPr>
        <w:t>would benefit in</w:t>
      </w:r>
      <w:r w:rsidR="001150D0" w:rsidRPr="006048DE">
        <w:rPr>
          <w:lang w:val="en-US"/>
        </w:rPr>
        <w:t xml:space="preserve"> </w:t>
      </w:r>
      <w:r w:rsidRPr="006048DE">
        <w:rPr>
          <w:lang w:val="en-US"/>
        </w:rPr>
        <w:t>secur</w:t>
      </w:r>
      <w:r w:rsidR="001150D0">
        <w:rPr>
          <w:lang w:val="en-US"/>
        </w:rPr>
        <w:t>ing</w:t>
      </w:r>
      <w:r w:rsidRPr="006048DE">
        <w:rPr>
          <w:lang w:val="en-US"/>
        </w:rPr>
        <w:t xml:space="preserve"> a reliable, scalable supply of low-carbon options such as biofuels and e-fuels to remain compliant</w:t>
      </w:r>
      <w:r w:rsidR="001D1FA9">
        <w:rPr>
          <w:lang w:val="en-US"/>
        </w:rPr>
        <w:t xml:space="preserve"> and </w:t>
      </w:r>
      <w:r w:rsidR="006C5699">
        <w:rPr>
          <w:lang w:val="en-US"/>
        </w:rPr>
        <w:t xml:space="preserve">get the </w:t>
      </w:r>
      <w:r w:rsidR="001D1FA9">
        <w:rPr>
          <w:lang w:val="en-US"/>
        </w:rPr>
        <w:t xml:space="preserve">first </w:t>
      </w:r>
      <w:r w:rsidR="006C5699">
        <w:rPr>
          <w:lang w:val="en-US"/>
        </w:rPr>
        <w:t>mover advantage</w:t>
      </w:r>
      <w:r w:rsidRPr="006048DE">
        <w:rPr>
          <w:lang w:val="en-US"/>
        </w:rPr>
        <w:t xml:space="preserve">. By 2030, demand for carbon-neutral fuels is projected to reach between 7 and 48 million </w:t>
      </w:r>
      <w:proofErr w:type="spellStart"/>
      <w:r w:rsidRPr="006048DE">
        <w:rPr>
          <w:lang w:val="en-US"/>
        </w:rPr>
        <w:t>tonnes</w:t>
      </w:r>
      <w:proofErr w:type="spellEnd"/>
      <w:r w:rsidRPr="006048DE">
        <w:rPr>
          <w:lang w:val="en-US"/>
        </w:rPr>
        <w:t xml:space="preserve"> of oil equivalent. However, production capacity remains constrained, especially given the maritime sector's large-scale requirements.</w:t>
      </w:r>
    </w:p>
    <w:p w14:paraId="5F9423DD" w14:textId="77777777" w:rsidR="008B6A94" w:rsidRPr="007E0AE4" w:rsidRDefault="008B6A94" w:rsidP="00EB7B08">
      <w:pPr>
        <w:pStyle w:val="Paragraphedeliste"/>
        <w:numPr>
          <w:ilvl w:val="0"/>
          <w:numId w:val="29"/>
        </w:numPr>
        <w:ind w:left="993"/>
        <w:rPr>
          <w:b/>
          <w:bCs/>
          <w:lang w:val="en-US"/>
        </w:rPr>
      </w:pPr>
      <w:r w:rsidRPr="007E0AE4">
        <w:rPr>
          <w:b/>
          <w:bCs/>
          <w:lang w:val="en-US"/>
        </w:rPr>
        <w:t>Limited supply of biofuels and e-fuels and sector competition</w:t>
      </w:r>
    </w:p>
    <w:p w14:paraId="5130B544" w14:textId="5AE061A6" w:rsidR="008B6A94" w:rsidRPr="006048DE" w:rsidRDefault="008B6A94" w:rsidP="008B6A94">
      <w:pPr>
        <w:rPr>
          <w:lang w:val="en-US"/>
        </w:rPr>
      </w:pPr>
      <w:r w:rsidRPr="006048DE">
        <w:rPr>
          <w:lang w:val="en-US"/>
        </w:rPr>
        <w:t>To meet the IMO’s 2030 target of reducing CO</w:t>
      </w:r>
      <w:r w:rsidRPr="006048DE">
        <w:rPr>
          <w:rFonts w:ascii="Times New Roman" w:hAnsi="Times New Roman" w:cs="Times New Roman"/>
          <w:lang w:val="en-US"/>
        </w:rPr>
        <w:t>₂</w:t>
      </w:r>
      <w:r w:rsidRPr="006048DE">
        <w:rPr>
          <w:lang w:val="en-US"/>
        </w:rPr>
        <w:t xml:space="preserve"> emissions from shipping by 20% relative to 2008 levels, significantly ramping up global carbon-neutral fuel production is essential. By 2030, it is estimated that 44 to 63 million </w:t>
      </w:r>
      <w:proofErr w:type="spellStart"/>
      <w:r w:rsidRPr="006048DE">
        <w:rPr>
          <w:lang w:val="en-US"/>
        </w:rPr>
        <w:t>tonnes</w:t>
      </w:r>
      <w:proofErr w:type="spellEnd"/>
      <w:r w:rsidRPr="006048DE">
        <w:rPr>
          <w:lang w:val="en-US"/>
        </w:rPr>
        <w:t xml:space="preserve"> of oil equivalent (Mtoe) of carbon-neutral fuels will be available across all sectors, yet the maritime industry alone may require between 10% and 100% of this supply to reach its targets</w:t>
      </w:r>
      <w:r w:rsidR="008D2C06">
        <w:rPr>
          <w:lang w:val="en-US"/>
        </w:rPr>
        <w:t xml:space="preserve"> </w:t>
      </w:r>
      <w:r w:rsidR="008D2C06" w:rsidRPr="007A139C">
        <w:rPr>
          <w:lang w:val="en-US"/>
        </w:rPr>
        <w:t>in line with the deployment pace of other alternative fuels such as e-fuels</w:t>
      </w:r>
      <w:r w:rsidRPr="006048DE">
        <w:rPr>
          <w:lang w:val="en-US"/>
        </w:rPr>
        <w:t>.</w:t>
      </w:r>
      <w:r w:rsidR="00BF452C">
        <w:rPr>
          <w:rStyle w:val="Appelnotedebasdep"/>
          <w:lang w:val="en-US"/>
        </w:rPr>
        <w:t>13</w:t>
      </w:r>
    </w:p>
    <w:p w14:paraId="54A6E5B1" w14:textId="65400045" w:rsidR="008B6A94" w:rsidRPr="006048DE" w:rsidRDefault="008B6A94" w:rsidP="008B6A94">
      <w:pPr>
        <w:rPr>
          <w:lang w:val="en-US"/>
        </w:rPr>
      </w:pPr>
      <w:r w:rsidRPr="006048DE">
        <w:rPr>
          <w:lang w:val="en-US"/>
        </w:rPr>
        <w:t>Among available options, biofuels—such as bio-methanol and bio-LNG—are currently the most accessible carbon-neutral fuels for shipping</w:t>
      </w:r>
      <w:r w:rsidR="008A092D">
        <w:rPr>
          <w:lang w:val="en-US"/>
        </w:rPr>
        <w:t xml:space="preserve"> and </w:t>
      </w:r>
      <w:r w:rsidR="00897225">
        <w:rPr>
          <w:lang w:val="en-US"/>
        </w:rPr>
        <w:t>therefore c</w:t>
      </w:r>
      <w:r w:rsidR="008A092D">
        <w:rPr>
          <w:lang w:val="en-US"/>
        </w:rPr>
        <w:t>ould be subject to primary focus by ASCO</w:t>
      </w:r>
      <w:r w:rsidR="00897225">
        <w:rPr>
          <w:lang w:val="en-US"/>
        </w:rPr>
        <w:t xml:space="preserve"> procurement strategy</w:t>
      </w:r>
      <w:r w:rsidR="00741A85">
        <w:rPr>
          <w:lang w:val="en-US"/>
        </w:rPr>
        <w:t xml:space="preserve"> as a transition fuel</w:t>
      </w:r>
      <w:r w:rsidRPr="006048DE">
        <w:rPr>
          <w:lang w:val="en-US"/>
        </w:rPr>
        <w:t>. They can be produced from various feedstocks, including agricultural waste, algae, and animal fats.</w:t>
      </w:r>
      <w:r w:rsidRPr="00BA5024">
        <w:rPr>
          <w:lang w:val="en-US"/>
        </w:rPr>
        <w:t xml:space="preserve"> </w:t>
      </w:r>
      <w:r w:rsidR="00E520E7" w:rsidRPr="00336F3D">
        <w:rPr>
          <w:lang w:val="en-US"/>
        </w:rPr>
        <w:t xml:space="preserve">However, their scalability remains constrained due to </w:t>
      </w:r>
      <w:r w:rsidR="0002582B">
        <w:rPr>
          <w:lang w:val="en-US"/>
        </w:rPr>
        <w:t xml:space="preserve">the potentially </w:t>
      </w:r>
      <w:r w:rsidR="00E520E7" w:rsidRPr="00FA7359">
        <w:rPr>
          <w:lang w:val="en-US"/>
        </w:rPr>
        <w:t xml:space="preserve">intense competition for </w:t>
      </w:r>
      <w:r w:rsidR="009B3336">
        <w:rPr>
          <w:lang w:val="en-US"/>
        </w:rPr>
        <w:t xml:space="preserve">such </w:t>
      </w:r>
      <w:r w:rsidR="00E520E7" w:rsidRPr="00FA7359">
        <w:rPr>
          <w:lang w:val="en-US"/>
        </w:rPr>
        <w:t xml:space="preserve">resources, </w:t>
      </w:r>
      <w:r w:rsidR="009B3336">
        <w:rPr>
          <w:lang w:val="en-US"/>
        </w:rPr>
        <w:t xml:space="preserve">currently </w:t>
      </w:r>
      <w:r w:rsidR="00E520E7" w:rsidRPr="00FA7359">
        <w:rPr>
          <w:lang w:val="en-US"/>
        </w:rPr>
        <w:t>limited production capacity, and environmental concerns. Aviation, road transport, and various hard-to-abate industries are all competing for the same</w:t>
      </w:r>
      <w:r w:rsidR="009B3336">
        <w:rPr>
          <w:lang w:val="en-US"/>
        </w:rPr>
        <w:t xml:space="preserve"> profile of</w:t>
      </w:r>
      <w:r w:rsidR="00E520E7" w:rsidRPr="00FA7359">
        <w:rPr>
          <w:lang w:val="en-US"/>
        </w:rPr>
        <w:t xml:space="preserve"> biomass resources, which </w:t>
      </w:r>
      <w:r w:rsidR="009B3336">
        <w:rPr>
          <w:lang w:val="en-US"/>
        </w:rPr>
        <w:t xml:space="preserve">would </w:t>
      </w:r>
      <w:r w:rsidR="00E520E7" w:rsidRPr="00336F3D">
        <w:rPr>
          <w:lang w:val="en-US"/>
        </w:rPr>
        <w:t>place tremendous pressure on supply. By 2030, combined demand from these sectors is expected to absorb more than 75% of the projected increase in global biofuel production, according to the International Energy Agency (IEA)</w:t>
      </w:r>
      <w:r w:rsidR="00B34A1B">
        <w:rPr>
          <w:rStyle w:val="Appelnotedebasdep"/>
          <w:lang w:val="en-US"/>
        </w:rPr>
        <w:footnoteReference w:id="22"/>
      </w:r>
      <w:r w:rsidR="00B34A1B">
        <w:rPr>
          <w:rStyle w:val="Appelnotedebasdep"/>
          <w:lang w:val="en-US"/>
        </w:rPr>
        <w:footnoteReference w:id="23"/>
      </w:r>
      <w:r w:rsidR="00E520E7" w:rsidRPr="00336F3D">
        <w:rPr>
          <w:lang w:val="en-US"/>
        </w:rPr>
        <w:t xml:space="preserve">. For the maritime sector </w:t>
      </w:r>
      <w:r w:rsidR="00E520E7" w:rsidRPr="00336F3D">
        <w:rPr>
          <w:lang w:val="en-US"/>
        </w:rPr>
        <w:lastRenderedPageBreak/>
        <w:t xml:space="preserve">specifically, meeting IMO targets would require between 7 and 48 million </w:t>
      </w:r>
      <w:r w:rsidR="00711FCE" w:rsidRPr="00711FCE">
        <w:rPr>
          <w:lang w:val="en-US"/>
        </w:rPr>
        <w:t>tons</w:t>
      </w:r>
      <w:r w:rsidR="00E520E7" w:rsidRPr="00336F3D">
        <w:rPr>
          <w:lang w:val="en-US"/>
        </w:rPr>
        <w:t xml:space="preserve"> of oil equivalent (Mtoe) by 2030, yet the total capacity of ongoing and announced low-carbon fuel projects is estimated at only 44 to 63 Mtoe.</w:t>
      </w:r>
      <w:r w:rsidR="00B04F4D">
        <w:rPr>
          <w:rStyle w:val="Appelnotedebasdep"/>
          <w:lang w:val="en-US"/>
        </w:rPr>
        <w:footnoteReference w:id="24"/>
      </w:r>
      <w:r w:rsidR="00206BCF" w:rsidRPr="00336F3D">
        <w:rPr>
          <w:lang w:val="en-US"/>
        </w:rPr>
        <w:t xml:space="preserve">In addition, expanding biofuel production </w:t>
      </w:r>
      <w:r w:rsidR="005918B6">
        <w:rPr>
          <w:lang w:val="en-US"/>
        </w:rPr>
        <w:t>comes with</w:t>
      </w:r>
      <w:r w:rsidR="00206BCF" w:rsidRPr="00FA7359">
        <w:rPr>
          <w:lang w:val="en-US"/>
        </w:rPr>
        <w:t xml:space="preserve"> sustainability and regulatory hurdles. The use of agricultural lands for biofuel feedstock </w:t>
      </w:r>
      <w:r w:rsidR="001F4E96">
        <w:rPr>
          <w:lang w:val="en-US"/>
        </w:rPr>
        <w:t>could lead to the rise of</w:t>
      </w:r>
      <w:r w:rsidR="00206BCF" w:rsidRPr="00336F3D">
        <w:rPr>
          <w:lang w:val="en-US"/>
        </w:rPr>
        <w:t xml:space="preserve"> significant environmental consequences, including deforestation and carbon releases from soil, leading to a so-called "carbon debt"</w:t>
      </w:r>
      <w:r w:rsidR="00775990">
        <w:rPr>
          <w:rStyle w:val="Appelnotedebasdep"/>
          <w:lang w:val="en-US"/>
        </w:rPr>
        <w:footnoteReference w:id="25"/>
      </w:r>
      <w:r w:rsidR="001F4E96">
        <w:rPr>
          <w:lang w:val="en-US"/>
        </w:rPr>
        <w:t xml:space="preserve"> </w:t>
      </w:r>
      <w:r w:rsidR="00F43E90">
        <w:rPr>
          <w:lang w:val="en-US"/>
        </w:rPr>
        <w:t>if environmental procurement rules are not integrated in the company’s procurement policy.</w:t>
      </w:r>
      <w:r w:rsidR="00F43E90" w:rsidRPr="00853979">
        <w:rPr>
          <w:lang w:val="en-US"/>
        </w:rPr>
        <w:t xml:space="preserve"> </w:t>
      </w:r>
      <w:r w:rsidR="00206BCF" w:rsidRPr="00A90BEC">
        <w:rPr>
          <w:lang w:val="en-US"/>
        </w:rPr>
        <w:t>Stricter sustainability requirements, such as those under the EU's RED-III directive, may further limit the availability of suitable resources</w:t>
      </w:r>
      <w:r w:rsidR="000518D6">
        <w:rPr>
          <w:rStyle w:val="Appelnotedebasdep"/>
          <w:lang w:val="en-US"/>
        </w:rPr>
        <w:footnoteReference w:id="26"/>
      </w:r>
      <w:r w:rsidR="00206BCF" w:rsidRPr="00A90BEC">
        <w:rPr>
          <w:lang w:val="en-US"/>
        </w:rPr>
        <w:t xml:space="preserve">. These constraints make it clear that first-generation biofuels, derived directly from food crops, </w:t>
      </w:r>
      <w:r w:rsidR="00017940">
        <w:rPr>
          <w:lang w:val="en-US"/>
        </w:rPr>
        <w:t>are likely to</w:t>
      </w:r>
      <w:r w:rsidR="00206BCF" w:rsidRPr="00FA7359">
        <w:rPr>
          <w:lang w:val="en-US"/>
        </w:rPr>
        <w:t xml:space="preserve"> be insufficient to meet demand. </w:t>
      </w:r>
      <w:r w:rsidR="00017940">
        <w:rPr>
          <w:lang w:val="en-US"/>
        </w:rPr>
        <w:t>As an example</w:t>
      </w:r>
      <w:r w:rsidR="00206BCF" w:rsidRPr="00A90BEC">
        <w:rPr>
          <w:lang w:val="en-US"/>
        </w:rPr>
        <w:t>, producing 1 Mtoe of biodiesel requires approximately 1.2 to 1.5 million hectares of farmland.</w:t>
      </w:r>
      <w:r w:rsidR="00A74383">
        <w:rPr>
          <w:rStyle w:val="Appelnotedebasdep"/>
          <w:lang w:val="en-US"/>
        </w:rPr>
        <w:footnoteReference w:id="27"/>
      </w:r>
      <w:r w:rsidR="00017940">
        <w:rPr>
          <w:lang w:val="en-US"/>
        </w:rPr>
        <w:t xml:space="preserve"> </w:t>
      </w:r>
      <w:r w:rsidR="00206BCF" w:rsidRPr="00A90BEC">
        <w:rPr>
          <w:lang w:val="en-US"/>
        </w:rPr>
        <w:t>Thus, meeting the maritime sector's potential demand of 48 Mtoe by 2030 would require 58 to 72 million hectares, an area comparable to the size of France</w:t>
      </w:r>
      <w:r w:rsidR="003D36D7">
        <w:rPr>
          <w:lang w:val="en-US"/>
        </w:rPr>
        <w:t xml:space="preserve">. </w:t>
      </w:r>
      <w:r w:rsidR="003D36D7" w:rsidRPr="00A90BEC">
        <w:rPr>
          <w:lang w:val="en-US"/>
        </w:rPr>
        <w:t>This highlights the need to</w:t>
      </w:r>
      <w:r w:rsidR="00017940">
        <w:rPr>
          <w:lang w:val="en-US"/>
        </w:rPr>
        <w:t xml:space="preserve"> diversify its biofuels procurement sources and </w:t>
      </w:r>
      <w:r w:rsidR="00715DD4">
        <w:rPr>
          <w:lang w:val="en-US"/>
        </w:rPr>
        <w:t>progressively</w:t>
      </w:r>
      <w:r w:rsidR="003D36D7" w:rsidRPr="00A90BEC">
        <w:rPr>
          <w:lang w:val="en-US"/>
        </w:rPr>
        <w:t xml:space="preserve"> shift towards advanced biofuels derived from waste, residues, or algae</w:t>
      </w:r>
      <w:r w:rsidR="003D36D7">
        <w:rPr>
          <w:lang w:val="en-US"/>
        </w:rPr>
        <w:t xml:space="preserve"> and to </w:t>
      </w:r>
      <w:r w:rsidR="00715DD4">
        <w:rPr>
          <w:lang w:val="en-US"/>
        </w:rPr>
        <w:t>reach a mix</w:t>
      </w:r>
      <w:r w:rsidR="003D36D7">
        <w:rPr>
          <w:lang w:val="en-US"/>
        </w:rPr>
        <w:t xml:space="preserve"> of biofuels </w:t>
      </w:r>
      <w:r w:rsidR="008030AD">
        <w:rPr>
          <w:lang w:val="en-US"/>
        </w:rPr>
        <w:t>that includes</w:t>
      </w:r>
      <w:r w:rsidR="003D36D7">
        <w:rPr>
          <w:lang w:val="en-US"/>
        </w:rPr>
        <w:t xml:space="preserve"> </w:t>
      </w:r>
      <w:proofErr w:type="spellStart"/>
      <w:r w:rsidR="003D36D7">
        <w:rPr>
          <w:lang w:val="en-US"/>
        </w:rPr>
        <w:t>electrofuels</w:t>
      </w:r>
      <w:proofErr w:type="spellEnd"/>
      <w:r w:rsidR="003D36D7">
        <w:rPr>
          <w:lang w:val="en-US"/>
        </w:rPr>
        <w:t>.</w:t>
      </w:r>
    </w:p>
    <w:p w14:paraId="7D19A8B5" w14:textId="6988D25D" w:rsidR="00A21FAC" w:rsidRDefault="00F97C0F" w:rsidP="008B6A94">
      <w:pPr>
        <w:rPr>
          <w:lang w:val="en-US"/>
        </w:rPr>
      </w:pPr>
      <w:proofErr w:type="spellStart"/>
      <w:r w:rsidRPr="00FA7359">
        <w:rPr>
          <w:lang w:val="en-US"/>
        </w:rPr>
        <w:t>Electrofuels</w:t>
      </w:r>
      <w:proofErr w:type="spellEnd"/>
      <w:r w:rsidRPr="00FA7359">
        <w:rPr>
          <w:lang w:val="en-US"/>
        </w:rPr>
        <w:t xml:space="preserve"> such as green ammonia and hydrogen present a promising complementary solution for long-term decarbonization, but their deployment faces significant uncertainties. Producing e-fuels requires substantial renewable electricity and advanced technologies, particularly electrolysis. Decarbonizing just 10% of the fuel needs for aviation and shipping </w:t>
      </w:r>
      <w:r w:rsidR="00156BF5">
        <w:rPr>
          <w:lang w:val="en-US"/>
        </w:rPr>
        <w:t xml:space="preserve">sectors </w:t>
      </w:r>
      <w:r w:rsidRPr="00FA7359">
        <w:rPr>
          <w:lang w:val="en-US"/>
        </w:rPr>
        <w:t xml:space="preserve">by 2030 would require 330 GW of </w:t>
      </w:r>
      <w:proofErr w:type="spellStart"/>
      <w:r w:rsidRPr="00FA7359">
        <w:rPr>
          <w:lang w:val="en-US"/>
        </w:rPr>
        <w:t>electrolyzer</w:t>
      </w:r>
      <w:proofErr w:type="spellEnd"/>
      <w:r w:rsidRPr="00FA7359">
        <w:rPr>
          <w:lang w:val="en-US"/>
        </w:rPr>
        <w:t xml:space="preserve"> capacity for aviation and 130 GW for shipping, </w:t>
      </w:r>
      <w:r w:rsidR="00156BF5">
        <w:rPr>
          <w:lang w:val="en-US"/>
        </w:rPr>
        <w:t>set aside</w:t>
      </w:r>
      <w:r w:rsidRPr="00FA7359">
        <w:rPr>
          <w:lang w:val="en-US"/>
        </w:rPr>
        <w:t xml:space="preserve"> </w:t>
      </w:r>
      <w:r w:rsidR="00156BF5">
        <w:rPr>
          <w:lang w:val="en-US"/>
        </w:rPr>
        <w:t>the</w:t>
      </w:r>
      <w:r w:rsidRPr="00203571">
        <w:rPr>
          <w:lang w:val="en-US"/>
        </w:rPr>
        <w:t xml:space="preserve"> demand from other sectors. Currently, the announced manufacturing capacity for electrolysis is expected to reach only 155 GW per year by 2030, well below the required levels.</w:t>
      </w:r>
      <w:r w:rsidR="00975C42">
        <w:rPr>
          <w:rStyle w:val="Appelnotedebasdep"/>
          <w:lang w:val="en-US"/>
        </w:rPr>
        <w:t>2</w:t>
      </w:r>
      <w:r w:rsidR="00F147C1" w:rsidRPr="00203571">
        <w:rPr>
          <w:rStyle w:val="Appelnotedebasdep"/>
          <w:lang w:val="en-US"/>
        </w:rPr>
        <w:t>1</w:t>
      </w:r>
      <w:r w:rsidR="00F147C1" w:rsidRPr="00203571">
        <w:rPr>
          <w:lang w:val="en-US"/>
        </w:rPr>
        <w:t xml:space="preserve"> </w:t>
      </w:r>
      <w:r w:rsidRPr="00203571">
        <w:rPr>
          <w:lang w:val="en-US"/>
        </w:rPr>
        <w:t xml:space="preserve">Moreover, adopting e-fuels necessitates extensive infrastructure investments, including the construction of </w:t>
      </w:r>
      <w:proofErr w:type="spellStart"/>
      <w:r w:rsidRPr="00203571">
        <w:rPr>
          <w:lang w:val="en-US"/>
        </w:rPr>
        <w:t>electrolyzer</w:t>
      </w:r>
      <w:proofErr w:type="spellEnd"/>
      <w:r w:rsidRPr="00203571">
        <w:rPr>
          <w:lang w:val="en-US"/>
        </w:rPr>
        <w:t xml:space="preserve"> facilities and the development of compatible supply chains. In addition to these logistical hurdles, fleets must be partially renewed or retrofitted to use e-fuels effectively, further increasing costs and complexity.</w:t>
      </w:r>
      <w:r w:rsidR="00EC0A8C">
        <w:rPr>
          <w:lang w:val="en-US"/>
        </w:rPr>
        <w:t xml:space="preserve"> </w:t>
      </w:r>
      <w:r w:rsidRPr="00FA7359">
        <w:rPr>
          <w:lang w:val="en-US"/>
        </w:rPr>
        <w:t xml:space="preserve"> Finally, the production of e-fuels would place additional pressure on renewable electricity resources. For example, decarbonizing aviation and maritime transport with e-fuels by 2030 could consume over 20% of the global growth in low-emission electricity during this period.</w:t>
      </w:r>
    </w:p>
    <w:p w14:paraId="5AC357DA" w14:textId="77C46775" w:rsidR="008B6A94" w:rsidRPr="006048DE" w:rsidRDefault="00F65D49" w:rsidP="008B6A94">
      <w:pPr>
        <w:rPr>
          <w:lang w:val="en-US"/>
        </w:rPr>
      </w:pPr>
      <w:r>
        <w:rPr>
          <w:lang w:val="en-US"/>
        </w:rPr>
        <w:t>Maritime transportation company will have to shift towards a new paradigm from fleet composed with vessels with one or two different types of fuels towards a fleet of vessels with multiple and complementary technologies to incorporate low carbon fuels and keep its activity to similar levels.</w:t>
      </w:r>
      <w:r w:rsidR="00A21FAC" w:rsidRPr="00FA7359">
        <w:rPr>
          <w:lang w:val="en-US"/>
        </w:rPr>
        <w:t xml:space="preserve"> ASCO </w:t>
      </w:r>
      <w:r w:rsidR="00DC2C43">
        <w:rPr>
          <w:lang w:val="en-US"/>
        </w:rPr>
        <w:t xml:space="preserve">would benefit in </w:t>
      </w:r>
      <w:r w:rsidR="00A21FAC" w:rsidRPr="00FA7359">
        <w:rPr>
          <w:lang w:val="en-US"/>
        </w:rPr>
        <w:t>diversify</w:t>
      </w:r>
      <w:r w:rsidR="00DC2C43">
        <w:rPr>
          <w:lang w:val="en-US"/>
        </w:rPr>
        <w:t>ing</w:t>
      </w:r>
      <w:r w:rsidR="00A21FAC" w:rsidRPr="00FA7359">
        <w:rPr>
          <w:lang w:val="en-US"/>
        </w:rPr>
        <w:t xml:space="preserve"> its fuel sources to reduce dependency on a single technology, establish strategic partnerships</w:t>
      </w:r>
      <w:r w:rsidR="00A01168">
        <w:rPr>
          <w:lang w:val="en-US"/>
        </w:rPr>
        <w:t xml:space="preserve"> with producers and suppliers</w:t>
      </w:r>
      <w:r w:rsidR="00A21FAC" w:rsidRPr="00FA7359">
        <w:rPr>
          <w:lang w:val="en-US"/>
        </w:rPr>
        <w:t xml:space="preserve"> to secure access to advanced biofuels and </w:t>
      </w:r>
      <w:proofErr w:type="spellStart"/>
      <w:r w:rsidR="00A21FAC" w:rsidRPr="00FA7359">
        <w:rPr>
          <w:lang w:val="en-US"/>
        </w:rPr>
        <w:t>electrofuels</w:t>
      </w:r>
      <w:proofErr w:type="spellEnd"/>
      <w:r w:rsidR="00A21FAC" w:rsidRPr="00FA7359">
        <w:rPr>
          <w:lang w:val="en-US"/>
        </w:rPr>
        <w:t>, and prepare its infrastructure and fleets to accommodate next-generation fuels.</w:t>
      </w:r>
      <w:r w:rsidR="00DC2C43">
        <w:rPr>
          <w:lang w:val="en-US"/>
        </w:rPr>
        <w:t xml:space="preserve"> </w:t>
      </w:r>
      <w:r w:rsidR="00A01168">
        <w:rPr>
          <w:lang w:val="en-US"/>
        </w:rPr>
        <w:t xml:space="preserve">ASCO could also consider </w:t>
      </w:r>
      <w:r w:rsidR="003E321F">
        <w:rPr>
          <w:lang w:val="en-US"/>
        </w:rPr>
        <w:t>securing</w:t>
      </w:r>
      <w:r w:rsidR="00A01168">
        <w:rPr>
          <w:lang w:val="en-US"/>
        </w:rPr>
        <w:t xml:space="preserve"> its procurement of biofuels by purchasing a company </w:t>
      </w:r>
      <w:r w:rsidR="003E321F">
        <w:rPr>
          <w:lang w:val="en-US"/>
        </w:rPr>
        <w:t xml:space="preserve">operating in this sector. </w:t>
      </w:r>
    </w:p>
    <w:p w14:paraId="130E2415" w14:textId="77777777" w:rsidR="008B6A94" w:rsidRPr="006048DE" w:rsidRDefault="008B6A94" w:rsidP="008B6A94">
      <w:pPr>
        <w:rPr>
          <w:lang w:val="en-US"/>
        </w:rPr>
      </w:pPr>
    </w:p>
    <w:p w14:paraId="208B03F6" w14:textId="77777777" w:rsidR="008B6A94" w:rsidRDefault="008B6A94" w:rsidP="008B6A94">
      <w:pPr>
        <w:rPr>
          <w:lang w:val="en-US"/>
        </w:rPr>
      </w:pPr>
    </w:p>
    <w:p w14:paraId="1023AF0A" w14:textId="77777777" w:rsidR="008B6A94" w:rsidRPr="00367C0B" w:rsidRDefault="008B6A94" w:rsidP="008B6A94">
      <w:pPr>
        <w:keepNext/>
        <w:jc w:val="center"/>
        <w:rPr>
          <w:lang w:val="en-US"/>
        </w:rPr>
      </w:pPr>
      <w:r w:rsidRPr="00367C0B">
        <w:rPr>
          <w:noProof/>
          <w:lang w:val="en-US"/>
        </w:rPr>
        <w:lastRenderedPageBreak/>
        <w:drawing>
          <wp:inline distT="0" distB="0" distL="0" distR="0" wp14:anchorId="6950F0CB" wp14:editId="40D6B087">
            <wp:extent cx="5873520" cy="3314789"/>
            <wp:effectExtent l="0" t="0" r="0" b="0"/>
            <wp:docPr id="23008432" name="Picture 1">
              <a:extLst xmlns:a="http://schemas.openxmlformats.org/drawingml/2006/main">
                <a:ext uri="{FF2B5EF4-FFF2-40B4-BE49-F238E27FC236}">
                  <a16:creationId xmlns:a16="http://schemas.microsoft.com/office/drawing/2014/main" id="{3BA0D1BC-2045-2AB6-B0A9-FCF9008EEF4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3BA0D1BC-2045-2AB6-B0A9-FCF9008EEF45}"/>
                        </a:ext>
                      </a:extLst>
                    </pic:cNvPr>
                    <pic:cNvPicPr>
                      <a:picLocks noChangeAspect="1"/>
                    </pic:cNvPicPr>
                  </pic:nvPicPr>
                  <pic:blipFill rotWithShape="1">
                    <a:blip r:embed="rId29"/>
                    <a:srcRect t="13633" b="1"/>
                    <a:stretch/>
                  </pic:blipFill>
                  <pic:spPr bwMode="auto">
                    <a:xfrm>
                      <a:off x="0" y="0"/>
                      <a:ext cx="5917675" cy="3339708"/>
                    </a:xfrm>
                    <a:prstGeom prst="rect">
                      <a:avLst/>
                    </a:prstGeom>
                    <a:ln>
                      <a:noFill/>
                    </a:ln>
                    <a:extLst>
                      <a:ext uri="{53640926-AAD7-44D8-BBD7-CCE9431645EC}">
                        <a14:shadowObscured xmlns:a14="http://schemas.microsoft.com/office/drawing/2010/main"/>
                      </a:ext>
                    </a:extLst>
                  </pic:spPr>
                </pic:pic>
              </a:graphicData>
            </a:graphic>
          </wp:inline>
        </w:drawing>
      </w:r>
    </w:p>
    <w:p w14:paraId="214D82F9" w14:textId="7BD557CF" w:rsidR="008B6A94" w:rsidRDefault="008B6A94" w:rsidP="00FA7359">
      <w:pPr>
        <w:pStyle w:val="Lgende"/>
      </w:pPr>
      <w:r>
        <w:t xml:space="preserve">Figure </w:t>
      </w:r>
      <w:r>
        <w:rPr>
          <w:bCs w:val="0"/>
        </w:rPr>
        <w:fldChar w:fldCharType="begin"/>
      </w:r>
      <w:r>
        <w:instrText xml:space="preserve"> SEQ Figure \* ARABIC </w:instrText>
      </w:r>
      <w:r>
        <w:rPr>
          <w:bCs w:val="0"/>
        </w:rPr>
        <w:fldChar w:fldCharType="separate"/>
      </w:r>
      <w:r w:rsidR="00227941">
        <w:rPr>
          <w:noProof/>
        </w:rPr>
        <w:t>9</w:t>
      </w:r>
      <w:r>
        <w:rPr>
          <w:bCs w:val="0"/>
        </w:rPr>
        <w:fldChar w:fldCharType="end"/>
      </w:r>
      <w:r>
        <w:t>: Estimated supply of carbon-neutral fuels to all sector</w:t>
      </w:r>
      <w:r w:rsidR="00227941">
        <w:t>s</w:t>
      </w:r>
    </w:p>
    <w:p w14:paraId="35A65649" w14:textId="00662827" w:rsidR="008B6A94" w:rsidRPr="009627E4" w:rsidRDefault="00227941" w:rsidP="009627E4">
      <w:pPr>
        <w:rPr>
          <w:b/>
          <w:bCs/>
          <w:lang w:val="en-US"/>
        </w:rPr>
      </w:pPr>
      <w:r>
        <w:rPr>
          <w:b/>
          <w:bCs/>
          <w:lang w:val="en-US"/>
        </w:rPr>
        <w:t xml:space="preserve">ii. </w:t>
      </w:r>
      <w:r w:rsidR="008B6A94" w:rsidRPr="009627E4">
        <w:rPr>
          <w:b/>
          <w:bCs/>
          <w:lang w:val="en-US"/>
        </w:rPr>
        <w:t>Costs and price volatility</w:t>
      </w:r>
    </w:p>
    <w:p w14:paraId="6275301E" w14:textId="0588AFA7" w:rsidR="0069182C" w:rsidRDefault="008B6A94" w:rsidP="008B6A94">
      <w:pPr>
        <w:rPr>
          <w:lang w:val="en-US"/>
        </w:rPr>
      </w:pPr>
      <w:r w:rsidRPr="006B4B54">
        <w:rPr>
          <w:lang w:val="en-US"/>
        </w:rPr>
        <w:t>Currently, biofuels and e-fuels are considerably more expensive than traditional marine fuels like heavy fuel oil (HFO) or marine diesel oil (MDO). This price disparity is driven by the costs of raw materials for biofuel production (such as oilseeds or waste products)</w:t>
      </w:r>
      <w:r w:rsidR="005F0553">
        <w:rPr>
          <w:lang w:val="en-US"/>
        </w:rPr>
        <w:t>,</w:t>
      </w:r>
      <w:r w:rsidRPr="006B4B54">
        <w:rPr>
          <w:lang w:val="en-US"/>
        </w:rPr>
        <w:t xml:space="preserve"> the energy required for e-fuel production</w:t>
      </w:r>
      <w:r w:rsidR="005F0553">
        <w:rPr>
          <w:lang w:val="en-US"/>
        </w:rPr>
        <w:t xml:space="preserve"> a</w:t>
      </w:r>
      <w:r w:rsidR="000B2B50">
        <w:rPr>
          <w:lang w:val="en-US"/>
        </w:rPr>
        <w:t>n</w:t>
      </w:r>
      <w:r w:rsidR="005F0553">
        <w:rPr>
          <w:lang w:val="en-US"/>
        </w:rPr>
        <w:t>d the limited economies of scale in their production</w:t>
      </w:r>
      <w:r w:rsidRPr="006B4B54">
        <w:rPr>
          <w:lang w:val="en-US"/>
        </w:rPr>
        <w:t>.</w:t>
      </w:r>
      <w:r w:rsidR="005F0553">
        <w:rPr>
          <w:lang w:val="en-US"/>
        </w:rPr>
        <w:t xml:space="preserve"> Additionally, sectoral competition for these limited resources</w:t>
      </w:r>
      <w:r w:rsidR="00100357">
        <w:rPr>
          <w:lang w:val="en-US"/>
        </w:rPr>
        <w:t>, driven by parallel decarbonization efforts in aviation, road transport and other industries, is likely to further inflate prices, compounding the financial challenges for shipping operators.</w:t>
      </w:r>
      <w:r w:rsidR="00F97C0F">
        <w:rPr>
          <w:rStyle w:val="Appelnotedebasdep"/>
          <w:lang w:val="en-US"/>
        </w:rPr>
        <w:footnoteReference w:id="28"/>
      </w:r>
    </w:p>
    <w:p w14:paraId="49490177" w14:textId="3BC2A002" w:rsidR="008B6A94" w:rsidRDefault="00954280" w:rsidP="008B6A94">
      <w:pPr>
        <w:rPr>
          <w:lang w:val="en-US"/>
        </w:rPr>
      </w:pPr>
      <w:r w:rsidRPr="00390AE9">
        <w:rPr>
          <w:lang w:val="en-US"/>
        </w:rPr>
        <w:t>Price volatility in both raw materials and energy inputs exacerbates the situation, posing a significant financial risk for ASCO. A reliance on biofuels, which are affected by agricultural yield variability and geopolitical disruptions, or e-fuels, whose costs are tied to fluctuating electricity prices, could introduce unpredictable and escalating fuel expenses. If ASCO cannot secure a stable and affordable supply of these fuels, its operational costs may rise substantially, eroding profit margins and potentially affecting its competitiveness in an industry already under intense pressure to decarbonize</w:t>
      </w:r>
      <w:r w:rsidR="007D0EFE">
        <w:rPr>
          <w:lang w:val="en-US"/>
        </w:rPr>
        <w:t>.</w:t>
      </w:r>
    </w:p>
    <w:p w14:paraId="10CA0EFF" w14:textId="77777777" w:rsidR="008B6A94" w:rsidRPr="00CF4BD6" w:rsidRDefault="008B6A94" w:rsidP="008B6A94">
      <w:pPr>
        <w:pStyle w:val="Paragraphedeliste"/>
        <w:numPr>
          <w:ilvl w:val="0"/>
          <w:numId w:val="25"/>
        </w:numPr>
        <w:ind w:left="993"/>
        <w:rPr>
          <w:b/>
          <w:bCs/>
          <w:lang w:val="en-US"/>
        </w:rPr>
      </w:pPr>
      <w:r w:rsidRPr="00CF4BD6">
        <w:rPr>
          <w:b/>
          <w:bCs/>
          <w:lang w:val="en-US"/>
        </w:rPr>
        <w:t>Infrastructure and technological challenges</w:t>
      </w:r>
    </w:p>
    <w:p w14:paraId="32ADFB2B" w14:textId="3EC5DDA1" w:rsidR="008B6A94" w:rsidRPr="00A03479" w:rsidRDefault="008B6A94" w:rsidP="008B6A94">
      <w:pPr>
        <w:rPr>
          <w:lang w:val="en-US"/>
        </w:rPr>
      </w:pPr>
      <w:r w:rsidRPr="006B4B54">
        <w:rPr>
          <w:lang w:val="en-US"/>
        </w:rPr>
        <w:t xml:space="preserve">As the shipping industry works towards decarbonization, there is a gap in the necessary infrastructure for the production, storage, and distribution of </w:t>
      </w:r>
      <w:r>
        <w:rPr>
          <w:lang w:val="en-US"/>
        </w:rPr>
        <w:t>low-carbon fuels, notably</w:t>
      </w:r>
      <w:r w:rsidRPr="006B4B54">
        <w:rPr>
          <w:lang w:val="en-US"/>
        </w:rPr>
        <w:t xml:space="preserve"> e-fuels</w:t>
      </w:r>
      <w:r>
        <w:rPr>
          <w:lang w:val="en-US"/>
        </w:rPr>
        <w:t xml:space="preserve"> (see table below)</w:t>
      </w:r>
      <w:r w:rsidRPr="006B4B54">
        <w:rPr>
          <w:lang w:val="en-US"/>
        </w:rPr>
        <w:t xml:space="preserve">. This lack of infrastructure could lead to logistical challenges, such as delays in fuel availability or additional costs related to transportation. </w:t>
      </w:r>
      <w:r w:rsidR="004859F7" w:rsidRPr="00FA7359">
        <w:rPr>
          <w:lang w:val="en-US"/>
        </w:rPr>
        <w:t>Several green shipping corridors and low-GHG energy hubs are under development, serving as critical pathways for decarbonizing maritime transport by connecting ports with access to sustainable fuels and infrastructure. However, their current network is limited and does not yet provide comprehensive global coverage.</w:t>
      </w:r>
      <w:r w:rsidRPr="00E82CF6">
        <w:rPr>
          <w:lang w:val="en-US"/>
        </w:rPr>
        <w:t xml:space="preserve"> </w:t>
      </w:r>
      <w:r w:rsidRPr="006B4B54">
        <w:rPr>
          <w:lang w:val="en-US"/>
        </w:rPr>
        <w:t xml:space="preserve">Furthermore, technological advancements in fuel </w:t>
      </w:r>
      <w:r w:rsidRPr="006B4B54">
        <w:rPr>
          <w:lang w:val="en-US"/>
        </w:rPr>
        <w:lastRenderedPageBreak/>
        <w:t>production and retrofitting engines to be compatible with low-carbon fuels are still in the early stages. The slow pace of these innovations may fail to meet regulatory deadlines, placing pressure on ASCO to adopt new technologies that are still evolving and not fully commercialized.</w:t>
      </w:r>
    </w:p>
    <w:p w14:paraId="578972BE" w14:textId="77777777" w:rsidR="008B6A94" w:rsidRDefault="008B6A94" w:rsidP="008B6A94">
      <w:pPr>
        <w:rPr>
          <w:lang w:val="en-US"/>
        </w:rPr>
      </w:pPr>
    </w:p>
    <w:p w14:paraId="4F03BFDC" w14:textId="77777777" w:rsidR="008B6A94" w:rsidRPr="00367C0B" w:rsidRDefault="008B6A94" w:rsidP="008B6A94">
      <w:pPr>
        <w:keepNext/>
        <w:rPr>
          <w:lang w:val="en-US"/>
        </w:rPr>
      </w:pPr>
      <w:r w:rsidRPr="00682C3D">
        <w:rPr>
          <w:noProof/>
          <w:lang w:val="en-US"/>
        </w:rPr>
        <w:drawing>
          <wp:inline distT="0" distB="0" distL="0" distR="0" wp14:anchorId="6BDADEDD" wp14:editId="46A4B281">
            <wp:extent cx="6155294" cy="2763130"/>
            <wp:effectExtent l="0" t="0" r="0" b="0"/>
            <wp:docPr id="9469784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405370" name=""/>
                    <pic:cNvPicPr/>
                  </pic:nvPicPr>
                  <pic:blipFill rotWithShape="1">
                    <a:blip r:embed="rId30"/>
                    <a:srcRect t="13834"/>
                    <a:stretch/>
                  </pic:blipFill>
                  <pic:spPr bwMode="auto">
                    <a:xfrm>
                      <a:off x="0" y="0"/>
                      <a:ext cx="6166415" cy="2768122"/>
                    </a:xfrm>
                    <a:prstGeom prst="rect">
                      <a:avLst/>
                    </a:prstGeom>
                    <a:ln>
                      <a:noFill/>
                    </a:ln>
                    <a:extLst>
                      <a:ext uri="{53640926-AAD7-44D8-BBD7-CCE9431645EC}">
                        <a14:shadowObscured xmlns:a14="http://schemas.microsoft.com/office/drawing/2010/main"/>
                      </a:ext>
                    </a:extLst>
                  </pic:spPr>
                </pic:pic>
              </a:graphicData>
            </a:graphic>
          </wp:inline>
        </w:drawing>
      </w:r>
    </w:p>
    <w:p w14:paraId="14445803" w14:textId="6EB5C71B" w:rsidR="008B6A94" w:rsidRPr="00384562" w:rsidRDefault="008B6A94" w:rsidP="00384562">
      <w:pPr>
        <w:pStyle w:val="Lgende"/>
        <w:jc w:val="both"/>
      </w:pPr>
      <w:r>
        <w:t xml:space="preserve">Figure </w:t>
      </w:r>
      <w:r>
        <w:fldChar w:fldCharType="begin"/>
      </w:r>
      <w:r>
        <w:instrText xml:space="preserve"> SEQ Figure \* ARABIC </w:instrText>
      </w:r>
      <w:r>
        <w:fldChar w:fldCharType="separate"/>
      </w:r>
      <w:r w:rsidR="00227941">
        <w:rPr>
          <w:noProof/>
        </w:rPr>
        <w:t>10</w:t>
      </w:r>
      <w:r>
        <w:fldChar w:fldCharType="end"/>
      </w:r>
      <w:r>
        <w:t>: High level screening of the readiness level of distribution, storage and bunkering infrastructures for different fuel types</w:t>
      </w:r>
      <w:r w:rsidR="00FC5A0F">
        <w:t xml:space="preserve"> at global level</w:t>
      </w:r>
      <w:r>
        <w:rPr>
          <w:rStyle w:val="Appelnotedebasdep"/>
        </w:rPr>
        <w:footnoteReference w:id="29"/>
      </w:r>
    </w:p>
    <w:p w14:paraId="1CF11F78" w14:textId="77777777" w:rsidR="008B6A94" w:rsidRPr="00367C0B" w:rsidRDefault="008B6A94" w:rsidP="008B6A94">
      <w:pPr>
        <w:rPr>
          <w:b/>
          <w:sz w:val="18"/>
          <w:szCs w:val="18"/>
          <w:lang w:val="en-US"/>
        </w:rPr>
      </w:pPr>
    </w:p>
    <w:p w14:paraId="0008B051" w14:textId="7BD9D7E3" w:rsidR="00C6719F" w:rsidRDefault="00C6719F" w:rsidP="008526C5">
      <w:pPr>
        <w:pStyle w:val="Titre3"/>
        <w:numPr>
          <w:ilvl w:val="1"/>
          <w:numId w:val="23"/>
        </w:numPr>
        <w:ind w:left="993"/>
        <w:rPr>
          <w:lang w:val="en-US"/>
        </w:rPr>
      </w:pPr>
      <w:bookmarkStart w:id="40" w:name="_Toc183015108"/>
      <w:r>
        <w:rPr>
          <w:lang w:val="en-US"/>
        </w:rPr>
        <w:t xml:space="preserve">Reduction of oil and gas </w:t>
      </w:r>
      <w:r w:rsidR="00F804A0">
        <w:rPr>
          <w:lang w:val="en-US"/>
        </w:rPr>
        <w:t>demand</w:t>
      </w:r>
      <w:bookmarkEnd w:id="40"/>
    </w:p>
    <w:p w14:paraId="61D3466B" w14:textId="7B7DFAD9" w:rsidR="00826FD3" w:rsidRPr="003E4ABE" w:rsidRDefault="005D29C2" w:rsidP="000716AE">
      <w:pPr>
        <w:rPr>
          <w:lang w:val="en-US"/>
        </w:rPr>
      </w:pPr>
      <w:r w:rsidRPr="005D29C2">
        <w:rPr>
          <w:lang w:val="en-US"/>
        </w:rPr>
        <w:t xml:space="preserve">A significant portion of ASCO's revenue is linked to oil and gas activities in the Caspian Sea basin and neighboring countries. Whether through its freight transport operations or its specialized fleet for offshore oil and gas </w:t>
      </w:r>
      <w:r>
        <w:rPr>
          <w:lang w:val="en-US"/>
        </w:rPr>
        <w:t>platforms</w:t>
      </w:r>
      <w:r w:rsidRPr="005D29C2">
        <w:rPr>
          <w:lang w:val="en-US"/>
        </w:rPr>
        <w:t xml:space="preserve"> in the Caspian Sea, ASCO positions itself as a key player in the supply chain between Asia and Europe.</w:t>
      </w:r>
      <w:r w:rsidR="00826FD3">
        <w:rPr>
          <w:lang w:val="en-US"/>
        </w:rPr>
        <w:t xml:space="preserve"> </w:t>
      </w:r>
      <w:r w:rsidR="00826FD3" w:rsidRPr="003E4ABE">
        <w:rPr>
          <w:lang w:val="en-US"/>
        </w:rPr>
        <w:t xml:space="preserve">In a potentially low-carbon world where countries strive to reduce their dependence on fossil fuel emissions and transition towards a decarbonized industry, the demand for fossil energy such as oil and gas could decline over the coming decades. </w:t>
      </w:r>
      <w:r w:rsidR="00ED313E">
        <w:rPr>
          <w:lang w:val="en-US"/>
        </w:rPr>
        <w:t>In the medium to long-term, t</w:t>
      </w:r>
      <w:r w:rsidR="00826FD3" w:rsidRPr="003E4ABE">
        <w:rPr>
          <w:lang w:val="en-US"/>
        </w:rPr>
        <w:t xml:space="preserve">his </w:t>
      </w:r>
      <w:r w:rsidR="00C84FEB">
        <w:rPr>
          <w:lang w:val="en-US"/>
        </w:rPr>
        <w:t>could</w:t>
      </w:r>
      <w:r w:rsidR="00826FD3" w:rsidRPr="003E4ABE">
        <w:rPr>
          <w:lang w:val="en-US"/>
        </w:rPr>
        <w:t xml:space="preserve"> pose a significant transition risk for ASCO, which could see its revenues </w:t>
      </w:r>
      <w:r w:rsidR="00C84FEB">
        <w:rPr>
          <w:lang w:val="en-US"/>
        </w:rPr>
        <w:t>significant</w:t>
      </w:r>
      <w:r w:rsidR="0056323B">
        <w:rPr>
          <w:lang w:val="en-US"/>
        </w:rPr>
        <w:t>ly</w:t>
      </w:r>
      <w:r w:rsidR="00826FD3" w:rsidRPr="003E4ABE">
        <w:rPr>
          <w:lang w:val="en-US"/>
        </w:rPr>
        <w:t xml:space="preserve"> decrease</w:t>
      </w:r>
      <w:r w:rsidR="00E12E74">
        <w:rPr>
          <w:lang w:val="en-US"/>
        </w:rPr>
        <w:t xml:space="preserve">, specifically in its </w:t>
      </w:r>
      <w:r w:rsidR="0096201D">
        <w:rPr>
          <w:lang w:val="en-US"/>
        </w:rPr>
        <w:t>specialized offshore fleet activity.</w:t>
      </w:r>
    </w:p>
    <w:p w14:paraId="011CD34B" w14:textId="12933270" w:rsidR="00A63CE4" w:rsidRPr="00FD16F0" w:rsidRDefault="0067249A" w:rsidP="00EB7B08">
      <w:pPr>
        <w:pStyle w:val="Paragraphedeliste"/>
        <w:numPr>
          <w:ilvl w:val="2"/>
          <w:numId w:val="27"/>
        </w:numPr>
        <w:ind w:left="993"/>
        <w:rPr>
          <w:b/>
          <w:lang w:val="en-US"/>
        </w:rPr>
      </w:pPr>
      <w:r w:rsidRPr="00FD16F0">
        <w:rPr>
          <w:b/>
          <w:lang w:val="en-US"/>
        </w:rPr>
        <w:t>Evolution of the demand in oil</w:t>
      </w:r>
    </w:p>
    <w:p w14:paraId="0BB45460" w14:textId="77777777" w:rsidR="00680FCC" w:rsidRDefault="000A7F3E" w:rsidP="009D5775">
      <w:pPr>
        <w:rPr>
          <w:lang w:val="en-US"/>
        </w:rPr>
      </w:pPr>
      <w:r w:rsidRPr="000A7F3E">
        <w:rPr>
          <w:lang w:val="en-US"/>
        </w:rPr>
        <w:t xml:space="preserve">Historically, oil demand has been primarily driven by factors such as economic and population growth. Higher economic growth typically leads to increased industrial activity, transportation needs, and energy consumption, all of which drive oil demand. However, global climate policies are increasingly altering this trend. Energy and climate initiatives aimed at reducing greenhouse gas emissions are diminishing industrial reliance on oil, thereby impacting global demand. In Europe, stringent climate policies, energy efficiency improvements, and the adoption of renewable energy sources are particularly influential. </w:t>
      </w:r>
      <w:r w:rsidRPr="000A7F3E">
        <w:rPr>
          <w:lang w:val="en-US"/>
        </w:rPr>
        <w:lastRenderedPageBreak/>
        <w:t xml:space="preserve">The rise of electric vehicles and shifts in transportation behaviors, such as increased use of public transportation and cycling, are key factors contributing to the decline in oil demand. </w:t>
      </w:r>
    </w:p>
    <w:p w14:paraId="745A4DAE" w14:textId="7265C488" w:rsidR="00484E9A" w:rsidRDefault="00680FCC" w:rsidP="00C64461">
      <w:pPr>
        <w:rPr>
          <w:lang w:val="en-US"/>
        </w:rPr>
      </w:pPr>
      <w:r>
        <w:rPr>
          <w:lang w:val="en-US"/>
        </w:rPr>
        <w:t>T</w:t>
      </w:r>
      <w:r w:rsidR="000A7F3E" w:rsidRPr="000A7F3E">
        <w:rPr>
          <w:lang w:val="en-US"/>
        </w:rPr>
        <w:t>he global landscape of oil demand is</w:t>
      </w:r>
      <w:r>
        <w:rPr>
          <w:lang w:val="en-US"/>
        </w:rPr>
        <w:t xml:space="preserve"> therefore</w:t>
      </w:r>
      <w:r w:rsidR="000A7F3E" w:rsidRPr="000A7F3E">
        <w:rPr>
          <w:lang w:val="en-US"/>
        </w:rPr>
        <w:t xml:space="preserve"> evolving</w:t>
      </w:r>
      <w:r>
        <w:rPr>
          <w:lang w:val="en-US"/>
        </w:rPr>
        <w:t xml:space="preserve"> and is heavily influence</w:t>
      </w:r>
      <w:r w:rsidR="00C64461">
        <w:rPr>
          <w:lang w:val="en-US"/>
        </w:rPr>
        <w:t>d</w:t>
      </w:r>
      <w:r>
        <w:rPr>
          <w:lang w:val="en-US"/>
        </w:rPr>
        <w:t xml:space="preserve"> by</w:t>
      </w:r>
      <w:r w:rsidR="00901984">
        <w:rPr>
          <w:lang w:val="en-US"/>
        </w:rPr>
        <w:t xml:space="preserve"> public policies </w:t>
      </w:r>
      <w:r w:rsidR="00902580">
        <w:rPr>
          <w:lang w:val="en-US"/>
        </w:rPr>
        <w:t>mitigating climate change</w:t>
      </w:r>
      <w:r w:rsidR="000A7F3E" w:rsidRPr="000A7F3E">
        <w:rPr>
          <w:lang w:val="en-US"/>
        </w:rPr>
        <w:t xml:space="preserve"> with a</w:t>
      </w:r>
      <w:r w:rsidR="00C64461">
        <w:rPr>
          <w:lang w:val="en-US"/>
        </w:rPr>
        <w:t>n important disparity across regions and countries.</w:t>
      </w:r>
    </w:p>
    <w:p w14:paraId="171AB7E4" w14:textId="25290ABF" w:rsidR="005570A3" w:rsidRDefault="005570A3" w:rsidP="00C64461">
      <w:pPr>
        <w:rPr>
          <w:lang w:val="en-US"/>
        </w:rPr>
      </w:pPr>
      <w:r>
        <w:rPr>
          <w:lang w:val="en-US"/>
        </w:rPr>
        <w:t>According to the World Energy Outlook</w:t>
      </w:r>
      <w:r w:rsidR="0019382C">
        <w:rPr>
          <w:rStyle w:val="Appelnotedebasdep"/>
          <w:lang w:val="en-US"/>
        </w:rPr>
        <w:footnoteReference w:id="30"/>
      </w:r>
      <w:r w:rsidR="00D16D9F">
        <w:rPr>
          <w:lang w:val="en-US"/>
        </w:rPr>
        <w:t>, the</w:t>
      </w:r>
      <w:r w:rsidR="002146D1">
        <w:rPr>
          <w:lang w:val="en-US"/>
        </w:rPr>
        <w:t xml:space="preserve"> global oil demand will peak before 2030 in</w:t>
      </w:r>
      <w:r w:rsidR="00AA7643">
        <w:rPr>
          <w:lang w:val="en-US"/>
        </w:rPr>
        <w:t xml:space="preserve"> the Stated Policies Scenario</w:t>
      </w:r>
      <w:r w:rsidR="00AA7643">
        <w:rPr>
          <w:rStyle w:val="Appelnotedebasdep"/>
          <w:lang w:val="en-US"/>
        </w:rPr>
        <w:footnoteReference w:id="31"/>
      </w:r>
      <w:r w:rsidR="00F1177A">
        <w:rPr>
          <w:lang w:val="en-US"/>
        </w:rPr>
        <w:t xml:space="preserve"> before falling back to 2023 levels in 2035. </w:t>
      </w:r>
      <w:r w:rsidR="006B5DBE">
        <w:rPr>
          <w:lang w:val="en-US"/>
        </w:rPr>
        <w:t xml:space="preserve">In the </w:t>
      </w:r>
      <w:r w:rsidR="00256435">
        <w:rPr>
          <w:lang w:val="en-US"/>
        </w:rPr>
        <w:t>Announced</w:t>
      </w:r>
      <w:r w:rsidR="0025387B">
        <w:rPr>
          <w:lang w:val="en-US"/>
        </w:rPr>
        <w:t xml:space="preserve"> Pledges Scenario</w:t>
      </w:r>
      <w:r w:rsidR="00955AE7">
        <w:rPr>
          <w:lang w:val="en-US"/>
        </w:rPr>
        <w:t xml:space="preserve">, </w:t>
      </w:r>
      <w:r w:rsidR="006D7C0B">
        <w:rPr>
          <w:lang w:val="en-US"/>
        </w:rPr>
        <w:t xml:space="preserve">the oil demand will decrease by </w:t>
      </w:r>
      <w:r w:rsidR="0007658F">
        <w:rPr>
          <w:lang w:val="en-US"/>
        </w:rPr>
        <w:t>17</w:t>
      </w:r>
      <w:r w:rsidR="001D5262">
        <w:rPr>
          <w:lang w:val="en-US"/>
        </w:rPr>
        <w:t xml:space="preserve">% </w:t>
      </w:r>
      <w:r w:rsidR="00A91957">
        <w:rPr>
          <w:lang w:val="en-US"/>
        </w:rPr>
        <w:t>by</w:t>
      </w:r>
      <w:r w:rsidR="001D5262">
        <w:rPr>
          <w:lang w:val="en-US"/>
        </w:rPr>
        <w:t xml:space="preserve"> 20</w:t>
      </w:r>
      <w:r w:rsidR="00A91957">
        <w:rPr>
          <w:lang w:val="en-US"/>
        </w:rPr>
        <w:t>3</w:t>
      </w:r>
      <w:r w:rsidR="001D5262">
        <w:rPr>
          <w:lang w:val="en-US"/>
        </w:rPr>
        <w:t>5</w:t>
      </w:r>
      <w:r w:rsidR="00A91957">
        <w:rPr>
          <w:lang w:val="en-US"/>
        </w:rPr>
        <w:t xml:space="preserve"> while i</w:t>
      </w:r>
      <w:r w:rsidR="00C34677">
        <w:rPr>
          <w:lang w:val="en-US"/>
        </w:rPr>
        <w:t>n the Net Zero</w:t>
      </w:r>
      <w:r w:rsidR="00DD2DDC">
        <w:rPr>
          <w:lang w:val="en-US"/>
        </w:rPr>
        <w:t xml:space="preserve"> Scenario</w:t>
      </w:r>
      <w:r w:rsidR="003E03C5">
        <w:rPr>
          <w:lang w:val="en-US"/>
        </w:rPr>
        <w:t>, global oil demand will</w:t>
      </w:r>
      <w:r w:rsidR="00CC1759">
        <w:rPr>
          <w:lang w:val="en-US"/>
        </w:rPr>
        <w:t xml:space="preserve"> decrease</w:t>
      </w:r>
      <w:r w:rsidR="009B0AC2">
        <w:rPr>
          <w:lang w:val="en-US"/>
        </w:rPr>
        <w:t xml:space="preserve"> by 40% compared with 2023 levels in 2</w:t>
      </w:r>
      <w:r w:rsidR="00C66DEB">
        <w:rPr>
          <w:lang w:val="en-US"/>
        </w:rPr>
        <w:t xml:space="preserve">035 and by </w:t>
      </w:r>
      <w:r w:rsidR="000D0D52">
        <w:rPr>
          <w:lang w:val="en-US"/>
        </w:rPr>
        <w:t>75% in 2050</w:t>
      </w:r>
      <w:r w:rsidR="00C77B4A">
        <w:rPr>
          <w:lang w:val="en-US"/>
        </w:rPr>
        <w:t xml:space="preserve"> with high integration of Electric Vehicles </w:t>
      </w:r>
      <w:r w:rsidR="004D21D8">
        <w:rPr>
          <w:lang w:val="en-US"/>
        </w:rPr>
        <w:t>and high</w:t>
      </w:r>
      <w:r w:rsidR="0028197F">
        <w:rPr>
          <w:lang w:val="en-US"/>
        </w:rPr>
        <w:t xml:space="preserve"> plastic recycling rates</w:t>
      </w:r>
      <w:r w:rsidR="009B4DD7">
        <w:rPr>
          <w:lang w:val="en-US"/>
        </w:rPr>
        <w:t xml:space="preserve"> reducing </w:t>
      </w:r>
      <w:r w:rsidR="0070406C">
        <w:rPr>
          <w:lang w:val="en-US"/>
        </w:rPr>
        <w:t xml:space="preserve">dependence on oil products. </w:t>
      </w:r>
    </w:p>
    <w:p w14:paraId="1AEBAD38" w14:textId="21BCA77B" w:rsidR="000F7589" w:rsidRDefault="000F7589" w:rsidP="00C64461">
      <w:pPr>
        <w:rPr>
          <w:lang w:val="en-US"/>
        </w:rPr>
      </w:pPr>
      <w:r>
        <w:rPr>
          <w:lang w:val="en-US"/>
        </w:rPr>
        <w:t>The global oil demand is however</w:t>
      </w:r>
      <w:r w:rsidR="003A43F4">
        <w:rPr>
          <w:lang w:val="en-US"/>
        </w:rPr>
        <w:t xml:space="preserve"> very </w:t>
      </w:r>
      <w:r w:rsidR="001A1C40">
        <w:rPr>
          <w:lang w:val="en-US"/>
        </w:rPr>
        <w:t>heterogeneous across regions</w:t>
      </w:r>
      <w:r w:rsidR="008E34BB">
        <w:rPr>
          <w:lang w:val="en-US"/>
        </w:rPr>
        <w:t>. As shown in the graph below</w:t>
      </w:r>
      <w:r w:rsidR="006F56A5">
        <w:rPr>
          <w:lang w:val="en-US"/>
        </w:rPr>
        <w:t xml:space="preserve"> from the IEA</w:t>
      </w:r>
      <w:r w:rsidR="008E34BB">
        <w:rPr>
          <w:lang w:val="en-US"/>
        </w:rPr>
        <w:t xml:space="preserve">, </w:t>
      </w:r>
      <w:r w:rsidR="0025473C">
        <w:rPr>
          <w:lang w:val="en-US"/>
        </w:rPr>
        <w:t>Advanced Economies</w:t>
      </w:r>
      <w:r w:rsidR="00532818">
        <w:rPr>
          <w:rStyle w:val="Appelnotedebasdep"/>
          <w:lang w:val="en-US"/>
        </w:rPr>
        <w:footnoteReference w:id="32"/>
      </w:r>
      <w:r w:rsidR="00DB3A60">
        <w:rPr>
          <w:lang w:val="en-US"/>
        </w:rPr>
        <w:t xml:space="preserve"> will see an acceleration</w:t>
      </w:r>
      <w:r w:rsidR="009E5C70">
        <w:rPr>
          <w:lang w:val="en-US"/>
        </w:rPr>
        <w:t xml:space="preserve"> in the decline in oil demand in the STEPs scenario</w:t>
      </w:r>
      <w:r w:rsidR="008C6D5C">
        <w:rPr>
          <w:lang w:val="en-US"/>
        </w:rPr>
        <w:t xml:space="preserve"> while</w:t>
      </w:r>
      <w:r w:rsidR="00121B42">
        <w:rPr>
          <w:lang w:val="en-US"/>
        </w:rPr>
        <w:t xml:space="preserve"> in emerging markets and developing economies, oil demand will continue </w:t>
      </w:r>
      <w:r w:rsidR="001947CF">
        <w:rPr>
          <w:lang w:val="en-US"/>
        </w:rPr>
        <w:t>to slowly grow</w:t>
      </w:r>
      <w:r w:rsidR="00537490">
        <w:rPr>
          <w:lang w:val="en-US"/>
        </w:rPr>
        <w:t xml:space="preserve">. </w:t>
      </w:r>
    </w:p>
    <w:p w14:paraId="68F962B2" w14:textId="77777777" w:rsidR="00227941" w:rsidRDefault="00001C5A" w:rsidP="00390AE9">
      <w:pPr>
        <w:keepNext/>
      </w:pPr>
      <w:r w:rsidRPr="00001C5A">
        <w:rPr>
          <w:noProof/>
          <w:lang w:val="en-US"/>
        </w:rPr>
        <w:drawing>
          <wp:inline distT="0" distB="0" distL="0" distR="0" wp14:anchorId="26D2AB10" wp14:editId="77A16317">
            <wp:extent cx="5759450" cy="3025140"/>
            <wp:effectExtent l="0" t="0" r="0" b="3810"/>
            <wp:docPr id="1606524385" name="Picture 1"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524385" name="Picture 1" descr="A graph of different colored lines&#10;&#10;Description automatically generated"/>
                    <pic:cNvPicPr/>
                  </pic:nvPicPr>
                  <pic:blipFill>
                    <a:blip r:embed="rId31"/>
                    <a:stretch>
                      <a:fillRect/>
                    </a:stretch>
                  </pic:blipFill>
                  <pic:spPr>
                    <a:xfrm>
                      <a:off x="0" y="0"/>
                      <a:ext cx="5759450" cy="3025140"/>
                    </a:xfrm>
                    <a:prstGeom prst="rect">
                      <a:avLst/>
                    </a:prstGeom>
                  </pic:spPr>
                </pic:pic>
              </a:graphicData>
            </a:graphic>
          </wp:inline>
        </w:drawing>
      </w:r>
    </w:p>
    <w:p w14:paraId="51CA2B92" w14:textId="3706F421" w:rsidR="00001C5A" w:rsidRDefault="00227941" w:rsidP="00390AE9">
      <w:pPr>
        <w:pStyle w:val="Lgende"/>
      </w:pPr>
      <w:r>
        <w:t xml:space="preserve">Figure </w:t>
      </w:r>
      <w:r>
        <w:fldChar w:fldCharType="begin"/>
      </w:r>
      <w:r>
        <w:instrText xml:space="preserve"> SEQ Figure \* ARABIC </w:instrText>
      </w:r>
      <w:r>
        <w:fldChar w:fldCharType="separate"/>
      </w:r>
      <w:r>
        <w:rPr>
          <w:noProof/>
        </w:rPr>
        <w:t>12</w:t>
      </w:r>
      <w:r>
        <w:fldChar w:fldCharType="end"/>
      </w:r>
      <w:r>
        <w:t xml:space="preserve">: </w:t>
      </w:r>
      <w:r w:rsidRPr="008A2BD2">
        <w:t>- Oil demand by region, sector and scenario - 2000 - 2050</w:t>
      </w:r>
      <w:r w:rsidR="00B025F4">
        <w:rPr>
          <w:rStyle w:val="Appelnotedebasdep"/>
        </w:rPr>
        <w:footnoteReference w:id="33"/>
      </w:r>
    </w:p>
    <w:p w14:paraId="6B351FBF" w14:textId="7CDC652B" w:rsidR="00537490" w:rsidRPr="00312714" w:rsidRDefault="00FB797B" w:rsidP="00312714">
      <w:pPr>
        <w:jc w:val="center"/>
        <w:rPr>
          <w:sz w:val="20"/>
          <w:szCs w:val="20"/>
          <w:lang w:val="en-US"/>
        </w:rPr>
      </w:pPr>
      <w:r w:rsidRPr="00312714">
        <w:rPr>
          <w:sz w:val="20"/>
          <w:szCs w:val="20"/>
          <w:lang w:val="en-US"/>
        </w:rPr>
        <w:t>Notes:</w:t>
      </w:r>
      <w:r w:rsidR="00191800" w:rsidRPr="00312714">
        <w:rPr>
          <w:sz w:val="20"/>
          <w:szCs w:val="20"/>
          <w:lang w:val="en-US"/>
        </w:rPr>
        <w:t xml:space="preserve"> unit is mb/d</w:t>
      </w:r>
      <w:r w:rsidR="00DA3DBC" w:rsidRPr="00312714">
        <w:rPr>
          <w:sz w:val="20"/>
          <w:szCs w:val="20"/>
          <w:lang w:val="en-US"/>
        </w:rPr>
        <w:t xml:space="preserve"> = million barrels per day; AE = advanced economies; EMDE</w:t>
      </w:r>
      <w:r w:rsidR="00D3314D" w:rsidRPr="00312714">
        <w:rPr>
          <w:sz w:val="20"/>
          <w:szCs w:val="20"/>
          <w:lang w:val="en-US"/>
        </w:rPr>
        <w:t xml:space="preserve"> = emerging market and developing economies; road</w:t>
      </w:r>
      <w:r w:rsidR="00B60E90" w:rsidRPr="00312714">
        <w:rPr>
          <w:sz w:val="20"/>
          <w:szCs w:val="20"/>
          <w:lang w:val="en-US"/>
        </w:rPr>
        <w:t xml:space="preserve"> = road trans</w:t>
      </w:r>
      <w:r w:rsidR="00312714" w:rsidRPr="00312714">
        <w:rPr>
          <w:sz w:val="20"/>
          <w:szCs w:val="20"/>
          <w:lang w:val="en-US"/>
        </w:rPr>
        <w:t>port.</w:t>
      </w:r>
    </w:p>
    <w:p w14:paraId="495CE9CF" w14:textId="77777777" w:rsidR="00312714" w:rsidRPr="00A7314A" w:rsidRDefault="00312714" w:rsidP="009D5775">
      <w:pPr>
        <w:rPr>
          <w:lang w:val="en-US"/>
        </w:rPr>
      </w:pPr>
    </w:p>
    <w:p w14:paraId="4FB9E0E0" w14:textId="670ED2FC" w:rsidR="00094E25" w:rsidRDefault="009D3240" w:rsidP="00094E25">
      <w:pPr>
        <w:spacing w:after="0"/>
        <w:rPr>
          <w:lang w:val="en-US"/>
        </w:rPr>
      </w:pPr>
      <w:r w:rsidRPr="00C627D0">
        <w:rPr>
          <w:lang w:val="en-US"/>
        </w:rPr>
        <w:t>Major</w:t>
      </w:r>
      <w:r w:rsidR="008E302F">
        <w:rPr>
          <w:lang w:val="en-US"/>
        </w:rPr>
        <w:t xml:space="preserve"> global</w:t>
      </w:r>
      <w:r w:rsidRPr="00C627D0">
        <w:rPr>
          <w:lang w:val="en-US"/>
        </w:rPr>
        <w:t xml:space="preserve"> oil</w:t>
      </w:r>
      <w:r w:rsidR="008E302F">
        <w:rPr>
          <w:lang w:val="en-US"/>
        </w:rPr>
        <w:t xml:space="preserve"> and gas</w:t>
      </w:r>
      <w:r w:rsidRPr="00C627D0">
        <w:rPr>
          <w:lang w:val="en-US"/>
        </w:rPr>
        <w:t xml:space="preserve"> producers</w:t>
      </w:r>
      <w:r w:rsidR="00B104FF" w:rsidRPr="00C627D0">
        <w:rPr>
          <w:lang w:val="en-US"/>
        </w:rPr>
        <w:t xml:space="preserve"> </w:t>
      </w:r>
      <w:r w:rsidR="00C627D0" w:rsidRPr="00C627D0">
        <w:rPr>
          <w:lang w:val="en-US"/>
        </w:rPr>
        <w:t>developing</w:t>
      </w:r>
      <w:r w:rsidR="00AB24F5">
        <w:rPr>
          <w:lang w:val="en-US"/>
        </w:rPr>
        <w:t xml:space="preserve"> their own</w:t>
      </w:r>
      <w:r w:rsidR="00C627D0" w:rsidRPr="00C627D0">
        <w:rPr>
          <w:lang w:val="en-US"/>
        </w:rPr>
        <w:t xml:space="preserve"> e</w:t>
      </w:r>
      <w:r w:rsidR="00C627D0">
        <w:rPr>
          <w:lang w:val="en-US"/>
        </w:rPr>
        <w:t xml:space="preserve">nergy outlooks </w:t>
      </w:r>
      <w:r w:rsidR="005C297A">
        <w:rPr>
          <w:lang w:val="en-US"/>
        </w:rPr>
        <w:t xml:space="preserve">such as BP or </w:t>
      </w:r>
      <w:r w:rsidR="00240EE7">
        <w:rPr>
          <w:lang w:val="en-US"/>
        </w:rPr>
        <w:t>TotalEnergies</w:t>
      </w:r>
      <w:r w:rsidR="005C297A">
        <w:rPr>
          <w:lang w:val="en-US"/>
        </w:rPr>
        <w:t xml:space="preserve"> are also </w:t>
      </w:r>
      <w:r w:rsidR="00E43B97">
        <w:rPr>
          <w:lang w:val="en-US"/>
        </w:rPr>
        <w:t>expecting</w:t>
      </w:r>
      <w:r w:rsidR="00314E8F">
        <w:rPr>
          <w:lang w:val="en-US"/>
        </w:rPr>
        <w:t xml:space="preserve"> an overall decrease of oil demand</w:t>
      </w:r>
      <w:r w:rsidR="00695E69">
        <w:rPr>
          <w:lang w:val="en-US"/>
        </w:rPr>
        <w:t xml:space="preserve"> </w:t>
      </w:r>
      <w:r w:rsidR="00E11366">
        <w:rPr>
          <w:lang w:val="en-US"/>
        </w:rPr>
        <w:t>after a peak around 2030</w:t>
      </w:r>
      <w:r w:rsidR="00240EE7">
        <w:rPr>
          <w:lang w:val="en-US"/>
        </w:rPr>
        <w:t>, with high disparities across world regions.</w:t>
      </w:r>
      <w:r w:rsidR="00793BB1">
        <w:rPr>
          <w:lang w:val="en-US"/>
        </w:rPr>
        <w:t xml:space="preserve"> </w:t>
      </w:r>
      <w:r w:rsidR="00391D3D">
        <w:rPr>
          <w:lang w:val="en-US"/>
        </w:rPr>
        <w:t>For example,</w:t>
      </w:r>
      <w:r w:rsidR="00F9421F">
        <w:rPr>
          <w:lang w:val="en-US"/>
        </w:rPr>
        <w:t xml:space="preserve"> </w:t>
      </w:r>
      <w:r w:rsidR="00793BB1">
        <w:rPr>
          <w:lang w:val="en-US"/>
        </w:rPr>
        <w:t xml:space="preserve">BP </w:t>
      </w:r>
      <w:r w:rsidR="00DD46EE">
        <w:rPr>
          <w:lang w:val="en-US"/>
        </w:rPr>
        <w:t>develops projections</w:t>
      </w:r>
      <w:r w:rsidR="00B0601F">
        <w:rPr>
          <w:lang w:val="en-US"/>
        </w:rPr>
        <w:t xml:space="preserve"> of global energy demand</w:t>
      </w:r>
      <w:r w:rsidR="00DD46EE">
        <w:rPr>
          <w:lang w:val="en-US"/>
        </w:rPr>
        <w:t xml:space="preserve"> </w:t>
      </w:r>
      <w:r w:rsidR="00DE4ABF">
        <w:rPr>
          <w:lang w:val="en-US"/>
        </w:rPr>
        <w:t>fo</w:t>
      </w:r>
      <w:r w:rsidR="00B0601F">
        <w:rPr>
          <w:lang w:val="en-US"/>
        </w:rPr>
        <w:t>r</w:t>
      </w:r>
      <w:r w:rsidR="00DE4ABF">
        <w:rPr>
          <w:lang w:val="en-US"/>
        </w:rPr>
        <w:t xml:space="preserve"> 2 </w:t>
      </w:r>
      <w:r w:rsidR="00B0601F">
        <w:rPr>
          <w:lang w:val="en-US"/>
        </w:rPr>
        <w:t>scenarios</w:t>
      </w:r>
      <w:r w:rsidR="00DE4ABF">
        <w:rPr>
          <w:lang w:val="en-US"/>
        </w:rPr>
        <w:t>, one</w:t>
      </w:r>
      <w:r w:rsidR="00961583">
        <w:rPr>
          <w:lang w:val="en-US"/>
        </w:rPr>
        <w:t xml:space="preserve"> </w:t>
      </w:r>
      <w:r w:rsidR="00961583" w:rsidRPr="00B0601F">
        <w:rPr>
          <w:i/>
          <w:iCs/>
          <w:lang w:val="en-US"/>
        </w:rPr>
        <w:t>Current Trajectory</w:t>
      </w:r>
      <w:r w:rsidR="00961583">
        <w:rPr>
          <w:lang w:val="en-US"/>
        </w:rPr>
        <w:t xml:space="preserve">, comparable with the IEA STEPs scenarios, and </w:t>
      </w:r>
      <w:r w:rsidR="00EE7D87">
        <w:rPr>
          <w:lang w:val="en-US"/>
        </w:rPr>
        <w:t xml:space="preserve">a </w:t>
      </w:r>
      <w:r w:rsidR="00EE7D87" w:rsidRPr="00B0601F">
        <w:rPr>
          <w:i/>
          <w:iCs/>
          <w:lang w:val="en-US"/>
        </w:rPr>
        <w:t>Net Zero scenario</w:t>
      </w:r>
      <w:r w:rsidR="00EE7D87">
        <w:rPr>
          <w:lang w:val="en-US"/>
        </w:rPr>
        <w:t>, where the energy transition</w:t>
      </w:r>
      <w:r w:rsidR="00B0601F">
        <w:rPr>
          <w:lang w:val="en-US"/>
        </w:rPr>
        <w:t xml:space="preserve"> is</w:t>
      </w:r>
      <w:r w:rsidR="002E0CF8">
        <w:rPr>
          <w:lang w:val="en-US"/>
        </w:rPr>
        <w:t xml:space="preserve"> very stringent</w:t>
      </w:r>
      <w:r w:rsidR="00AA0922">
        <w:rPr>
          <w:rStyle w:val="Appelnotedebasdep"/>
          <w:lang w:val="en-US"/>
        </w:rPr>
        <w:footnoteReference w:id="34"/>
      </w:r>
      <w:r w:rsidR="002E0CF8">
        <w:rPr>
          <w:lang w:val="en-US"/>
        </w:rPr>
        <w:t>.</w:t>
      </w:r>
      <w:r w:rsidR="009342ED">
        <w:rPr>
          <w:lang w:val="en-US"/>
        </w:rPr>
        <w:t xml:space="preserve"> </w:t>
      </w:r>
    </w:p>
    <w:p w14:paraId="3C8D30C9" w14:textId="59B6AA8E" w:rsidR="00094E25" w:rsidRDefault="002F2994" w:rsidP="00094E25">
      <w:pPr>
        <w:ind w:firstLine="360"/>
        <w:rPr>
          <w:lang w:val="en-US"/>
        </w:rPr>
      </w:pPr>
      <w:r>
        <w:rPr>
          <w:lang w:val="en-US"/>
        </w:rPr>
        <w:lastRenderedPageBreak/>
        <w:t>For the first period of its forecast, from</w:t>
      </w:r>
      <w:r w:rsidR="00216E43">
        <w:rPr>
          <w:lang w:val="en-US"/>
        </w:rPr>
        <w:t xml:space="preserve"> 2025 to 2035, the projection of the demand is</w:t>
      </w:r>
      <w:r w:rsidR="000765F9">
        <w:rPr>
          <w:lang w:val="en-US"/>
        </w:rPr>
        <w:t xml:space="preserve"> dependent on the scenario</w:t>
      </w:r>
      <w:r w:rsidR="009629A7">
        <w:rPr>
          <w:lang w:val="en-US"/>
        </w:rPr>
        <w:t xml:space="preserve">: </w:t>
      </w:r>
    </w:p>
    <w:p w14:paraId="62B5A086" w14:textId="77777777" w:rsidR="00BF1787" w:rsidRDefault="009629A7" w:rsidP="00EB7B08">
      <w:pPr>
        <w:pStyle w:val="Paragraphedeliste"/>
        <w:numPr>
          <w:ilvl w:val="0"/>
          <w:numId w:val="30"/>
        </w:numPr>
        <w:rPr>
          <w:lang w:val="en-US"/>
        </w:rPr>
      </w:pPr>
      <w:r w:rsidRPr="00094E25">
        <w:rPr>
          <w:lang w:val="en-US"/>
        </w:rPr>
        <w:t xml:space="preserve">An overall stable demand in the </w:t>
      </w:r>
      <w:r w:rsidRPr="00094E25">
        <w:rPr>
          <w:i/>
          <w:iCs/>
          <w:lang w:val="en-US"/>
        </w:rPr>
        <w:t>Current Trajectory</w:t>
      </w:r>
      <w:r w:rsidRPr="00094E25">
        <w:rPr>
          <w:lang w:val="en-US"/>
        </w:rPr>
        <w:t xml:space="preserve"> scenario with</w:t>
      </w:r>
      <w:r w:rsidR="00793BB1" w:rsidRPr="00094E25">
        <w:rPr>
          <w:lang w:val="en-US"/>
        </w:rPr>
        <w:t xml:space="preserve"> </w:t>
      </w:r>
      <w:r w:rsidR="008E5BBB" w:rsidRPr="00094E25">
        <w:rPr>
          <w:lang w:val="en-US"/>
        </w:rPr>
        <w:t xml:space="preserve">a decrease in oil demand </w:t>
      </w:r>
      <w:r w:rsidR="009E4C35" w:rsidRPr="00094E25">
        <w:rPr>
          <w:lang w:val="en-US"/>
        </w:rPr>
        <w:t>in</w:t>
      </w:r>
      <w:r w:rsidR="004B72FE" w:rsidRPr="00094E25">
        <w:rPr>
          <w:lang w:val="en-US"/>
        </w:rPr>
        <w:t xml:space="preserve"> Develop</w:t>
      </w:r>
      <w:r w:rsidR="004E1C8D" w:rsidRPr="00094E25">
        <w:rPr>
          <w:lang w:val="en-US"/>
        </w:rPr>
        <w:t xml:space="preserve">ed countries </w:t>
      </w:r>
      <w:r w:rsidR="00F9421F" w:rsidRPr="00094E25">
        <w:rPr>
          <w:lang w:val="en-US"/>
        </w:rPr>
        <w:t xml:space="preserve">by 2035 </w:t>
      </w:r>
      <w:r w:rsidRPr="00094E25">
        <w:rPr>
          <w:lang w:val="en-US"/>
        </w:rPr>
        <w:t>and</w:t>
      </w:r>
      <w:r w:rsidR="00EA0073" w:rsidRPr="00094E25">
        <w:rPr>
          <w:lang w:val="en-US"/>
        </w:rPr>
        <w:t xml:space="preserve"> an</w:t>
      </w:r>
      <w:r w:rsidR="00B50AC1" w:rsidRPr="00094E25">
        <w:rPr>
          <w:lang w:val="en-US"/>
        </w:rPr>
        <w:t xml:space="preserve"> increasing trend</w:t>
      </w:r>
      <w:r w:rsidR="004C6F25" w:rsidRPr="00094E25">
        <w:rPr>
          <w:lang w:val="en-US"/>
        </w:rPr>
        <w:t xml:space="preserve"> in other regions</w:t>
      </w:r>
      <w:r w:rsidRPr="00094E25">
        <w:rPr>
          <w:lang w:val="en-US"/>
        </w:rPr>
        <w:t xml:space="preserve">. </w:t>
      </w:r>
      <w:r w:rsidR="003E7DF5" w:rsidRPr="00094E25">
        <w:rPr>
          <w:lang w:val="en-US"/>
        </w:rPr>
        <w:t xml:space="preserve"> </w:t>
      </w:r>
    </w:p>
    <w:p w14:paraId="54563142" w14:textId="00D00B8C" w:rsidR="00BF1787" w:rsidRDefault="00BF1787" w:rsidP="00EB7B08">
      <w:pPr>
        <w:pStyle w:val="Paragraphedeliste"/>
        <w:numPr>
          <w:ilvl w:val="0"/>
          <w:numId w:val="30"/>
        </w:numPr>
        <w:rPr>
          <w:lang w:val="en-US"/>
        </w:rPr>
      </w:pPr>
      <w:r>
        <w:rPr>
          <w:lang w:val="en-US"/>
        </w:rPr>
        <w:t xml:space="preserve">A </w:t>
      </w:r>
      <w:r w:rsidR="00F338F2">
        <w:rPr>
          <w:lang w:val="en-US"/>
        </w:rPr>
        <w:t>decreasing</w:t>
      </w:r>
      <w:r w:rsidR="00AA0922">
        <w:rPr>
          <w:lang w:val="en-US"/>
        </w:rPr>
        <w:t xml:space="preserve"> trend </w:t>
      </w:r>
      <w:r w:rsidR="00F338F2">
        <w:rPr>
          <w:lang w:val="en-US"/>
        </w:rPr>
        <w:t>in</w:t>
      </w:r>
      <w:r w:rsidR="00AA0922">
        <w:rPr>
          <w:lang w:val="en-US"/>
        </w:rPr>
        <w:t xml:space="preserve"> the Net zero Scenario after a peak before the end of the dec</w:t>
      </w:r>
      <w:r w:rsidR="00A17DF5">
        <w:rPr>
          <w:lang w:val="en-US"/>
        </w:rPr>
        <w:t>ade</w:t>
      </w:r>
      <w:r w:rsidR="00AA0922">
        <w:rPr>
          <w:lang w:val="en-US"/>
        </w:rPr>
        <w:t xml:space="preserve">. </w:t>
      </w:r>
    </w:p>
    <w:p w14:paraId="3E1F2586" w14:textId="0B95FD90" w:rsidR="00BF1787" w:rsidRPr="002F0DA7" w:rsidRDefault="003F6A0B" w:rsidP="00390AE9">
      <w:pPr>
        <w:rPr>
          <w:lang w:val="en-US"/>
        </w:rPr>
      </w:pPr>
      <w:r>
        <w:rPr>
          <w:lang w:val="en-US"/>
        </w:rPr>
        <w:t xml:space="preserve">For the second period of its forecast, </w:t>
      </w:r>
      <w:r w:rsidR="003B6A51">
        <w:rPr>
          <w:lang w:val="en-US"/>
        </w:rPr>
        <w:t xml:space="preserve">from 2035 to 2050, both scenarios </w:t>
      </w:r>
      <w:r w:rsidR="00C8112A">
        <w:rPr>
          <w:lang w:val="en-US"/>
        </w:rPr>
        <w:t>project</w:t>
      </w:r>
      <w:r w:rsidR="003B6A51">
        <w:rPr>
          <w:lang w:val="en-US"/>
        </w:rPr>
        <w:t xml:space="preserve"> an</w:t>
      </w:r>
      <w:r w:rsidR="00DD4021">
        <w:rPr>
          <w:lang w:val="en-US"/>
        </w:rPr>
        <w:t xml:space="preserve"> important decrease in </w:t>
      </w:r>
      <w:r w:rsidR="001D1591">
        <w:rPr>
          <w:lang w:val="en-US"/>
        </w:rPr>
        <w:t>global oil</w:t>
      </w:r>
      <w:r w:rsidR="00DD4021">
        <w:rPr>
          <w:lang w:val="en-US"/>
        </w:rPr>
        <w:t xml:space="preserve"> demand</w:t>
      </w:r>
      <w:r w:rsidR="00C0261D">
        <w:rPr>
          <w:lang w:val="en-US"/>
        </w:rPr>
        <w:t xml:space="preserve">, driven by the declining use </w:t>
      </w:r>
      <w:r w:rsidR="0041427D">
        <w:rPr>
          <w:lang w:val="en-US"/>
        </w:rPr>
        <w:t>of oil in road transportation as the efficiency of the vehicle fleet improves and alternatives fuels</w:t>
      </w:r>
      <w:r w:rsidR="001D1591">
        <w:rPr>
          <w:lang w:val="en-US"/>
        </w:rPr>
        <w:t xml:space="preserve"> are increasingly used.</w:t>
      </w:r>
    </w:p>
    <w:p w14:paraId="17C8FC6C" w14:textId="79B8C2B9" w:rsidR="00094E25" w:rsidRPr="00094E25" w:rsidRDefault="001D1591" w:rsidP="00094E25">
      <w:pPr>
        <w:rPr>
          <w:lang w:val="en-US"/>
        </w:rPr>
      </w:pPr>
      <w:r>
        <w:rPr>
          <w:lang w:val="en-US"/>
        </w:rPr>
        <w:t>On the long term</w:t>
      </w:r>
      <w:r w:rsidR="00C8112A">
        <w:rPr>
          <w:lang w:val="en-US"/>
        </w:rPr>
        <w:t xml:space="preserve"> and depending on the effective implementation of the energy transition across the world, ASCO could see a</w:t>
      </w:r>
      <w:r w:rsidR="000D0AFF">
        <w:rPr>
          <w:lang w:val="en-US"/>
        </w:rPr>
        <w:t>n impact on its activities due to the decrease in oil demand</w:t>
      </w:r>
      <w:r w:rsidR="0028421A">
        <w:rPr>
          <w:lang w:val="en-US"/>
        </w:rPr>
        <w:t xml:space="preserve">, but </w:t>
      </w:r>
      <w:r w:rsidR="00765709">
        <w:rPr>
          <w:lang w:val="en-US"/>
        </w:rPr>
        <w:t>on the short term and at least until the end of the decade, the fluctuation of the global oil demand should not negatively impact</w:t>
      </w:r>
      <w:r w:rsidR="00BD3115">
        <w:rPr>
          <w:lang w:val="en-US"/>
        </w:rPr>
        <w:t xml:space="preserve"> on ASCO business </w:t>
      </w:r>
      <w:r w:rsidR="005A3293">
        <w:rPr>
          <w:lang w:val="en-US"/>
        </w:rPr>
        <w:t>activities</w:t>
      </w:r>
      <w:r w:rsidR="00BD3115">
        <w:rPr>
          <w:lang w:val="en-US"/>
        </w:rPr>
        <w:t xml:space="preserve">. </w:t>
      </w:r>
    </w:p>
    <w:p w14:paraId="2402F4E1" w14:textId="3C30BDDA" w:rsidR="00411FB3" w:rsidRPr="00FD16F0" w:rsidRDefault="009D5775" w:rsidP="00EB7B08">
      <w:pPr>
        <w:pStyle w:val="Paragraphedeliste"/>
        <w:numPr>
          <w:ilvl w:val="2"/>
          <w:numId w:val="27"/>
        </w:numPr>
        <w:ind w:left="993"/>
        <w:rPr>
          <w:b/>
          <w:lang w:val="en-US"/>
        </w:rPr>
      </w:pPr>
      <w:r w:rsidRPr="00FD16F0">
        <w:rPr>
          <w:b/>
          <w:lang w:val="en-US"/>
        </w:rPr>
        <w:t>Evolution of the demand in gas</w:t>
      </w:r>
    </w:p>
    <w:p w14:paraId="1126B668" w14:textId="23ECAA7A" w:rsidR="009D5775" w:rsidRDefault="00372C9B" w:rsidP="00DA03FF">
      <w:pPr>
        <w:rPr>
          <w:lang w:val="en-US"/>
        </w:rPr>
      </w:pPr>
      <w:r>
        <w:rPr>
          <w:lang w:val="en-US"/>
        </w:rPr>
        <w:t>As for</w:t>
      </w:r>
      <w:r w:rsidR="003A1FC7">
        <w:rPr>
          <w:lang w:val="en-US"/>
        </w:rPr>
        <w:t xml:space="preserve"> Oil, Gas demand</w:t>
      </w:r>
      <w:r w:rsidR="00CA6FD3">
        <w:rPr>
          <w:lang w:val="en-US"/>
        </w:rPr>
        <w:t xml:space="preserve"> has been </w:t>
      </w:r>
      <w:r w:rsidR="0011688A">
        <w:rPr>
          <w:lang w:val="en-US"/>
        </w:rPr>
        <w:t xml:space="preserve">traditionally </w:t>
      </w:r>
      <w:r w:rsidR="00CA6FD3">
        <w:rPr>
          <w:lang w:val="en-US"/>
        </w:rPr>
        <w:t xml:space="preserve">driven by factors </w:t>
      </w:r>
      <w:r w:rsidR="0011688A">
        <w:rPr>
          <w:lang w:val="en-US"/>
        </w:rPr>
        <w:t xml:space="preserve">such as population and economic growth and expansion of industrial activity. However, </w:t>
      </w:r>
      <w:r w:rsidR="00B35396">
        <w:rPr>
          <w:lang w:val="en-US"/>
        </w:rPr>
        <w:t>e</w:t>
      </w:r>
      <w:r w:rsidR="00A20D9E">
        <w:rPr>
          <w:lang w:val="en-US"/>
        </w:rPr>
        <w:t>nergy and climate policies aiming at mitigati</w:t>
      </w:r>
      <w:r w:rsidR="00B35396">
        <w:rPr>
          <w:lang w:val="en-US"/>
        </w:rPr>
        <w:t xml:space="preserve">ng climate change have a </w:t>
      </w:r>
      <w:r w:rsidR="00FB3979">
        <w:rPr>
          <w:lang w:val="en-US"/>
        </w:rPr>
        <w:t>double effect on natural gas demand</w:t>
      </w:r>
      <w:r w:rsidR="00DB15FD">
        <w:rPr>
          <w:lang w:val="en-US"/>
        </w:rPr>
        <w:t xml:space="preserve"> balance</w:t>
      </w:r>
      <w:r w:rsidR="003E18E2">
        <w:rPr>
          <w:lang w:val="en-US"/>
        </w:rPr>
        <w:t xml:space="preserve">. </w:t>
      </w:r>
    </w:p>
    <w:p w14:paraId="09D998B3" w14:textId="1F1AA257" w:rsidR="0099778B" w:rsidRDefault="00A95A4D" w:rsidP="00A33F4C">
      <w:pPr>
        <w:spacing w:after="0"/>
        <w:ind w:firstLine="708"/>
        <w:rPr>
          <w:lang w:val="en-US"/>
        </w:rPr>
      </w:pPr>
      <w:r w:rsidRPr="00A95A4D">
        <w:rPr>
          <w:lang w:val="en-US"/>
        </w:rPr>
        <w:t>On one hand, natural gas, like oil, is a fossil fuel, and climate policies are designed to reduce dependence on such fuels and decrease their demand. Energy efficiency improvements, the increasing adoption of renewable energy for power generation, and the electrification of industries and heating systems all contribute to a reduction in global gas demand.</w:t>
      </w:r>
      <w:r w:rsidR="00810F0B">
        <w:rPr>
          <w:lang w:val="en-US"/>
        </w:rPr>
        <w:t xml:space="preserve"> Addi</w:t>
      </w:r>
      <w:r w:rsidR="009E215B">
        <w:rPr>
          <w:lang w:val="en-US"/>
        </w:rPr>
        <w:t>tionally,</w:t>
      </w:r>
      <w:r w:rsidR="00E53432">
        <w:rPr>
          <w:lang w:val="en-US"/>
        </w:rPr>
        <w:t xml:space="preserve"> increasing use of alternative fuels such as</w:t>
      </w:r>
      <w:r w:rsidR="00234743">
        <w:rPr>
          <w:lang w:val="en-US"/>
        </w:rPr>
        <w:t xml:space="preserve"> LNG and hydrogen</w:t>
      </w:r>
      <w:r w:rsidR="00EA6BFC">
        <w:rPr>
          <w:lang w:val="en-US"/>
        </w:rPr>
        <w:t>, considered cleaner</w:t>
      </w:r>
      <w:r w:rsidR="00864446">
        <w:rPr>
          <w:lang w:val="en-US"/>
        </w:rPr>
        <w:t xml:space="preserve"> and less emissive</w:t>
      </w:r>
      <w:r w:rsidR="00EA6BFC">
        <w:rPr>
          <w:lang w:val="en-US"/>
        </w:rPr>
        <w:t xml:space="preserve">, are </w:t>
      </w:r>
      <w:r w:rsidR="00D75567">
        <w:rPr>
          <w:lang w:val="en-US"/>
        </w:rPr>
        <w:t>replacing traditio</w:t>
      </w:r>
      <w:r w:rsidR="00034DFC">
        <w:rPr>
          <w:lang w:val="en-US"/>
        </w:rPr>
        <w:t>nal use</w:t>
      </w:r>
      <w:r w:rsidR="002A6D05">
        <w:rPr>
          <w:lang w:val="en-US"/>
        </w:rPr>
        <w:t xml:space="preserve"> of natural gas and unfavorably impacting its demand.</w:t>
      </w:r>
    </w:p>
    <w:p w14:paraId="03DDF414" w14:textId="32DE58D3" w:rsidR="00E60A88" w:rsidRDefault="00E60A88" w:rsidP="00A33F4C">
      <w:pPr>
        <w:spacing w:after="0"/>
        <w:ind w:firstLine="708"/>
        <w:rPr>
          <w:lang w:val="en-US"/>
        </w:rPr>
      </w:pPr>
      <w:r>
        <w:rPr>
          <w:lang w:val="en-US"/>
        </w:rPr>
        <w:t xml:space="preserve">On the other hand, </w:t>
      </w:r>
      <w:r w:rsidRPr="00E60A88">
        <w:rPr>
          <w:lang w:val="en-US"/>
        </w:rPr>
        <w:t>natural gas is increasingly regarded as a transition fuel due to its convenience of use across various sectors and its significantly lower carbon emissions compared to other fossil fuels. For instance, natural gas is being utilized to replace coal and oil in power generation, thereby driving an increase in global gas demand.</w:t>
      </w:r>
      <w:r w:rsidR="00307FF2">
        <w:rPr>
          <w:lang w:val="en-US"/>
        </w:rPr>
        <w:t xml:space="preserve"> </w:t>
      </w:r>
      <w:r w:rsidR="007809FF">
        <w:rPr>
          <w:lang w:val="en-US"/>
        </w:rPr>
        <w:t>Addition</w:t>
      </w:r>
      <w:r w:rsidR="00A50B98">
        <w:rPr>
          <w:lang w:val="en-US"/>
        </w:rPr>
        <w:t xml:space="preserve">ally, </w:t>
      </w:r>
      <w:r w:rsidR="00407C94">
        <w:rPr>
          <w:lang w:val="en-US"/>
        </w:rPr>
        <w:t xml:space="preserve">the demand </w:t>
      </w:r>
      <w:r w:rsidR="001A5037">
        <w:rPr>
          <w:lang w:val="en-US"/>
        </w:rPr>
        <w:t>i</w:t>
      </w:r>
      <w:r w:rsidR="00407C94">
        <w:rPr>
          <w:lang w:val="en-US"/>
        </w:rPr>
        <w:t xml:space="preserve">n emerging economies </w:t>
      </w:r>
      <w:r w:rsidR="00864446">
        <w:rPr>
          <w:lang w:val="en-US"/>
        </w:rPr>
        <w:t>tends to increase</w:t>
      </w:r>
      <w:r w:rsidR="00407C94">
        <w:rPr>
          <w:lang w:val="en-US"/>
        </w:rPr>
        <w:t xml:space="preserve"> </w:t>
      </w:r>
      <w:r w:rsidR="001A5037">
        <w:rPr>
          <w:lang w:val="en-US"/>
        </w:rPr>
        <w:t xml:space="preserve">as </w:t>
      </w:r>
      <w:r w:rsidR="00864446">
        <w:rPr>
          <w:lang w:val="en-US"/>
        </w:rPr>
        <w:t>their industry and GDP grows.</w:t>
      </w:r>
    </w:p>
    <w:p w14:paraId="5848430F" w14:textId="77777777" w:rsidR="00A33F4C" w:rsidRDefault="00A33F4C" w:rsidP="008F1CB4">
      <w:pPr>
        <w:spacing w:after="0"/>
        <w:rPr>
          <w:lang w:val="en-US"/>
        </w:rPr>
      </w:pPr>
    </w:p>
    <w:p w14:paraId="56B99ED1" w14:textId="27C66E22" w:rsidR="00A33F4C" w:rsidRDefault="007E552E" w:rsidP="0069535A">
      <w:pPr>
        <w:rPr>
          <w:lang w:val="en-US"/>
        </w:rPr>
      </w:pPr>
      <w:r>
        <w:rPr>
          <w:lang w:val="en-US"/>
        </w:rPr>
        <w:t>Combining</w:t>
      </w:r>
      <w:r w:rsidR="00CD7444">
        <w:rPr>
          <w:lang w:val="en-US"/>
        </w:rPr>
        <w:t xml:space="preserve"> all those micro-economic and macro-economic drivers, </w:t>
      </w:r>
      <w:r w:rsidR="00864446">
        <w:rPr>
          <w:lang w:val="en-US"/>
        </w:rPr>
        <w:t>t</w:t>
      </w:r>
      <w:r w:rsidR="005F402C">
        <w:rPr>
          <w:lang w:val="en-US"/>
        </w:rPr>
        <w:t xml:space="preserve">he </w:t>
      </w:r>
      <w:r w:rsidR="007601D8">
        <w:rPr>
          <w:lang w:val="en-US"/>
        </w:rPr>
        <w:t xml:space="preserve">IEA </w:t>
      </w:r>
      <w:r w:rsidR="005F402C">
        <w:rPr>
          <w:lang w:val="en-US"/>
        </w:rPr>
        <w:t>World Energy Outlook</w:t>
      </w:r>
      <w:r w:rsidR="007601D8">
        <w:rPr>
          <w:lang w:val="en-US"/>
        </w:rPr>
        <w:t xml:space="preserve"> </w:t>
      </w:r>
      <w:r w:rsidR="006A6BEF">
        <w:rPr>
          <w:lang w:val="en-US"/>
        </w:rPr>
        <w:t>project</w:t>
      </w:r>
      <w:r w:rsidR="004622D4">
        <w:rPr>
          <w:lang w:val="en-US"/>
        </w:rPr>
        <w:t xml:space="preserve">s a global increase </w:t>
      </w:r>
      <w:r w:rsidR="00C71E88">
        <w:rPr>
          <w:lang w:val="en-US"/>
        </w:rPr>
        <w:t>in</w:t>
      </w:r>
      <w:r w:rsidR="00FD3108">
        <w:rPr>
          <w:lang w:val="en-US"/>
        </w:rPr>
        <w:t xml:space="preserve"> natural gas demand trough </w:t>
      </w:r>
      <w:r w:rsidR="00556C5C">
        <w:rPr>
          <w:lang w:val="en-US"/>
        </w:rPr>
        <w:t>203</w:t>
      </w:r>
      <w:r w:rsidR="007169CD">
        <w:rPr>
          <w:lang w:val="en-US"/>
        </w:rPr>
        <w:t>0-35 in all</w:t>
      </w:r>
      <w:r w:rsidR="002E65F7">
        <w:rPr>
          <w:lang w:val="en-US"/>
        </w:rPr>
        <w:t xml:space="preserve"> climate scenarios </w:t>
      </w:r>
      <w:r w:rsidR="00776DF7">
        <w:rPr>
          <w:lang w:val="en-US"/>
        </w:rPr>
        <w:t>and then a stabilization of the demand</w:t>
      </w:r>
      <w:r w:rsidR="000E4923">
        <w:rPr>
          <w:lang w:val="en-US"/>
        </w:rPr>
        <w:t xml:space="preserve"> in the STEPS scenario while projecting a </w:t>
      </w:r>
      <w:r w:rsidR="00CF7A84">
        <w:rPr>
          <w:lang w:val="en-US"/>
        </w:rPr>
        <w:t>s</w:t>
      </w:r>
      <w:r w:rsidR="00625E26">
        <w:rPr>
          <w:lang w:val="en-US"/>
        </w:rPr>
        <w:t>harp decrease in APS and NZE scenarios (-</w:t>
      </w:r>
      <w:r w:rsidR="004D13AC">
        <w:rPr>
          <w:lang w:val="en-US"/>
        </w:rPr>
        <w:t>6% per year on average between 2035 and 2050</w:t>
      </w:r>
      <w:r w:rsidR="004814D1">
        <w:rPr>
          <w:lang w:val="en-US"/>
        </w:rPr>
        <w:t xml:space="preserve"> for the NZE scenario). </w:t>
      </w:r>
    </w:p>
    <w:p w14:paraId="18763258" w14:textId="230F0D6E" w:rsidR="0097473E" w:rsidRDefault="0097473E" w:rsidP="008F1CB4">
      <w:pPr>
        <w:spacing w:after="0"/>
        <w:rPr>
          <w:lang w:val="en-US"/>
        </w:rPr>
      </w:pPr>
      <w:r>
        <w:rPr>
          <w:lang w:val="en-US"/>
        </w:rPr>
        <w:t xml:space="preserve">As for </w:t>
      </w:r>
      <w:r w:rsidR="0069535A">
        <w:rPr>
          <w:lang w:val="en-US"/>
        </w:rPr>
        <w:t>oil demand, regional disparity is important as shown by the graph below</w:t>
      </w:r>
      <w:r w:rsidR="00D9295B">
        <w:rPr>
          <w:rStyle w:val="Appelnotedebasdep"/>
          <w:lang w:val="en-US"/>
        </w:rPr>
        <w:footnoteReference w:id="35"/>
      </w:r>
      <w:r w:rsidR="0069535A">
        <w:rPr>
          <w:lang w:val="en-US"/>
        </w:rPr>
        <w:t xml:space="preserve">. </w:t>
      </w:r>
      <w:r w:rsidR="00042D5A">
        <w:rPr>
          <w:lang w:val="en-US"/>
        </w:rPr>
        <w:t>European and North American market</w:t>
      </w:r>
      <w:r w:rsidR="00A963E4">
        <w:rPr>
          <w:lang w:val="en-US"/>
        </w:rPr>
        <w:t>s</w:t>
      </w:r>
      <w:r w:rsidR="00042D5A">
        <w:rPr>
          <w:lang w:val="en-US"/>
        </w:rPr>
        <w:t xml:space="preserve"> will se</w:t>
      </w:r>
      <w:r w:rsidR="00683DED">
        <w:rPr>
          <w:lang w:val="en-US"/>
        </w:rPr>
        <w:t xml:space="preserve">e their demand </w:t>
      </w:r>
      <w:r w:rsidR="00C52410">
        <w:rPr>
          <w:lang w:val="en-US"/>
        </w:rPr>
        <w:t xml:space="preserve">in natural gas </w:t>
      </w:r>
      <w:r w:rsidR="00683DED">
        <w:rPr>
          <w:lang w:val="en-US"/>
        </w:rPr>
        <w:t xml:space="preserve">decrease </w:t>
      </w:r>
      <w:r w:rsidR="00C52410">
        <w:rPr>
          <w:lang w:val="en-US"/>
        </w:rPr>
        <w:t>while</w:t>
      </w:r>
      <w:r w:rsidR="00155B61">
        <w:rPr>
          <w:lang w:val="en-US"/>
        </w:rPr>
        <w:t xml:space="preserve"> the rest of the world will experience an increase in demand</w:t>
      </w:r>
      <w:r w:rsidR="005D191C">
        <w:rPr>
          <w:lang w:val="en-US"/>
        </w:rPr>
        <w:t xml:space="preserve"> in the STEP scenario</w:t>
      </w:r>
      <w:r w:rsidR="00155B61">
        <w:rPr>
          <w:lang w:val="en-US"/>
        </w:rPr>
        <w:t xml:space="preserve">, </w:t>
      </w:r>
      <w:r w:rsidR="00D42947">
        <w:rPr>
          <w:lang w:val="en-US"/>
        </w:rPr>
        <w:t xml:space="preserve">with a </w:t>
      </w:r>
      <w:r w:rsidR="000D1AD6">
        <w:rPr>
          <w:lang w:val="en-US"/>
        </w:rPr>
        <w:t xml:space="preserve">slightly positive overall balance. </w:t>
      </w:r>
      <w:r w:rsidR="003C2610">
        <w:rPr>
          <w:lang w:val="en-US"/>
        </w:rPr>
        <w:t>In the APS scenario, a</w:t>
      </w:r>
      <w:r w:rsidR="00C95C82">
        <w:rPr>
          <w:lang w:val="en-US"/>
        </w:rPr>
        <w:t xml:space="preserve"> more important decrease is projected</w:t>
      </w:r>
      <w:r w:rsidR="008A647D">
        <w:rPr>
          <w:lang w:val="en-US"/>
        </w:rPr>
        <w:t>, with a decreasing overall</w:t>
      </w:r>
      <w:r w:rsidR="00490255">
        <w:rPr>
          <w:lang w:val="en-US"/>
        </w:rPr>
        <w:t xml:space="preserve"> trend. </w:t>
      </w:r>
    </w:p>
    <w:p w14:paraId="0D7EF659" w14:textId="77777777" w:rsidR="00490255" w:rsidRDefault="00490255" w:rsidP="008F1CB4">
      <w:pPr>
        <w:spacing w:after="0"/>
        <w:rPr>
          <w:lang w:val="en-US"/>
        </w:rPr>
      </w:pPr>
    </w:p>
    <w:p w14:paraId="5AC47FEC" w14:textId="0ADCBBEE" w:rsidR="00707EAF" w:rsidRDefault="00707EAF" w:rsidP="00707EAF">
      <w:pPr>
        <w:pStyle w:val="Lgende"/>
      </w:pPr>
      <w:r>
        <w:lastRenderedPageBreak/>
        <w:t xml:space="preserve">Figure </w:t>
      </w:r>
      <w:r>
        <w:fldChar w:fldCharType="begin"/>
      </w:r>
      <w:r>
        <w:instrText xml:space="preserve"> SEQ Figure \* ARABIC </w:instrText>
      </w:r>
      <w:r>
        <w:fldChar w:fldCharType="separate"/>
      </w:r>
      <w:r w:rsidR="00227941">
        <w:rPr>
          <w:noProof/>
        </w:rPr>
        <w:t>13</w:t>
      </w:r>
      <w:r>
        <w:fldChar w:fldCharType="end"/>
      </w:r>
      <w:r>
        <w:t xml:space="preserve"> - Change in average annual natural gas demand by selected regions and scenario, 2013 - 2050</w:t>
      </w:r>
    </w:p>
    <w:p w14:paraId="302757A8" w14:textId="22D1A9A0" w:rsidR="00490255" w:rsidRDefault="00707EAF" w:rsidP="008F1CB4">
      <w:pPr>
        <w:spacing w:after="0"/>
        <w:rPr>
          <w:lang w:val="en-US"/>
        </w:rPr>
      </w:pPr>
      <w:r w:rsidRPr="00707EAF">
        <w:rPr>
          <w:noProof/>
          <w:lang w:val="en-US"/>
        </w:rPr>
        <w:drawing>
          <wp:inline distT="0" distB="0" distL="0" distR="0" wp14:anchorId="60652136" wp14:editId="16E8F20C">
            <wp:extent cx="5759450" cy="2883535"/>
            <wp:effectExtent l="0" t="0" r="0" b="0"/>
            <wp:docPr id="1411208340" name="Picture 1" descr="A graph with numbers and a bar 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208340" name="Picture 1" descr="A graph with numbers and a bar chart&#10;&#10;Description automatically generated with medium confidence"/>
                    <pic:cNvPicPr/>
                  </pic:nvPicPr>
                  <pic:blipFill>
                    <a:blip r:embed="rId32"/>
                    <a:stretch>
                      <a:fillRect/>
                    </a:stretch>
                  </pic:blipFill>
                  <pic:spPr>
                    <a:xfrm>
                      <a:off x="0" y="0"/>
                      <a:ext cx="5759450" cy="2883535"/>
                    </a:xfrm>
                    <a:prstGeom prst="rect">
                      <a:avLst/>
                    </a:prstGeom>
                  </pic:spPr>
                </pic:pic>
              </a:graphicData>
            </a:graphic>
          </wp:inline>
        </w:drawing>
      </w:r>
    </w:p>
    <w:p w14:paraId="7853ACF5" w14:textId="77777777" w:rsidR="00F55B10" w:rsidRDefault="00D75A36" w:rsidP="00DA03FF">
      <w:pPr>
        <w:rPr>
          <w:lang w:val="en-US"/>
        </w:rPr>
      </w:pPr>
      <w:r w:rsidRPr="00CC03E9">
        <w:rPr>
          <w:lang w:val="en-US"/>
        </w:rPr>
        <w:t>In the energy outlook</w:t>
      </w:r>
      <w:r w:rsidR="00CC03E9" w:rsidRPr="00CC03E9">
        <w:rPr>
          <w:lang w:val="en-US"/>
        </w:rPr>
        <w:t xml:space="preserve"> </w:t>
      </w:r>
      <w:r w:rsidR="00CC03E9">
        <w:rPr>
          <w:lang w:val="en-US"/>
        </w:rPr>
        <w:t>developed by BP</w:t>
      </w:r>
      <w:r w:rsidR="006702B7">
        <w:rPr>
          <w:rStyle w:val="Appelnotedebasdep"/>
          <w:lang w:val="en-US"/>
        </w:rPr>
        <w:footnoteReference w:id="36"/>
      </w:r>
      <w:r w:rsidR="003E2393">
        <w:rPr>
          <w:lang w:val="en-US"/>
        </w:rPr>
        <w:t>, the</w:t>
      </w:r>
      <w:r w:rsidR="00CC03E9">
        <w:rPr>
          <w:lang w:val="en-US"/>
        </w:rPr>
        <w:t xml:space="preserve"> </w:t>
      </w:r>
      <w:r w:rsidR="00463040">
        <w:rPr>
          <w:lang w:val="en-US"/>
        </w:rPr>
        <w:t xml:space="preserve">demand </w:t>
      </w:r>
      <w:r w:rsidR="008D00AB">
        <w:rPr>
          <w:lang w:val="en-US"/>
        </w:rPr>
        <w:t>fluctuation</w:t>
      </w:r>
      <w:r w:rsidR="00463040">
        <w:rPr>
          <w:lang w:val="en-US"/>
        </w:rPr>
        <w:t xml:space="preserve"> is dependent on </w:t>
      </w:r>
      <w:r w:rsidR="00060201">
        <w:rPr>
          <w:lang w:val="en-US"/>
        </w:rPr>
        <w:t>the</w:t>
      </w:r>
      <w:r w:rsidR="00CC03E9">
        <w:rPr>
          <w:lang w:val="en-US"/>
        </w:rPr>
        <w:t xml:space="preserve"> </w:t>
      </w:r>
      <w:r w:rsidR="008D00AB">
        <w:rPr>
          <w:lang w:val="en-US"/>
        </w:rPr>
        <w:t xml:space="preserve">speed of the energy transition and </w:t>
      </w:r>
      <w:r w:rsidR="004129E5">
        <w:rPr>
          <w:lang w:val="en-US"/>
        </w:rPr>
        <w:t xml:space="preserve">therefore on </w:t>
      </w:r>
      <w:r w:rsidR="002B7FE1">
        <w:rPr>
          <w:lang w:val="en-US"/>
        </w:rPr>
        <w:t>the</w:t>
      </w:r>
      <w:r w:rsidR="004129E5">
        <w:rPr>
          <w:lang w:val="en-US"/>
        </w:rPr>
        <w:t xml:space="preserve"> </w:t>
      </w:r>
      <w:r w:rsidR="00381A71">
        <w:rPr>
          <w:lang w:val="en-US"/>
        </w:rPr>
        <w:t>scenarios</w:t>
      </w:r>
      <w:r w:rsidR="00FE62F8">
        <w:rPr>
          <w:lang w:val="en-US"/>
        </w:rPr>
        <w:t>:</w:t>
      </w:r>
      <w:r w:rsidR="004129E5">
        <w:rPr>
          <w:lang w:val="en-US"/>
        </w:rPr>
        <w:t xml:space="preserve"> </w:t>
      </w:r>
      <w:r w:rsidR="00210F82">
        <w:rPr>
          <w:lang w:val="en-US"/>
        </w:rPr>
        <w:t>Current Trajectory and Net Zero, as described in th</w:t>
      </w:r>
      <w:r w:rsidR="00704AE0">
        <w:rPr>
          <w:lang w:val="en-US"/>
        </w:rPr>
        <w:t>e previous section.</w:t>
      </w:r>
      <w:r w:rsidR="004129E5">
        <w:rPr>
          <w:lang w:val="en-US"/>
        </w:rPr>
        <w:t xml:space="preserve"> </w:t>
      </w:r>
    </w:p>
    <w:p w14:paraId="35D5226D" w14:textId="4D6E9B6D" w:rsidR="000F3A5A" w:rsidRDefault="000F3A5A" w:rsidP="00DA03FF">
      <w:pPr>
        <w:rPr>
          <w:lang w:val="en-US"/>
        </w:rPr>
      </w:pPr>
      <w:r>
        <w:rPr>
          <w:lang w:val="en-US"/>
        </w:rPr>
        <w:t>In the Current Trajectory sce</w:t>
      </w:r>
      <w:r w:rsidR="00AA24BE">
        <w:rPr>
          <w:lang w:val="en-US"/>
        </w:rPr>
        <w:t>nario</w:t>
      </w:r>
      <w:r w:rsidR="00354954">
        <w:rPr>
          <w:lang w:val="en-US"/>
        </w:rPr>
        <w:t>:</w:t>
      </w:r>
    </w:p>
    <w:p w14:paraId="484D44BF" w14:textId="6C3763C5" w:rsidR="00C23A4E" w:rsidRPr="00354954" w:rsidRDefault="00C23A4E" w:rsidP="00EB7B08">
      <w:pPr>
        <w:pStyle w:val="Paragraphedeliste"/>
        <w:numPr>
          <w:ilvl w:val="0"/>
          <w:numId w:val="31"/>
        </w:numPr>
        <w:rPr>
          <w:lang w:val="en-US"/>
        </w:rPr>
      </w:pPr>
      <w:r>
        <w:rPr>
          <w:lang w:val="en-US"/>
        </w:rPr>
        <w:t>In</w:t>
      </w:r>
      <w:r w:rsidR="00D84CB8">
        <w:rPr>
          <w:lang w:val="en-US"/>
        </w:rPr>
        <w:t xml:space="preserve"> developed </w:t>
      </w:r>
      <w:r w:rsidR="001072F5">
        <w:rPr>
          <w:lang w:val="en-US"/>
        </w:rPr>
        <w:t>economies</w:t>
      </w:r>
      <w:r w:rsidR="001072F5">
        <w:rPr>
          <w:rStyle w:val="Appelnotedebasdep"/>
          <w:lang w:val="en-US"/>
        </w:rPr>
        <w:footnoteReference w:id="37"/>
      </w:r>
      <w:r>
        <w:rPr>
          <w:lang w:val="en-US"/>
        </w:rPr>
        <w:t xml:space="preserve">, the demand remains stable in </w:t>
      </w:r>
      <w:r w:rsidR="00F577A4">
        <w:rPr>
          <w:lang w:val="en-US"/>
        </w:rPr>
        <w:t>the first period of the projection</w:t>
      </w:r>
      <w:r w:rsidR="00C47BE0">
        <w:rPr>
          <w:lang w:val="en-US"/>
        </w:rPr>
        <w:t xml:space="preserve"> from 2025 to 2035 and</w:t>
      </w:r>
      <w:r w:rsidR="008A409D">
        <w:rPr>
          <w:lang w:val="en-US"/>
        </w:rPr>
        <w:t xml:space="preserve"> has a decreasing trend in the second period to</w:t>
      </w:r>
      <w:r w:rsidR="00BA3C49">
        <w:rPr>
          <w:lang w:val="en-US"/>
        </w:rPr>
        <w:t xml:space="preserve"> 2050. </w:t>
      </w:r>
    </w:p>
    <w:p w14:paraId="3A0381BE" w14:textId="22D54E7F" w:rsidR="001072F5" w:rsidRPr="001072F5" w:rsidRDefault="001072F5" w:rsidP="00EB7B08">
      <w:pPr>
        <w:pStyle w:val="Paragraphedeliste"/>
        <w:numPr>
          <w:ilvl w:val="0"/>
          <w:numId w:val="31"/>
        </w:numPr>
        <w:rPr>
          <w:lang w:val="en-US"/>
        </w:rPr>
      </w:pPr>
      <w:r>
        <w:rPr>
          <w:lang w:val="en-US"/>
        </w:rPr>
        <w:t xml:space="preserve">The decreasing trend is however largely compensated on the global level by the increasing demand in other geographies. The </w:t>
      </w:r>
      <w:r w:rsidR="009E4D18">
        <w:rPr>
          <w:lang w:val="en-US"/>
        </w:rPr>
        <w:t>global</w:t>
      </w:r>
      <w:r>
        <w:rPr>
          <w:lang w:val="en-US"/>
        </w:rPr>
        <w:t xml:space="preserve"> demand increases throughout 2050, majorly driven by the increase in demand in emerging markets</w:t>
      </w:r>
      <w:r w:rsidR="009E4D18">
        <w:rPr>
          <w:rStyle w:val="Appelnotedebasdep"/>
          <w:lang w:val="en-US"/>
        </w:rPr>
        <w:footnoteReference w:id="38"/>
      </w:r>
      <w:r>
        <w:rPr>
          <w:lang w:val="en-US"/>
        </w:rPr>
        <w:t>.</w:t>
      </w:r>
    </w:p>
    <w:p w14:paraId="0CA004DD" w14:textId="080A7AFA" w:rsidR="00244589" w:rsidRPr="00244589" w:rsidRDefault="00244589" w:rsidP="00244589">
      <w:pPr>
        <w:rPr>
          <w:lang w:val="en-US"/>
        </w:rPr>
      </w:pPr>
      <w:r>
        <w:rPr>
          <w:lang w:val="en-US"/>
        </w:rPr>
        <w:t xml:space="preserve">In the Net Zero </w:t>
      </w:r>
      <w:r w:rsidR="0097225B">
        <w:rPr>
          <w:lang w:val="en-US"/>
        </w:rPr>
        <w:t>scenario, the trend is different</w:t>
      </w:r>
      <w:r w:rsidR="004C627C">
        <w:rPr>
          <w:lang w:val="en-US"/>
        </w:rPr>
        <w:t>, due to a rapid energy transition</w:t>
      </w:r>
      <w:r w:rsidR="0097225B">
        <w:rPr>
          <w:lang w:val="en-US"/>
        </w:rPr>
        <w:t xml:space="preserve">: </w:t>
      </w:r>
    </w:p>
    <w:p w14:paraId="031267AE" w14:textId="16D59057" w:rsidR="004C627C" w:rsidRPr="004C627C" w:rsidRDefault="00D84CB8" w:rsidP="00EB7B08">
      <w:pPr>
        <w:pStyle w:val="Paragraphedeliste"/>
        <w:numPr>
          <w:ilvl w:val="0"/>
          <w:numId w:val="32"/>
        </w:numPr>
        <w:rPr>
          <w:lang w:val="en-US"/>
        </w:rPr>
      </w:pPr>
      <w:r>
        <w:rPr>
          <w:lang w:val="en-US"/>
        </w:rPr>
        <w:t>In</w:t>
      </w:r>
      <w:r w:rsidR="002F129F">
        <w:rPr>
          <w:lang w:val="en-US"/>
        </w:rPr>
        <w:t xml:space="preserve"> developed economies, t</w:t>
      </w:r>
      <w:r w:rsidR="00787FC5">
        <w:rPr>
          <w:lang w:val="en-US"/>
        </w:rPr>
        <w:t>he demand for natural gas decreases</w:t>
      </w:r>
      <w:r w:rsidR="0036037C">
        <w:rPr>
          <w:lang w:val="en-US"/>
        </w:rPr>
        <w:t xml:space="preserve"> from </w:t>
      </w:r>
      <w:r w:rsidR="009D6EAF">
        <w:rPr>
          <w:lang w:val="en-US"/>
        </w:rPr>
        <w:t>2025.</w:t>
      </w:r>
    </w:p>
    <w:p w14:paraId="743FEB01" w14:textId="3F80BCE4" w:rsidR="00407AC2" w:rsidRPr="004C627C" w:rsidRDefault="00B34EE6" w:rsidP="00EB7B08">
      <w:pPr>
        <w:pStyle w:val="Paragraphedeliste"/>
        <w:numPr>
          <w:ilvl w:val="0"/>
          <w:numId w:val="32"/>
        </w:numPr>
        <w:rPr>
          <w:lang w:val="en-US"/>
        </w:rPr>
      </w:pPr>
      <w:r>
        <w:rPr>
          <w:lang w:val="en-US"/>
        </w:rPr>
        <w:t>In</w:t>
      </w:r>
      <w:r w:rsidR="00AB5DF5">
        <w:rPr>
          <w:lang w:val="en-US"/>
        </w:rPr>
        <w:t xml:space="preserve"> other geographies, </w:t>
      </w:r>
      <w:r w:rsidR="008B7D11">
        <w:rPr>
          <w:lang w:val="en-US"/>
        </w:rPr>
        <w:t>the first period</w:t>
      </w:r>
      <w:r w:rsidR="008B4D60">
        <w:rPr>
          <w:lang w:val="en-US"/>
        </w:rPr>
        <w:t xml:space="preserve"> of projection (2025-2035</w:t>
      </w:r>
      <w:r w:rsidR="00223998">
        <w:rPr>
          <w:lang w:val="en-US"/>
        </w:rPr>
        <w:t xml:space="preserve">) indicates a slight increase in </w:t>
      </w:r>
      <w:r w:rsidR="00D629BB">
        <w:rPr>
          <w:lang w:val="en-US"/>
        </w:rPr>
        <w:t>demand</w:t>
      </w:r>
      <w:r w:rsidR="00223998">
        <w:rPr>
          <w:lang w:val="en-US"/>
        </w:rPr>
        <w:t xml:space="preserve">, globally </w:t>
      </w:r>
      <w:r w:rsidR="00D629BB">
        <w:rPr>
          <w:lang w:val="en-US"/>
        </w:rPr>
        <w:t>compensating</w:t>
      </w:r>
      <w:r w:rsidR="00135DE3">
        <w:rPr>
          <w:lang w:val="en-US"/>
        </w:rPr>
        <w:t xml:space="preserve"> the decreasing trend of developed economies </w:t>
      </w:r>
      <w:r w:rsidR="00E461F7">
        <w:rPr>
          <w:lang w:val="en-US"/>
        </w:rPr>
        <w:t xml:space="preserve">until 2030. In the next decade, the </w:t>
      </w:r>
      <w:r w:rsidR="00740F31">
        <w:rPr>
          <w:lang w:val="en-US"/>
        </w:rPr>
        <w:t>demand in all geographies sharply decreases</w:t>
      </w:r>
      <w:r w:rsidR="0064658A">
        <w:rPr>
          <w:lang w:val="en-US"/>
        </w:rPr>
        <w:t>, to reach</w:t>
      </w:r>
      <w:r w:rsidR="00737989">
        <w:rPr>
          <w:lang w:val="en-US"/>
        </w:rPr>
        <w:t xml:space="preserve"> -50% </w:t>
      </w:r>
      <w:r w:rsidR="00D629BB">
        <w:rPr>
          <w:lang w:val="en-US"/>
        </w:rPr>
        <w:t>compared with 2022 in 2050.</w:t>
      </w:r>
    </w:p>
    <w:p w14:paraId="34F4415B" w14:textId="78BC4DD9" w:rsidR="00CC03E9" w:rsidRPr="006718FF" w:rsidRDefault="005E5489" w:rsidP="00DA03FF">
      <w:pPr>
        <w:rPr>
          <w:lang w:val="en-US"/>
        </w:rPr>
      </w:pPr>
      <w:r w:rsidRPr="005E5489">
        <w:rPr>
          <w:lang w:val="en-US"/>
        </w:rPr>
        <w:t>In addition</w:t>
      </w:r>
      <w:r w:rsidR="009362CF">
        <w:rPr>
          <w:lang w:val="en-US"/>
        </w:rPr>
        <w:t xml:space="preserve"> to global trends, </w:t>
      </w:r>
      <w:r w:rsidRPr="005E5489">
        <w:rPr>
          <w:lang w:val="en-US"/>
        </w:rPr>
        <w:t>the usage</w:t>
      </w:r>
      <w:r w:rsidR="009362CF">
        <w:rPr>
          <w:lang w:val="en-US"/>
        </w:rPr>
        <w:t xml:space="preserve"> and demand </w:t>
      </w:r>
      <w:r w:rsidRPr="005E5489">
        <w:rPr>
          <w:lang w:val="en-US"/>
        </w:rPr>
        <w:t>for</w:t>
      </w:r>
      <w:r w:rsidR="0015176D">
        <w:rPr>
          <w:lang w:val="en-US"/>
        </w:rPr>
        <w:t xml:space="preserve"> natural gas </w:t>
      </w:r>
      <w:r w:rsidRPr="005E5489">
        <w:rPr>
          <w:lang w:val="en-US"/>
        </w:rPr>
        <w:t xml:space="preserve">in Europe must </w:t>
      </w:r>
      <w:r w:rsidR="00556C74">
        <w:rPr>
          <w:lang w:val="en-US"/>
        </w:rPr>
        <w:t>be closely monitored</w:t>
      </w:r>
      <w:r w:rsidRPr="005E5489">
        <w:rPr>
          <w:lang w:val="en-US"/>
        </w:rPr>
        <w:t>,</w:t>
      </w:r>
      <w:r w:rsidR="00556C74">
        <w:rPr>
          <w:lang w:val="en-US"/>
        </w:rPr>
        <w:t xml:space="preserve"> as they are </w:t>
      </w:r>
      <w:r w:rsidRPr="005E5489">
        <w:rPr>
          <w:lang w:val="en-US"/>
        </w:rPr>
        <w:t>crucial for ASCO's</w:t>
      </w:r>
      <w:r w:rsidR="002F7E22">
        <w:rPr>
          <w:lang w:val="en-US"/>
        </w:rPr>
        <w:t xml:space="preserve"> business</w:t>
      </w:r>
      <w:r w:rsidRPr="005E5489">
        <w:rPr>
          <w:lang w:val="en-US"/>
        </w:rPr>
        <w:t xml:space="preserve"> operations.</w:t>
      </w:r>
      <w:r w:rsidR="00556C74">
        <w:rPr>
          <w:lang w:val="en-US"/>
        </w:rPr>
        <w:t xml:space="preserve"> The </w:t>
      </w:r>
      <w:r w:rsidRPr="005E5489">
        <w:rPr>
          <w:lang w:val="en-US"/>
        </w:rPr>
        <w:t>establishment</w:t>
      </w:r>
      <w:r w:rsidR="00556C74">
        <w:rPr>
          <w:lang w:val="en-US"/>
        </w:rPr>
        <w:t xml:space="preserve"> of a direct pipeline between Azerbaijan and Eu</w:t>
      </w:r>
      <w:r w:rsidR="00BB1E1C">
        <w:rPr>
          <w:lang w:val="en-US"/>
        </w:rPr>
        <w:t xml:space="preserve">rope </w:t>
      </w:r>
      <w:r w:rsidRPr="005E5489">
        <w:rPr>
          <w:lang w:val="en-US"/>
        </w:rPr>
        <w:t>has the potential to significantly enhance</w:t>
      </w:r>
      <w:r w:rsidR="008C300F">
        <w:rPr>
          <w:lang w:val="en-US"/>
        </w:rPr>
        <w:t xml:space="preserve"> gas exploration and exploitation in the Caspian Sea</w:t>
      </w:r>
      <w:r w:rsidR="00A25637">
        <w:rPr>
          <w:lang w:val="en-US"/>
        </w:rPr>
        <w:t xml:space="preserve">. </w:t>
      </w:r>
      <w:r w:rsidRPr="005E5489">
        <w:rPr>
          <w:lang w:val="en-US"/>
        </w:rPr>
        <w:t>However, it is important to consider the political risks</w:t>
      </w:r>
      <w:r w:rsidR="00560869">
        <w:rPr>
          <w:lang w:val="en-US"/>
        </w:rPr>
        <w:t xml:space="preserve"> that could</w:t>
      </w:r>
      <w:r w:rsidR="002669DD">
        <w:rPr>
          <w:lang w:val="en-US"/>
        </w:rPr>
        <w:t xml:space="preserve"> </w:t>
      </w:r>
      <w:r w:rsidRPr="005E5489">
        <w:rPr>
          <w:lang w:val="en-US"/>
        </w:rPr>
        <w:t xml:space="preserve">impact the </w:t>
      </w:r>
      <w:r w:rsidR="00AA771D">
        <w:rPr>
          <w:lang w:val="en-US"/>
        </w:rPr>
        <w:t xml:space="preserve">demand </w:t>
      </w:r>
      <w:r w:rsidRPr="005E5489">
        <w:rPr>
          <w:lang w:val="en-US"/>
        </w:rPr>
        <w:t>for</w:t>
      </w:r>
      <w:r w:rsidR="00AA771D">
        <w:rPr>
          <w:lang w:val="en-US"/>
        </w:rPr>
        <w:t xml:space="preserve"> natural gas</w:t>
      </w:r>
      <w:r w:rsidRPr="005E5489">
        <w:rPr>
          <w:lang w:val="en-US"/>
        </w:rPr>
        <w:t>. Demand may experience a sharp decline</w:t>
      </w:r>
      <w:r w:rsidR="00A851E7">
        <w:rPr>
          <w:lang w:val="en-US"/>
        </w:rPr>
        <w:t xml:space="preserve"> due to climate and energy mandates and directives </w:t>
      </w:r>
      <w:r w:rsidRPr="005E5489">
        <w:rPr>
          <w:lang w:val="en-US"/>
        </w:rPr>
        <w:t>within</w:t>
      </w:r>
      <w:r w:rsidR="00A851E7">
        <w:rPr>
          <w:lang w:val="en-US"/>
        </w:rPr>
        <w:t xml:space="preserve"> the European Union.</w:t>
      </w:r>
    </w:p>
    <w:p w14:paraId="7B2337F5" w14:textId="43F994EC" w:rsidR="009D5775" w:rsidRPr="00FD16F0" w:rsidRDefault="00C80CAB" w:rsidP="00EB7B08">
      <w:pPr>
        <w:pStyle w:val="Paragraphedeliste"/>
        <w:numPr>
          <w:ilvl w:val="2"/>
          <w:numId w:val="27"/>
        </w:numPr>
        <w:tabs>
          <w:tab w:val="left" w:pos="1134"/>
        </w:tabs>
        <w:ind w:left="993"/>
        <w:rPr>
          <w:b/>
          <w:lang w:val="en-US"/>
        </w:rPr>
      </w:pPr>
      <w:r w:rsidRPr="00FD16F0">
        <w:rPr>
          <w:b/>
          <w:lang w:val="en-US"/>
        </w:rPr>
        <w:t>Impacts</w:t>
      </w:r>
      <w:r w:rsidR="00E55D5F" w:rsidRPr="00FD16F0">
        <w:rPr>
          <w:b/>
          <w:lang w:val="en-US"/>
        </w:rPr>
        <w:t xml:space="preserve"> of the fluctuation of the oil</w:t>
      </w:r>
      <w:r w:rsidR="00DA03FF" w:rsidRPr="00FD16F0">
        <w:rPr>
          <w:b/>
          <w:lang w:val="en-US"/>
        </w:rPr>
        <w:t xml:space="preserve"> and </w:t>
      </w:r>
      <w:r w:rsidR="00E55D5F" w:rsidRPr="00FD16F0">
        <w:rPr>
          <w:b/>
          <w:lang w:val="en-US"/>
        </w:rPr>
        <w:t>gas demand</w:t>
      </w:r>
      <w:r w:rsidR="00DA03FF" w:rsidRPr="00FD16F0">
        <w:rPr>
          <w:b/>
          <w:lang w:val="en-US"/>
        </w:rPr>
        <w:t>s</w:t>
      </w:r>
      <w:r w:rsidR="00E55D5F" w:rsidRPr="00FD16F0">
        <w:rPr>
          <w:b/>
          <w:lang w:val="en-US"/>
        </w:rPr>
        <w:t xml:space="preserve"> </w:t>
      </w:r>
      <w:r w:rsidR="00DA03FF" w:rsidRPr="00FD16F0">
        <w:rPr>
          <w:b/>
          <w:lang w:val="en-US"/>
        </w:rPr>
        <w:t>on ASCO</w:t>
      </w:r>
    </w:p>
    <w:p w14:paraId="49BC6BC2" w14:textId="122272F5" w:rsidR="002D4542" w:rsidRPr="002D4542" w:rsidRDefault="002D4542" w:rsidP="002D4542">
      <w:pPr>
        <w:rPr>
          <w:lang w:val="en-US"/>
        </w:rPr>
      </w:pPr>
      <w:r w:rsidRPr="002D4542">
        <w:rPr>
          <w:lang w:val="en-US"/>
        </w:rPr>
        <w:lastRenderedPageBreak/>
        <w:t xml:space="preserve">It is important to frame the analysis by acknowledging its limitations, as it primarily relies on continental and global studies rather than regional analyses specific to the Caspian Sea area. Consequently, even though the global demand for oil and gas is expected to increase over the next decade, </w:t>
      </w:r>
      <w:r w:rsidR="00633082">
        <w:rPr>
          <w:lang w:val="en-US"/>
        </w:rPr>
        <w:t>in almost all climate scenarios</w:t>
      </w:r>
      <w:r w:rsidRPr="002D4542">
        <w:rPr>
          <w:lang w:val="en-US"/>
        </w:rPr>
        <w:t xml:space="preserve">, which </w:t>
      </w:r>
      <w:r w:rsidR="00C2488F">
        <w:rPr>
          <w:lang w:val="en-US"/>
        </w:rPr>
        <w:t>may</w:t>
      </w:r>
      <w:r w:rsidR="00487411">
        <w:rPr>
          <w:lang w:val="en-US"/>
        </w:rPr>
        <w:t xml:space="preserve"> </w:t>
      </w:r>
      <w:r w:rsidRPr="002D4542">
        <w:rPr>
          <w:lang w:val="en-US"/>
        </w:rPr>
        <w:t xml:space="preserve">not negatively impact ASCO's activities and revenues, predicting the regional distribution of demand and production remains challenging. This makes it difficult to </w:t>
      </w:r>
      <w:r w:rsidR="00C2488F">
        <w:rPr>
          <w:lang w:val="en-US"/>
        </w:rPr>
        <w:t>estimate</w:t>
      </w:r>
      <w:r w:rsidRPr="002D4542">
        <w:rPr>
          <w:lang w:val="en-US"/>
        </w:rPr>
        <w:t xml:space="preserve"> financial impact</w:t>
      </w:r>
      <w:r w:rsidR="00C2488F">
        <w:rPr>
          <w:lang w:val="en-US"/>
        </w:rPr>
        <w:t xml:space="preserve">s </w:t>
      </w:r>
      <w:r w:rsidRPr="002D4542">
        <w:rPr>
          <w:lang w:val="en-US"/>
        </w:rPr>
        <w:t>for ASCO</w:t>
      </w:r>
      <w:r w:rsidR="00246D5B">
        <w:rPr>
          <w:lang w:val="en-US"/>
        </w:rPr>
        <w:t xml:space="preserve"> over the fluctuations of oil and gas demand</w:t>
      </w:r>
      <w:r w:rsidRPr="002D4542">
        <w:rPr>
          <w:lang w:val="en-US"/>
        </w:rPr>
        <w:t>.</w:t>
      </w:r>
    </w:p>
    <w:p w14:paraId="5C7ED401" w14:textId="4EA0DD3F" w:rsidR="002D4542" w:rsidRPr="002D4542" w:rsidRDefault="002D4542" w:rsidP="002D4542">
      <w:pPr>
        <w:rPr>
          <w:lang w:val="en-US"/>
        </w:rPr>
      </w:pPr>
      <w:r w:rsidRPr="002D4542">
        <w:rPr>
          <w:lang w:val="en-US"/>
        </w:rPr>
        <w:t xml:space="preserve">The reserves </w:t>
      </w:r>
      <w:r w:rsidR="00907D70">
        <w:rPr>
          <w:lang w:val="en-US"/>
        </w:rPr>
        <w:t>of oil and gas</w:t>
      </w:r>
      <w:r w:rsidRPr="002D4542">
        <w:rPr>
          <w:lang w:val="en-US"/>
        </w:rPr>
        <w:t xml:space="preserve"> in the Caspian Basin are </w:t>
      </w:r>
      <w:r w:rsidR="00880684">
        <w:rPr>
          <w:lang w:val="en-US"/>
        </w:rPr>
        <w:t>sufficient</w:t>
      </w:r>
      <w:r w:rsidRPr="002D4542">
        <w:rPr>
          <w:lang w:val="en-US"/>
        </w:rPr>
        <w:t xml:space="preserve">, with substantial quantities remaining. Therefore, if ASCO remains competitive in its services, the overall activity for its specialized offshore platform service fleet should remain </w:t>
      </w:r>
      <w:r w:rsidR="00C2488F">
        <w:rPr>
          <w:lang w:val="en-US"/>
        </w:rPr>
        <w:t>steady</w:t>
      </w:r>
      <w:r w:rsidRPr="002D4542">
        <w:rPr>
          <w:lang w:val="en-US"/>
        </w:rPr>
        <w:t>.</w:t>
      </w:r>
    </w:p>
    <w:p w14:paraId="4FD3F7CA" w14:textId="3501D4EF" w:rsidR="002D4542" w:rsidRPr="002D4542" w:rsidRDefault="002D4542" w:rsidP="002D4542">
      <w:pPr>
        <w:rPr>
          <w:lang w:val="en-US"/>
        </w:rPr>
      </w:pPr>
      <w:r w:rsidRPr="002D4542">
        <w:rPr>
          <w:lang w:val="en-US"/>
        </w:rPr>
        <w:t>The primary uncertainty in this study lies in the unpredictability of climate and energy public policies and their potential changes in direction</w:t>
      </w:r>
      <w:r w:rsidR="006923D4">
        <w:rPr>
          <w:lang w:val="en-US"/>
        </w:rPr>
        <w:t>, with political unpredictability</w:t>
      </w:r>
      <w:r w:rsidRPr="002D4542">
        <w:rPr>
          <w:lang w:val="en-US"/>
        </w:rPr>
        <w:t xml:space="preserve">. Global demand for fossil fuels is constantly being </w:t>
      </w:r>
      <w:r w:rsidR="00246D5B">
        <w:rPr>
          <w:lang w:val="en-US"/>
        </w:rPr>
        <w:t>changed</w:t>
      </w:r>
      <w:r w:rsidRPr="002D4542">
        <w:rPr>
          <w:lang w:val="en-US"/>
        </w:rPr>
        <w:t>, making it even more challenging to forecast its evolution on a more localized scale.</w:t>
      </w:r>
      <w:r w:rsidR="006018B6">
        <w:rPr>
          <w:lang w:val="en-US"/>
        </w:rPr>
        <w:t xml:space="preserve"> </w:t>
      </w:r>
      <w:r w:rsidRPr="002D4542">
        <w:rPr>
          <w:lang w:val="en-US"/>
        </w:rPr>
        <w:t>To mitigate this potential transition risk, ASCO should closely monitor the climate and energy policies of the key countries to which it distributes oil and gas products. This would help anticipate regional demand trends more accurately an</w:t>
      </w:r>
      <w:r>
        <w:rPr>
          <w:lang w:val="en-US"/>
        </w:rPr>
        <w:t>d ad</w:t>
      </w:r>
      <w:r w:rsidR="007153AF">
        <w:rPr>
          <w:lang w:val="en-US"/>
        </w:rPr>
        <w:t>apt its strategy.</w:t>
      </w:r>
    </w:p>
    <w:p w14:paraId="02DB10DD" w14:textId="0BB1A632" w:rsidR="006F0A3B" w:rsidRPr="005D10D9" w:rsidRDefault="002D4542" w:rsidP="006F0A3B">
      <w:pPr>
        <w:rPr>
          <w:lang w:val="en-US"/>
        </w:rPr>
      </w:pPr>
      <w:r w:rsidRPr="002D4542">
        <w:rPr>
          <w:lang w:val="en-US"/>
        </w:rPr>
        <w:t xml:space="preserve">Additionally, there is an opportunity for ASCO to explore the offshore renewable energy market for its fleet. </w:t>
      </w:r>
      <w:r w:rsidR="007F5F41">
        <w:rPr>
          <w:lang w:val="en-US"/>
        </w:rPr>
        <w:t>Wind speed resources in the Caspian Sea area</w:t>
      </w:r>
      <w:r w:rsidR="00BA69C7">
        <w:rPr>
          <w:rStyle w:val="Appelnotedebasdep"/>
          <w:lang w:val="en-US"/>
        </w:rPr>
        <w:footnoteReference w:id="39"/>
      </w:r>
      <w:r w:rsidR="007F5F41">
        <w:rPr>
          <w:lang w:val="en-US"/>
        </w:rPr>
        <w:t xml:space="preserve"> could give rise to offshore wind activities. </w:t>
      </w:r>
      <w:r w:rsidRPr="002D4542">
        <w:rPr>
          <w:lang w:val="en-US"/>
        </w:rPr>
        <w:t xml:space="preserve">With relatively low adaptation and modernization costs, ASCO </w:t>
      </w:r>
      <w:r w:rsidR="007F5F41">
        <w:rPr>
          <w:lang w:val="en-US"/>
        </w:rPr>
        <w:t>could</w:t>
      </w:r>
      <w:r w:rsidRPr="002D4542">
        <w:rPr>
          <w:lang w:val="en-US"/>
        </w:rPr>
        <w:t xml:space="preserve"> position itself in this emerging market within the Caspian Sea. This is exemplified by the engagement of SOCAR and potentially other countries and companies in the region.</w:t>
      </w:r>
    </w:p>
    <w:p w14:paraId="04EB10CC" w14:textId="042AA04D" w:rsidR="008B0E4C" w:rsidRPr="00B65AAB" w:rsidRDefault="00DB7DD4" w:rsidP="00D20C78">
      <w:pPr>
        <w:pStyle w:val="Titre2"/>
        <w:ind w:left="567" w:hanging="142"/>
        <w:rPr>
          <w:lang w:val="en-US"/>
        </w:rPr>
      </w:pPr>
      <w:bookmarkStart w:id="41" w:name="_Toc183015109"/>
      <w:r w:rsidRPr="00CA215D">
        <w:rPr>
          <w:lang w:val="en-US"/>
        </w:rPr>
        <w:t xml:space="preserve">3. </w:t>
      </w:r>
      <w:r w:rsidR="00B65AAB" w:rsidRPr="00D20C78">
        <w:rPr>
          <w:rStyle w:val="Titre2Car"/>
          <w:b/>
          <w:lang w:val="en-US"/>
        </w:rPr>
        <w:t>Summary of transition risk</w:t>
      </w:r>
      <w:r w:rsidR="009073D9" w:rsidRPr="00D20C78">
        <w:rPr>
          <w:rStyle w:val="Titre2Car"/>
          <w:b/>
          <w:lang w:val="en-US"/>
        </w:rPr>
        <w:t xml:space="preserve"> impacts</w:t>
      </w:r>
      <w:bookmarkEnd w:id="41"/>
    </w:p>
    <w:p w14:paraId="6F028CB9" w14:textId="5D92CC98" w:rsidR="00423933" w:rsidRDefault="00423933" w:rsidP="00423933">
      <w:pPr>
        <w:rPr>
          <w:lang w:val="en-US"/>
        </w:rPr>
      </w:pPr>
      <w:r>
        <w:rPr>
          <w:lang w:val="en-US"/>
        </w:rPr>
        <w:t xml:space="preserve">As transition </w:t>
      </w:r>
      <w:r w:rsidR="00F542AF">
        <w:rPr>
          <w:lang w:val="en-US"/>
        </w:rPr>
        <w:t xml:space="preserve">risks are </w:t>
      </w:r>
      <w:r>
        <w:rPr>
          <w:lang w:val="en-US"/>
        </w:rPr>
        <w:t>not always</w:t>
      </w:r>
      <w:r w:rsidR="00F542AF">
        <w:rPr>
          <w:lang w:val="en-US"/>
        </w:rPr>
        <w:t xml:space="preserve"> </w:t>
      </w:r>
      <w:r w:rsidR="00C973AB">
        <w:rPr>
          <w:lang w:val="en-US"/>
        </w:rPr>
        <w:t>tangible,</w:t>
      </w:r>
      <w:r w:rsidR="00F542AF">
        <w:rPr>
          <w:lang w:val="en-US"/>
        </w:rPr>
        <w:t xml:space="preserve"> </w:t>
      </w:r>
      <w:r w:rsidR="00FC4607">
        <w:rPr>
          <w:lang w:val="en-US"/>
        </w:rPr>
        <w:t xml:space="preserve">it </w:t>
      </w:r>
      <w:r>
        <w:rPr>
          <w:lang w:val="en-US"/>
        </w:rPr>
        <w:t>remains</w:t>
      </w:r>
      <w:r w:rsidR="00F542AF">
        <w:rPr>
          <w:lang w:val="en-US"/>
        </w:rPr>
        <w:t xml:space="preserve"> challenging to </w:t>
      </w:r>
      <w:r w:rsidR="00FC4607">
        <w:rPr>
          <w:lang w:val="en-US"/>
        </w:rPr>
        <w:t xml:space="preserve">accurately </w:t>
      </w:r>
      <w:r w:rsidR="005A6305">
        <w:rPr>
          <w:lang w:val="en-US"/>
        </w:rPr>
        <w:t xml:space="preserve">predict their impact on a company’s business. </w:t>
      </w:r>
      <w:r w:rsidR="005D24EB">
        <w:rPr>
          <w:lang w:val="en-US"/>
        </w:rPr>
        <w:t xml:space="preserve">It is however very important to </w:t>
      </w:r>
      <w:r w:rsidR="008B2A33">
        <w:rPr>
          <w:lang w:val="en-US"/>
        </w:rPr>
        <w:t>analyze</w:t>
      </w:r>
      <w:r w:rsidR="005D24EB">
        <w:rPr>
          <w:lang w:val="en-US"/>
        </w:rPr>
        <w:t xml:space="preserve"> their potential impacts</w:t>
      </w:r>
      <w:r w:rsidR="00A144FD">
        <w:rPr>
          <w:lang w:val="en-US"/>
        </w:rPr>
        <w:t xml:space="preserve">, by </w:t>
      </w:r>
      <w:r>
        <w:rPr>
          <w:lang w:val="en-US"/>
        </w:rPr>
        <w:t>incorporating this new class of risks into the company risk mapping featuring into the risk management policy. As a second step, ASCO could estimate</w:t>
      </w:r>
      <w:r w:rsidR="00A144FD">
        <w:rPr>
          <w:lang w:val="en-US"/>
        </w:rPr>
        <w:t xml:space="preserve"> th</w:t>
      </w:r>
      <w:r w:rsidR="00AF085B">
        <w:rPr>
          <w:lang w:val="en-US"/>
        </w:rPr>
        <w:t>e financial magnitude of the impact</w:t>
      </w:r>
      <w:r w:rsidR="008B2A33">
        <w:rPr>
          <w:lang w:val="en-US"/>
        </w:rPr>
        <w:t xml:space="preserve"> and the probab</w:t>
      </w:r>
      <w:r w:rsidR="00593B85">
        <w:rPr>
          <w:lang w:val="en-US"/>
        </w:rPr>
        <w:t xml:space="preserve">ility </w:t>
      </w:r>
      <w:r>
        <w:rPr>
          <w:lang w:val="en-US"/>
        </w:rPr>
        <w:t xml:space="preserve">of occurrence of </w:t>
      </w:r>
      <w:r w:rsidR="00593B85">
        <w:rPr>
          <w:lang w:val="en-US"/>
        </w:rPr>
        <w:t>the transition risk</w:t>
      </w:r>
      <w:r w:rsidR="00B1085B">
        <w:rPr>
          <w:lang w:val="en-US"/>
        </w:rPr>
        <w:t>.</w:t>
      </w:r>
      <w:r w:rsidR="00C76780">
        <w:rPr>
          <w:lang w:val="en-US"/>
        </w:rPr>
        <w:t xml:space="preserve"> The </w:t>
      </w:r>
      <w:r w:rsidR="00931C4A">
        <w:rPr>
          <w:lang w:val="en-US"/>
        </w:rPr>
        <w:t>evaluation of the impact and especially of the probability may vary</w:t>
      </w:r>
      <w:r w:rsidR="00CD6968">
        <w:rPr>
          <w:lang w:val="en-US"/>
        </w:rPr>
        <w:t xml:space="preserve"> due to political</w:t>
      </w:r>
      <w:r w:rsidR="008515B1">
        <w:rPr>
          <w:lang w:val="en-US"/>
        </w:rPr>
        <w:t xml:space="preserve">, </w:t>
      </w:r>
      <w:proofErr w:type="spellStart"/>
      <w:r w:rsidR="008515B1">
        <w:rPr>
          <w:lang w:val="en-US"/>
        </w:rPr>
        <w:t>economical</w:t>
      </w:r>
      <w:proofErr w:type="spellEnd"/>
      <w:r w:rsidR="008515B1">
        <w:rPr>
          <w:lang w:val="en-US"/>
        </w:rPr>
        <w:t xml:space="preserve"> and social changes and it is therefore important to </w:t>
      </w:r>
      <w:r w:rsidR="00F97500">
        <w:rPr>
          <w:lang w:val="en-US"/>
        </w:rPr>
        <w:t>update the analysis</w:t>
      </w:r>
      <w:r>
        <w:rPr>
          <w:lang w:val="en-US"/>
        </w:rPr>
        <w:t xml:space="preserve"> on a regular basis.</w:t>
      </w:r>
      <w:r w:rsidR="00F97500">
        <w:rPr>
          <w:lang w:val="en-US"/>
        </w:rPr>
        <w:t xml:space="preserve"> </w:t>
      </w:r>
      <w:r w:rsidR="003031B9">
        <w:rPr>
          <w:lang w:val="en-US"/>
        </w:rPr>
        <w:t xml:space="preserve">The table below presents </w:t>
      </w:r>
      <w:r w:rsidR="002F4346">
        <w:rPr>
          <w:lang w:val="en-US"/>
        </w:rPr>
        <w:t xml:space="preserve">the synthesis of studied transition risks. </w:t>
      </w:r>
    </w:p>
    <w:p w14:paraId="6478A6F1" w14:textId="7A748D38" w:rsidR="0061550F" w:rsidRDefault="0061550F" w:rsidP="0061550F">
      <w:pPr>
        <w:rPr>
          <w:lang w:val="en-US"/>
        </w:rPr>
      </w:pPr>
    </w:p>
    <w:tbl>
      <w:tblPr>
        <w:tblStyle w:val="TableauGrille5Fonc-Accentuation1"/>
        <w:tblW w:w="9209" w:type="dxa"/>
        <w:tblLook w:val="04A0" w:firstRow="1" w:lastRow="0" w:firstColumn="1" w:lastColumn="0" w:noHBand="0" w:noVBand="1"/>
      </w:tblPr>
      <w:tblGrid>
        <w:gridCol w:w="3069"/>
        <w:gridCol w:w="3070"/>
        <w:gridCol w:w="3070"/>
      </w:tblGrid>
      <w:tr w:rsidR="00365A84" w14:paraId="6A13A2AB" w14:textId="77777777" w:rsidTr="00365A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9" w:type="dxa"/>
          </w:tcPr>
          <w:p w14:paraId="3288FAAC" w14:textId="43A39A0D" w:rsidR="00365A84" w:rsidRDefault="00365A84" w:rsidP="002D1E9C">
            <w:pPr>
              <w:jc w:val="center"/>
              <w:rPr>
                <w:lang w:val="en-US"/>
              </w:rPr>
            </w:pPr>
            <w:r>
              <w:rPr>
                <w:lang w:val="en-US"/>
              </w:rPr>
              <w:t>Transition risk</w:t>
            </w:r>
          </w:p>
        </w:tc>
        <w:tc>
          <w:tcPr>
            <w:tcW w:w="3070" w:type="dxa"/>
          </w:tcPr>
          <w:p w14:paraId="4C057399" w14:textId="0F5B426F" w:rsidR="00365A84" w:rsidRDefault="00365A84" w:rsidP="002D1E9C">
            <w:pPr>
              <w:jc w:val="center"/>
              <w:cnfStyle w:val="100000000000" w:firstRow="1" w:lastRow="0" w:firstColumn="0" w:lastColumn="0" w:oddVBand="0" w:evenVBand="0" w:oddHBand="0" w:evenHBand="0" w:firstRowFirstColumn="0" w:firstRowLastColumn="0" w:lastRowFirstColumn="0" w:lastRowLastColumn="0"/>
              <w:rPr>
                <w:lang w:val="en-US"/>
              </w:rPr>
            </w:pPr>
            <w:r>
              <w:rPr>
                <w:lang w:val="en-US"/>
              </w:rPr>
              <w:t>Magnitude</w:t>
            </w:r>
            <w:r w:rsidR="005C07F8">
              <w:rPr>
                <w:lang w:val="en-US"/>
              </w:rPr>
              <w:t xml:space="preserve"> of the impact</w:t>
            </w:r>
          </w:p>
        </w:tc>
        <w:tc>
          <w:tcPr>
            <w:tcW w:w="3070" w:type="dxa"/>
          </w:tcPr>
          <w:p w14:paraId="083089A1" w14:textId="121C3352" w:rsidR="00365A84" w:rsidRDefault="00365A84" w:rsidP="002D1E9C">
            <w:pPr>
              <w:jc w:val="center"/>
              <w:cnfStyle w:val="100000000000" w:firstRow="1" w:lastRow="0" w:firstColumn="0" w:lastColumn="0" w:oddVBand="0" w:evenVBand="0" w:oddHBand="0" w:evenHBand="0" w:firstRowFirstColumn="0" w:firstRowLastColumn="0" w:lastRowFirstColumn="0" w:lastRowLastColumn="0"/>
              <w:rPr>
                <w:lang w:val="en-US"/>
              </w:rPr>
            </w:pPr>
            <w:r>
              <w:rPr>
                <w:lang w:val="en-US"/>
              </w:rPr>
              <w:t>Probability</w:t>
            </w:r>
            <w:r w:rsidR="005C07F8">
              <w:rPr>
                <w:lang w:val="en-US"/>
              </w:rPr>
              <w:t xml:space="preserve"> of the risk</w:t>
            </w:r>
          </w:p>
        </w:tc>
      </w:tr>
      <w:tr w:rsidR="002D10F4" w:rsidRPr="002D10F4" w14:paraId="3FF3F530" w14:textId="77777777" w:rsidTr="002D10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9" w:type="dxa"/>
            <w:vMerge w:val="restart"/>
            <w:shd w:val="clear" w:color="auto" w:fill="648ACE"/>
          </w:tcPr>
          <w:p w14:paraId="0E5456BC" w14:textId="1C12C2A0" w:rsidR="002D10F4" w:rsidRPr="002D1E9C" w:rsidRDefault="002D10F4" w:rsidP="002D1E9C">
            <w:pPr>
              <w:jc w:val="left"/>
              <w:rPr>
                <w:b w:val="0"/>
                <w:bCs w:val="0"/>
                <w:color w:val="000000" w:themeColor="text1"/>
                <w:sz w:val="20"/>
                <w:szCs w:val="20"/>
                <w:lang w:val="en-US"/>
              </w:rPr>
            </w:pPr>
            <w:r w:rsidRPr="002D1E9C">
              <w:rPr>
                <w:b w:val="0"/>
                <w:bCs w:val="0"/>
                <w:color w:val="000000" w:themeColor="text1"/>
                <w:sz w:val="20"/>
                <w:szCs w:val="20"/>
                <w:lang w:val="en-US"/>
              </w:rPr>
              <w:t>Increase of sustainability reporting mandates</w:t>
            </w:r>
          </w:p>
        </w:tc>
        <w:tc>
          <w:tcPr>
            <w:tcW w:w="3070" w:type="dxa"/>
          </w:tcPr>
          <w:p w14:paraId="54903141" w14:textId="64B4641C" w:rsidR="002D10F4" w:rsidRPr="002D1E9C" w:rsidRDefault="00B1272B" w:rsidP="002D10F4">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en-US"/>
              </w:rPr>
            </w:pPr>
            <w:r>
              <w:rPr>
                <w:color w:val="000000" w:themeColor="text1"/>
                <w:sz w:val="20"/>
                <w:szCs w:val="20"/>
                <w:lang w:val="en-US"/>
              </w:rPr>
              <w:t>Medium</w:t>
            </w:r>
          </w:p>
        </w:tc>
        <w:tc>
          <w:tcPr>
            <w:tcW w:w="3070" w:type="dxa"/>
          </w:tcPr>
          <w:p w14:paraId="3ABE64FA" w14:textId="2DC002F7" w:rsidR="002D10F4" w:rsidRPr="002D1E9C" w:rsidRDefault="008D25B2" w:rsidP="002D10F4">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en-US"/>
              </w:rPr>
            </w:pPr>
            <w:r>
              <w:rPr>
                <w:color w:val="000000" w:themeColor="text1"/>
                <w:sz w:val="20"/>
                <w:szCs w:val="20"/>
                <w:lang w:val="en-US"/>
              </w:rPr>
              <w:t>Very hi</w:t>
            </w:r>
            <w:r w:rsidR="00CF6E52">
              <w:rPr>
                <w:color w:val="000000" w:themeColor="text1"/>
                <w:sz w:val="20"/>
                <w:szCs w:val="20"/>
                <w:lang w:val="en-US"/>
              </w:rPr>
              <w:t>gh</w:t>
            </w:r>
          </w:p>
        </w:tc>
      </w:tr>
      <w:tr w:rsidR="002D10F4" w:rsidRPr="00FA7359" w14:paraId="47FBF162" w14:textId="77777777" w:rsidTr="002D10F4">
        <w:tc>
          <w:tcPr>
            <w:cnfStyle w:val="001000000000" w:firstRow="0" w:lastRow="0" w:firstColumn="1" w:lastColumn="0" w:oddVBand="0" w:evenVBand="0" w:oddHBand="0" w:evenHBand="0" w:firstRowFirstColumn="0" w:firstRowLastColumn="0" w:lastRowFirstColumn="0" w:lastRowLastColumn="0"/>
            <w:tcW w:w="3069" w:type="dxa"/>
            <w:vMerge/>
            <w:shd w:val="clear" w:color="auto" w:fill="648ACE"/>
          </w:tcPr>
          <w:p w14:paraId="0D12034A" w14:textId="77777777" w:rsidR="002D10F4" w:rsidRPr="002D1E9C" w:rsidRDefault="002D10F4" w:rsidP="002D1E9C">
            <w:pPr>
              <w:jc w:val="left"/>
              <w:rPr>
                <w:b w:val="0"/>
                <w:bCs w:val="0"/>
                <w:color w:val="000000" w:themeColor="text1"/>
                <w:sz w:val="20"/>
                <w:szCs w:val="20"/>
                <w:lang w:val="en-US"/>
              </w:rPr>
            </w:pPr>
          </w:p>
        </w:tc>
        <w:tc>
          <w:tcPr>
            <w:tcW w:w="3070" w:type="dxa"/>
          </w:tcPr>
          <w:p w14:paraId="0714E0FD" w14:textId="512C0927" w:rsidR="002D10F4" w:rsidRPr="002D1E9C" w:rsidRDefault="00681D45" w:rsidP="00D436F5">
            <w:pPr>
              <w:jc w:val="left"/>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en-US"/>
              </w:rPr>
            </w:pPr>
            <w:r>
              <w:rPr>
                <w:color w:val="000000" w:themeColor="text1"/>
                <w:sz w:val="20"/>
                <w:szCs w:val="20"/>
                <w:lang w:val="en-US"/>
              </w:rPr>
              <w:t xml:space="preserve">Financial cost </w:t>
            </w:r>
            <w:r w:rsidR="002714C8">
              <w:rPr>
                <w:color w:val="000000" w:themeColor="text1"/>
                <w:sz w:val="20"/>
                <w:szCs w:val="20"/>
                <w:lang w:val="en-US"/>
              </w:rPr>
              <w:t>to remain compliant with increasing sustainability mandates</w:t>
            </w:r>
            <w:r w:rsidR="009B370B">
              <w:rPr>
                <w:color w:val="000000" w:themeColor="text1"/>
                <w:sz w:val="20"/>
                <w:szCs w:val="20"/>
                <w:lang w:val="en-US"/>
              </w:rPr>
              <w:t xml:space="preserve"> can be important</w:t>
            </w:r>
            <w:r w:rsidR="00F00B2D">
              <w:rPr>
                <w:color w:val="000000" w:themeColor="text1"/>
                <w:sz w:val="20"/>
                <w:szCs w:val="20"/>
                <w:lang w:val="en-US"/>
              </w:rPr>
              <w:t xml:space="preserve"> but </w:t>
            </w:r>
            <w:r w:rsidR="00A543A5">
              <w:rPr>
                <w:color w:val="000000" w:themeColor="text1"/>
                <w:sz w:val="20"/>
                <w:szCs w:val="20"/>
                <w:lang w:val="en-US"/>
              </w:rPr>
              <w:t xml:space="preserve">OPEX </w:t>
            </w:r>
            <w:r w:rsidR="00F00B2D">
              <w:rPr>
                <w:color w:val="000000" w:themeColor="text1"/>
                <w:sz w:val="20"/>
                <w:szCs w:val="20"/>
                <w:lang w:val="en-US"/>
              </w:rPr>
              <w:t xml:space="preserve">are expected to </w:t>
            </w:r>
            <w:r w:rsidR="00A543A5">
              <w:rPr>
                <w:color w:val="000000" w:themeColor="text1"/>
                <w:sz w:val="20"/>
                <w:szCs w:val="20"/>
                <w:lang w:val="en-US"/>
              </w:rPr>
              <w:t>remain</w:t>
            </w:r>
            <w:r w:rsidR="00F00B2D">
              <w:rPr>
                <w:color w:val="000000" w:themeColor="text1"/>
                <w:sz w:val="20"/>
                <w:szCs w:val="20"/>
                <w:lang w:val="en-US"/>
              </w:rPr>
              <w:t xml:space="preserve"> reasonable compared </w:t>
            </w:r>
            <w:r w:rsidR="00150E39">
              <w:rPr>
                <w:color w:val="000000" w:themeColor="text1"/>
                <w:sz w:val="20"/>
                <w:szCs w:val="20"/>
                <w:lang w:val="en-US"/>
              </w:rPr>
              <w:t>to</w:t>
            </w:r>
            <w:r w:rsidR="00F00B2D">
              <w:rPr>
                <w:color w:val="000000" w:themeColor="text1"/>
                <w:sz w:val="20"/>
                <w:szCs w:val="20"/>
                <w:lang w:val="en-US"/>
              </w:rPr>
              <w:t xml:space="preserve"> ASCO profits.</w:t>
            </w:r>
          </w:p>
        </w:tc>
        <w:tc>
          <w:tcPr>
            <w:tcW w:w="3070" w:type="dxa"/>
          </w:tcPr>
          <w:p w14:paraId="4707F8BE" w14:textId="21680565" w:rsidR="002D10F4" w:rsidRPr="002D1E9C" w:rsidRDefault="00CF6E52" w:rsidP="009E3EFC">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en-US"/>
              </w:rPr>
            </w:pPr>
            <w:r>
              <w:rPr>
                <w:color w:val="000000" w:themeColor="text1"/>
                <w:sz w:val="20"/>
                <w:szCs w:val="20"/>
                <w:lang w:val="en-US"/>
              </w:rPr>
              <w:t xml:space="preserve">Sustainability mandates are </w:t>
            </w:r>
            <w:r w:rsidR="009E3EFC">
              <w:rPr>
                <w:color w:val="000000" w:themeColor="text1"/>
                <w:sz w:val="20"/>
                <w:szCs w:val="20"/>
                <w:lang w:val="en-US"/>
              </w:rPr>
              <w:t>already in</w:t>
            </w:r>
            <w:r w:rsidR="003F02D0">
              <w:rPr>
                <w:color w:val="000000" w:themeColor="text1"/>
                <w:sz w:val="20"/>
                <w:szCs w:val="20"/>
                <w:lang w:val="en-US"/>
              </w:rPr>
              <w:t xml:space="preserve"> place and most likely will be</w:t>
            </w:r>
            <w:r w:rsidR="00E43DA6">
              <w:rPr>
                <w:color w:val="000000" w:themeColor="text1"/>
                <w:sz w:val="20"/>
                <w:szCs w:val="20"/>
                <w:lang w:val="en-US"/>
              </w:rPr>
              <w:t xml:space="preserve"> reinforced in future years</w:t>
            </w:r>
            <w:r w:rsidR="00C6796A">
              <w:rPr>
                <w:color w:val="000000" w:themeColor="text1"/>
                <w:sz w:val="20"/>
                <w:szCs w:val="20"/>
                <w:lang w:val="en-US"/>
              </w:rPr>
              <w:t>, notably with ASCO aspirations to increase its activities in Europe.</w:t>
            </w:r>
          </w:p>
        </w:tc>
      </w:tr>
      <w:tr w:rsidR="002D10F4" w:rsidRPr="002D10F4" w14:paraId="037DA24C" w14:textId="77777777" w:rsidTr="002D10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9" w:type="dxa"/>
            <w:vMerge w:val="restart"/>
            <w:shd w:val="clear" w:color="auto" w:fill="648ACE"/>
          </w:tcPr>
          <w:p w14:paraId="276819F7" w14:textId="16C1268E" w:rsidR="002D10F4" w:rsidRPr="002D1E9C" w:rsidRDefault="002D10F4" w:rsidP="002D1E9C">
            <w:pPr>
              <w:jc w:val="left"/>
              <w:rPr>
                <w:b w:val="0"/>
                <w:bCs w:val="0"/>
                <w:color w:val="000000" w:themeColor="text1"/>
                <w:sz w:val="20"/>
                <w:szCs w:val="20"/>
                <w:lang w:val="en-US"/>
              </w:rPr>
            </w:pPr>
            <w:r w:rsidRPr="002D1E9C">
              <w:rPr>
                <w:b w:val="0"/>
                <w:bCs w:val="0"/>
                <w:color w:val="000000" w:themeColor="text1"/>
                <w:sz w:val="20"/>
                <w:szCs w:val="20"/>
                <w:lang w:val="en-US"/>
              </w:rPr>
              <w:t>Increased pricing of GHG emissions</w:t>
            </w:r>
          </w:p>
        </w:tc>
        <w:tc>
          <w:tcPr>
            <w:tcW w:w="3070" w:type="dxa"/>
          </w:tcPr>
          <w:p w14:paraId="5FB8D8A5" w14:textId="33931067" w:rsidR="002D10F4" w:rsidRPr="002D1E9C" w:rsidRDefault="00B37F3D" w:rsidP="002D10F4">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en-US"/>
              </w:rPr>
            </w:pPr>
            <w:r w:rsidRPr="002D1E9C">
              <w:rPr>
                <w:color w:val="000000" w:themeColor="text1"/>
                <w:sz w:val="20"/>
                <w:szCs w:val="20"/>
                <w:lang w:val="en-US"/>
              </w:rPr>
              <w:t>High</w:t>
            </w:r>
          </w:p>
        </w:tc>
        <w:tc>
          <w:tcPr>
            <w:tcW w:w="3070" w:type="dxa"/>
          </w:tcPr>
          <w:p w14:paraId="515C0975" w14:textId="2EA3C092" w:rsidR="002D10F4" w:rsidRPr="002D1E9C" w:rsidRDefault="00846898" w:rsidP="002D10F4">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en-US"/>
              </w:rPr>
            </w:pPr>
            <w:r>
              <w:rPr>
                <w:color w:val="000000" w:themeColor="text1"/>
                <w:sz w:val="20"/>
                <w:szCs w:val="20"/>
                <w:lang w:val="en-US"/>
              </w:rPr>
              <w:t>L</w:t>
            </w:r>
            <w:r w:rsidR="00B37F3D" w:rsidRPr="002D1E9C">
              <w:rPr>
                <w:color w:val="000000" w:themeColor="text1"/>
                <w:sz w:val="20"/>
                <w:szCs w:val="20"/>
                <w:lang w:val="en-US"/>
              </w:rPr>
              <w:t>ow</w:t>
            </w:r>
          </w:p>
        </w:tc>
      </w:tr>
      <w:tr w:rsidR="002D10F4" w:rsidRPr="00FA7359" w14:paraId="4339EC32" w14:textId="77777777" w:rsidTr="002D10F4">
        <w:tc>
          <w:tcPr>
            <w:cnfStyle w:val="001000000000" w:firstRow="0" w:lastRow="0" w:firstColumn="1" w:lastColumn="0" w:oddVBand="0" w:evenVBand="0" w:oddHBand="0" w:evenHBand="0" w:firstRowFirstColumn="0" w:firstRowLastColumn="0" w:lastRowFirstColumn="0" w:lastRowLastColumn="0"/>
            <w:tcW w:w="3069" w:type="dxa"/>
            <w:vMerge/>
            <w:shd w:val="clear" w:color="auto" w:fill="648ACE"/>
          </w:tcPr>
          <w:p w14:paraId="05C80039" w14:textId="77777777" w:rsidR="002D10F4" w:rsidRPr="002D1E9C" w:rsidRDefault="002D10F4" w:rsidP="002D1E9C">
            <w:pPr>
              <w:jc w:val="left"/>
              <w:rPr>
                <w:b w:val="0"/>
                <w:bCs w:val="0"/>
                <w:color w:val="000000" w:themeColor="text1"/>
                <w:sz w:val="20"/>
                <w:szCs w:val="20"/>
                <w:lang w:val="en-US"/>
              </w:rPr>
            </w:pPr>
          </w:p>
        </w:tc>
        <w:tc>
          <w:tcPr>
            <w:tcW w:w="3070" w:type="dxa"/>
          </w:tcPr>
          <w:p w14:paraId="64BD508A" w14:textId="55D28449" w:rsidR="002D10F4" w:rsidRPr="002D1E9C" w:rsidRDefault="002D1E9C" w:rsidP="009E3EFC">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en-US"/>
              </w:rPr>
            </w:pPr>
            <w:r>
              <w:rPr>
                <w:color w:val="000000" w:themeColor="text1"/>
                <w:sz w:val="20"/>
                <w:szCs w:val="20"/>
                <w:lang w:val="en-US"/>
              </w:rPr>
              <w:t xml:space="preserve">Financial cost for ASCO could be </w:t>
            </w:r>
            <w:r w:rsidR="00667B6B">
              <w:rPr>
                <w:color w:val="000000" w:themeColor="text1"/>
                <w:sz w:val="20"/>
                <w:szCs w:val="20"/>
                <w:lang w:val="en-US"/>
              </w:rPr>
              <w:t>substantial and heavily affect</w:t>
            </w:r>
            <w:r w:rsidR="00A90FB8">
              <w:rPr>
                <w:color w:val="000000" w:themeColor="text1"/>
                <w:sz w:val="20"/>
                <w:szCs w:val="20"/>
                <w:lang w:val="en-US"/>
              </w:rPr>
              <w:t xml:space="preserve"> profits an</w:t>
            </w:r>
            <w:r w:rsidR="00603A29">
              <w:rPr>
                <w:color w:val="000000" w:themeColor="text1"/>
                <w:sz w:val="20"/>
                <w:szCs w:val="20"/>
                <w:lang w:val="en-US"/>
              </w:rPr>
              <w:t>d th</w:t>
            </w:r>
            <w:r w:rsidR="004B1B93">
              <w:rPr>
                <w:color w:val="000000" w:themeColor="text1"/>
                <w:sz w:val="20"/>
                <w:szCs w:val="20"/>
                <w:lang w:val="en-US"/>
              </w:rPr>
              <w:t>e business.</w:t>
            </w:r>
          </w:p>
        </w:tc>
        <w:tc>
          <w:tcPr>
            <w:tcW w:w="3070" w:type="dxa"/>
          </w:tcPr>
          <w:p w14:paraId="4DC7A310" w14:textId="5B1F6273" w:rsidR="002D10F4" w:rsidRPr="002D1E9C" w:rsidRDefault="004B1B93" w:rsidP="009E3EFC">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en-US"/>
              </w:rPr>
            </w:pPr>
            <w:r>
              <w:rPr>
                <w:color w:val="000000" w:themeColor="text1"/>
                <w:sz w:val="20"/>
                <w:szCs w:val="20"/>
                <w:lang w:val="en-US"/>
              </w:rPr>
              <w:t>Except from the EU ETS</w:t>
            </w:r>
            <w:r w:rsidR="00C56B2B">
              <w:rPr>
                <w:color w:val="000000" w:themeColor="text1"/>
                <w:sz w:val="20"/>
                <w:szCs w:val="20"/>
                <w:lang w:val="en-US"/>
              </w:rPr>
              <w:t xml:space="preserve"> legislative that is already effective, </w:t>
            </w:r>
            <w:r w:rsidR="00BF00EA">
              <w:rPr>
                <w:color w:val="000000" w:themeColor="text1"/>
                <w:sz w:val="20"/>
                <w:szCs w:val="20"/>
                <w:lang w:val="en-US"/>
              </w:rPr>
              <w:t xml:space="preserve">it is unlikely that new </w:t>
            </w:r>
            <w:r w:rsidR="00BF00EA">
              <w:rPr>
                <w:color w:val="000000" w:themeColor="text1"/>
                <w:sz w:val="20"/>
                <w:szCs w:val="20"/>
                <w:lang w:val="en-US"/>
              </w:rPr>
              <w:lastRenderedPageBreak/>
              <w:t>carbon price mechanisms emerge.</w:t>
            </w:r>
          </w:p>
        </w:tc>
      </w:tr>
      <w:tr w:rsidR="00831DBA" w:rsidRPr="00831DBA" w14:paraId="799BE20D" w14:textId="77777777" w:rsidTr="002D10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9" w:type="dxa"/>
            <w:vMerge w:val="restart"/>
            <w:shd w:val="clear" w:color="auto" w:fill="648ACE"/>
          </w:tcPr>
          <w:p w14:paraId="154727BE" w14:textId="0AF0D26E" w:rsidR="00831DBA" w:rsidRPr="002D1E9C" w:rsidRDefault="00831DBA" w:rsidP="00831DBA">
            <w:pPr>
              <w:jc w:val="left"/>
              <w:rPr>
                <w:b w:val="0"/>
                <w:bCs w:val="0"/>
                <w:color w:val="000000" w:themeColor="text1"/>
                <w:sz w:val="20"/>
                <w:szCs w:val="20"/>
                <w:lang w:val="en-US"/>
              </w:rPr>
            </w:pPr>
            <w:r w:rsidRPr="002D1E9C">
              <w:rPr>
                <w:b w:val="0"/>
                <w:bCs w:val="0"/>
                <w:color w:val="000000" w:themeColor="text1"/>
                <w:sz w:val="20"/>
                <w:szCs w:val="20"/>
                <w:lang w:val="en-US"/>
              </w:rPr>
              <w:lastRenderedPageBreak/>
              <w:t>Mandates on low carbon fuel use and energy efficiency</w:t>
            </w:r>
          </w:p>
        </w:tc>
        <w:tc>
          <w:tcPr>
            <w:tcW w:w="3070" w:type="dxa"/>
          </w:tcPr>
          <w:p w14:paraId="65CC6AE7" w14:textId="0A67739A" w:rsidR="00831DBA" w:rsidRPr="002D1E9C" w:rsidRDefault="00831DBA" w:rsidP="00831DBA">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en-US"/>
              </w:rPr>
            </w:pPr>
            <w:r>
              <w:rPr>
                <w:color w:val="000000" w:themeColor="text1"/>
                <w:sz w:val="20"/>
                <w:szCs w:val="20"/>
                <w:lang w:val="en-US"/>
              </w:rPr>
              <w:t>High</w:t>
            </w:r>
          </w:p>
        </w:tc>
        <w:tc>
          <w:tcPr>
            <w:tcW w:w="3070" w:type="dxa"/>
          </w:tcPr>
          <w:p w14:paraId="6E2E19AD" w14:textId="1D4922D3" w:rsidR="00831DBA" w:rsidRPr="002D1E9C" w:rsidRDefault="00831DBA" w:rsidP="00831DBA">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en-US"/>
              </w:rPr>
            </w:pPr>
            <w:r>
              <w:rPr>
                <w:color w:val="000000" w:themeColor="text1"/>
                <w:sz w:val="20"/>
                <w:szCs w:val="20"/>
                <w:lang w:val="en-US"/>
              </w:rPr>
              <w:t>Very high</w:t>
            </w:r>
          </w:p>
        </w:tc>
      </w:tr>
      <w:tr w:rsidR="00831DBA" w:rsidRPr="00FA7359" w14:paraId="514E99F3" w14:textId="77777777" w:rsidTr="002D10F4">
        <w:tc>
          <w:tcPr>
            <w:cnfStyle w:val="001000000000" w:firstRow="0" w:lastRow="0" w:firstColumn="1" w:lastColumn="0" w:oddVBand="0" w:evenVBand="0" w:oddHBand="0" w:evenHBand="0" w:firstRowFirstColumn="0" w:firstRowLastColumn="0" w:lastRowFirstColumn="0" w:lastRowLastColumn="0"/>
            <w:tcW w:w="3069" w:type="dxa"/>
            <w:vMerge/>
            <w:shd w:val="clear" w:color="auto" w:fill="648ACE"/>
          </w:tcPr>
          <w:p w14:paraId="7DDBFAAB" w14:textId="77777777" w:rsidR="00831DBA" w:rsidRPr="002D1E9C" w:rsidRDefault="00831DBA" w:rsidP="00831DBA">
            <w:pPr>
              <w:jc w:val="left"/>
              <w:rPr>
                <w:b w:val="0"/>
                <w:bCs w:val="0"/>
                <w:color w:val="000000" w:themeColor="text1"/>
                <w:sz w:val="20"/>
                <w:szCs w:val="20"/>
                <w:lang w:val="en-US"/>
              </w:rPr>
            </w:pPr>
          </w:p>
        </w:tc>
        <w:tc>
          <w:tcPr>
            <w:tcW w:w="3070" w:type="dxa"/>
          </w:tcPr>
          <w:p w14:paraId="7B2C6296" w14:textId="17203881" w:rsidR="00831DBA" w:rsidRPr="004340FB" w:rsidRDefault="00805DB2" w:rsidP="00D94E07">
            <w:pPr>
              <w:jc w:val="left"/>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en-US"/>
              </w:rPr>
            </w:pPr>
            <w:r>
              <w:rPr>
                <w:color w:val="000000" w:themeColor="text1"/>
                <w:sz w:val="20"/>
                <w:szCs w:val="20"/>
                <w:lang w:val="en-US"/>
              </w:rPr>
              <w:t>R</w:t>
            </w:r>
            <w:r w:rsidR="005F3C1F">
              <w:rPr>
                <w:color w:val="000000" w:themeColor="text1"/>
                <w:sz w:val="20"/>
                <w:szCs w:val="20"/>
                <w:lang w:val="en-US"/>
              </w:rPr>
              <w:t>egulations</w:t>
            </w:r>
            <w:r w:rsidR="004340FB" w:rsidRPr="004340FB">
              <w:rPr>
                <w:color w:val="000000" w:themeColor="text1"/>
                <w:sz w:val="20"/>
                <w:szCs w:val="20"/>
                <w:lang w:val="en-US"/>
              </w:rPr>
              <w:t xml:space="preserve"> would directly affect operational costs and compliance.</w:t>
            </w:r>
            <w:r w:rsidR="0050152C">
              <w:rPr>
                <w:color w:val="000000" w:themeColor="text1"/>
                <w:sz w:val="20"/>
                <w:szCs w:val="20"/>
                <w:lang w:val="en-US"/>
              </w:rPr>
              <w:t xml:space="preserve"> Premiums</w:t>
            </w:r>
            <w:r w:rsidR="00D436F5">
              <w:rPr>
                <w:color w:val="000000" w:themeColor="text1"/>
                <w:sz w:val="20"/>
                <w:szCs w:val="20"/>
                <w:lang w:val="en-US"/>
              </w:rPr>
              <w:t xml:space="preserve"> for low carbon fuels are expected to be significant.</w:t>
            </w:r>
          </w:p>
        </w:tc>
        <w:tc>
          <w:tcPr>
            <w:tcW w:w="3070" w:type="dxa"/>
          </w:tcPr>
          <w:p w14:paraId="70CF070E" w14:textId="698145A7" w:rsidR="00831DBA" w:rsidRPr="00A16E68" w:rsidRDefault="00984152" w:rsidP="00D94E07">
            <w:pPr>
              <w:jc w:val="left"/>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en-US"/>
              </w:rPr>
            </w:pPr>
            <w:r>
              <w:rPr>
                <w:color w:val="000000" w:themeColor="text1"/>
                <w:sz w:val="20"/>
                <w:szCs w:val="20"/>
                <w:lang w:val="en-US"/>
              </w:rPr>
              <w:t>Mandates on low carbon fuel and energy efficiency</w:t>
            </w:r>
            <w:r w:rsidR="00831DBA">
              <w:rPr>
                <w:color w:val="000000" w:themeColor="text1"/>
                <w:sz w:val="20"/>
                <w:szCs w:val="20"/>
                <w:lang w:val="en-US"/>
              </w:rPr>
              <w:t xml:space="preserve"> are already in place and </w:t>
            </w:r>
            <w:r w:rsidR="00A16E68">
              <w:rPr>
                <w:color w:val="000000" w:themeColor="text1"/>
                <w:sz w:val="20"/>
                <w:szCs w:val="20"/>
                <w:lang w:val="en-US"/>
              </w:rPr>
              <w:t>the reduction targets</w:t>
            </w:r>
            <w:r w:rsidR="00A16E68" w:rsidRPr="00A16E68">
              <w:rPr>
                <w:color w:val="000000" w:themeColor="text1"/>
                <w:sz w:val="20"/>
                <w:szCs w:val="20"/>
                <w:lang w:val="en-US"/>
              </w:rPr>
              <w:t xml:space="preserve"> are ambitious and binding.</w:t>
            </w:r>
          </w:p>
        </w:tc>
      </w:tr>
      <w:tr w:rsidR="00F957CC" w:rsidRPr="00831DBA" w14:paraId="4DB8063E" w14:textId="77777777" w:rsidTr="002D10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9" w:type="dxa"/>
            <w:vMerge w:val="restart"/>
            <w:shd w:val="clear" w:color="auto" w:fill="648ACE"/>
          </w:tcPr>
          <w:p w14:paraId="347A6C65" w14:textId="53C58C51" w:rsidR="00F957CC" w:rsidRPr="002D1E9C" w:rsidRDefault="00F957CC" w:rsidP="00F957CC">
            <w:pPr>
              <w:jc w:val="left"/>
              <w:rPr>
                <w:b w:val="0"/>
                <w:bCs w:val="0"/>
                <w:color w:val="000000" w:themeColor="text1"/>
                <w:sz w:val="20"/>
                <w:szCs w:val="20"/>
                <w:lang w:val="en-US"/>
              </w:rPr>
            </w:pPr>
            <w:r w:rsidRPr="002D1E9C">
              <w:rPr>
                <w:b w:val="0"/>
                <w:bCs w:val="0"/>
                <w:color w:val="000000" w:themeColor="text1"/>
                <w:sz w:val="20"/>
                <w:szCs w:val="20"/>
                <w:lang w:val="en-US"/>
              </w:rPr>
              <w:t>Limited biofuel or e-fuel availability</w:t>
            </w:r>
          </w:p>
        </w:tc>
        <w:tc>
          <w:tcPr>
            <w:tcW w:w="3070" w:type="dxa"/>
          </w:tcPr>
          <w:p w14:paraId="579D2BCB" w14:textId="7659C233" w:rsidR="00F957CC" w:rsidRPr="002D1E9C" w:rsidRDefault="00F957CC" w:rsidP="00F957CC">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en-US"/>
              </w:rPr>
            </w:pPr>
            <w:r>
              <w:rPr>
                <w:color w:val="000000" w:themeColor="text1"/>
                <w:sz w:val="20"/>
                <w:szCs w:val="20"/>
                <w:lang w:val="en-US"/>
              </w:rPr>
              <w:t>Medium - High</w:t>
            </w:r>
          </w:p>
        </w:tc>
        <w:tc>
          <w:tcPr>
            <w:tcW w:w="3070" w:type="dxa"/>
          </w:tcPr>
          <w:p w14:paraId="43A5E110" w14:textId="6C7C25EC" w:rsidR="00F957CC" w:rsidRPr="002D1E9C" w:rsidRDefault="00F957CC" w:rsidP="00F957CC">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en-US"/>
              </w:rPr>
            </w:pPr>
            <w:r>
              <w:rPr>
                <w:color w:val="000000" w:themeColor="text1"/>
                <w:sz w:val="20"/>
                <w:szCs w:val="20"/>
                <w:lang w:val="en-US"/>
              </w:rPr>
              <w:t>Very high</w:t>
            </w:r>
          </w:p>
        </w:tc>
      </w:tr>
      <w:tr w:rsidR="00F957CC" w:rsidRPr="00FA7359" w14:paraId="1B5BA602" w14:textId="77777777" w:rsidTr="002D10F4">
        <w:tc>
          <w:tcPr>
            <w:cnfStyle w:val="001000000000" w:firstRow="0" w:lastRow="0" w:firstColumn="1" w:lastColumn="0" w:oddVBand="0" w:evenVBand="0" w:oddHBand="0" w:evenHBand="0" w:firstRowFirstColumn="0" w:firstRowLastColumn="0" w:lastRowFirstColumn="0" w:lastRowLastColumn="0"/>
            <w:tcW w:w="3069" w:type="dxa"/>
            <w:vMerge/>
            <w:shd w:val="clear" w:color="auto" w:fill="648ACE"/>
          </w:tcPr>
          <w:p w14:paraId="7AFC7344" w14:textId="77777777" w:rsidR="00F957CC" w:rsidRPr="002D1E9C" w:rsidRDefault="00F957CC" w:rsidP="00F957CC">
            <w:pPr>
              <w:jc w:val="left"/>
              <w:rPr>
                <w:b w:val="0"/>
                <w:bCs w:val="0"/>
                <w:color w:val="000000" w:themeColor="text1"/>
                <w:sz w:val="20"/>
                <w:szCs w:val="20"/>
                <w:lang w:val="en-US"/>
              </w:rPr>
            </w:pPr>
          </w:p>
        </w:tc>
        <w:tc>
          <w:tcPr>
            <w:tcW w:w="3070" w:type="dxa"/>
          </w:tcPr>
          <w:p w14:paraId="41DEF3A2" w14:textId="4DC96E9E" w:rsidR="00F957CC" w:rsidRPr="002D1E9C" w:rsidRDefault="00805DB2" w:rsidP="00D94E07">
            <w:pPr>
              <w:jc w:val="left"/>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en-US"/>
              </w:rPr>
            </w:pPr>
            <w:r>
              <w:rPr>
                <w:color w:val="000000" w:themeColor="text1"/>
                <w:sz w:val="20"/>
                <w:szCs w:val="20"/>
                <w:lang w:val="en-US"/>
              </w:rPr>
              <w:t>Li</w:t>
            </w:r>
            <w:r w:rsidR="00C636F8" w:rsidRPr="00C636F8">
              <w:rPr>
                <w:color w:val="000000" w:themeColor="text1"/>
                <w:sz w:val="20"/>
                <w:szCs w:val="20"/>
                <w:lang w:val="en-US"/>
              </w:rPr>
              <w:t>mited fuel availability could increase costs or hinder operations.</w:t>
            </w:r>
          </w:p>
        </w:tc>
        <w:tc>
          <w:tcPr>
            <w:tcW w:w="3070" w:type="dxa"/>
          </w:tcPr>
          <w:p w14:paraId="2135787A" w14:textId="24706029" w:rsidR="00F957CC" w:rsidRPr="00945FE1" w:rsidRDefault="00945FE1" w:rsidP="00D94E07">
            <w:pPr>
              <w:jc w:val="left"/>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en-US"/>
              </w:rPr>
            </w:pPr>
            <w:r>
              <w:rPr>
                <w:color w:val="000000" w:themeColor="text1"/>
                <w:sz w:val="20"/>
                <w:szCs w:val="20"/>
                <w:lang w:val="en-US"/>
              </w:rPr>
              <w:t>T</w:t>
            </w:r>
            <w:r w:rsidRPr="00945FE1">
              <w:rPr>
                <w:color w:val="000000" w:themeColor="text1"/>
                <w:sz w:val="20"/>
                <w:szCs w:val="20"/>
                <w:lang w:val="en-US"/>
              </w:rPr>
              <w:t>here is competition for low-carbon fuels, a lack of consensus on availability, and insufficient infrastructure.</w:t>
            </w:r>
          </w:p>
        </w:tc>
      </w:tr>
      <w:tr w:rsidR="00F957CC" w:rsidRPr="002D10F4" w14:paraId="097D3964" w14:textId="77777777" w:rsidTr="002D10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9" w:type="dxa"/>
            <w:vMerge w:val="restart"/>
            <w:shd w:val="clear" w:color="auto" w:fill="648ACE"/>
          </w:tcPr>
          <w:p w14:paraId="18BB7AEA" w14:textId="12772A3C" w:rsidR="00F957CC" w:rsidRPr="002D1E9C" w:rsidRDefault="00F957CC" w:rsidP="00F957CC">
            <w:pPr>
              <w:jc w:val="left"/>
              <w:rPr>
                <w:b w:val="0"/>
                <w:bCs w:val="0"/>
                <w:color w:val="000000" w:themeColor="text1"/>
                <w:sz w:val="20"/>
                <w:szCs w:val="20"/>
                <w:lang w:val="en-US"/>
              </w:rPr>
            </w:pPr>
            <w:r w:rsidRPr="002D1E9C">
              <w:rPr>
                <w:b w:val="0"/>
                <w:bCs w:val="0"/>
                <w:color w:val="000000" w:themeColor="text1"/>
                <w:sz w:val="20"/>
                <w:szCs w:val="20"/>
                <w:lang w:val="en-US"/>
              </w:rPr>
              <w:t>Reduction of oil and gas demand</w:t>
            </w:r>
          </w:p>
        </w:tc>
        <w:tc>
          <w:tcPr>
            <w:tcW w:w="3070" w:type="dxa"/>
          </w:tcPr>
          <w:p w14:paraId="6B671B47" w14:textId="1ECE84AD" w:rsidR="00F957CC" w:rsidRPr="002D1E9C" w:rsidRDefault="00F957CC" w:rsidP="00F957CC">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en-US"/>
              </w:rPr>
            </w:pPr>
            <w:r>
              <w:rPr>
                <w:color w:val="000000" w:themeColor="text1"/>
                <w:sz w:val="20"/>
                <w:szCs w:val="20"/>
                <w:lang w:val="en-US"/>
              </w:rPr>
              <w:t>Medium</w:t>
            </w:r>
          </w:p>
        </w:tc>
        <w:tc>
          <w:tcPr>
            <w:tcW w:w="3070" w:type="dxa"/>
          </w:tcPr>
          <w:p w14:paraId="6D8E5C70" w14:textId="360EEC9E" w:rsidR="00F957CC" w:rsidRPr="002D1E9C" w:rsidRDefault="00F957CC" w:rsidP="00F957CC">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en-US"/>
              </w:rPr>
            </w:pPr>
            <w:r>
              <w:rPr>
                <w:color w:val="000000" w:themeColor="text1"/>
                <w:sz w:val="20"/>
                <w:szCs w:val="20"/>
                <w:lang w:val="en-US"/>
              </w:rPr>
              <w:t>Low</w:t>
            </w:r>
          </w:p>
        </w:tc>
      </w:tr>
      <w:tr w:rsidR="00F957CC" w:rsidRPr="00FA7359" w14:paraId="509577ED" w14:textId="77777777" w:rsidTr="002D10F4">
        <w:tc>
          <w:tcPr>
            <w:cnfStyle w:val="001000000000" w:firstRow="0" w:lastRow="0" w:firstColumn="1" w:lastColumn="0" w:oddVBand="0" w:evenVBand="0" w:oddHBand="0" w:evenHBand="0" w:firstRowFirstColumn="0" w:firstRowLastColumn="0" w:lastRowFirstColumn="0" w:lastRowLastColumn="0"/>
            <w:tcW w:w="3069" w:type="dxa"/>
            <w:vMerge/>
            <w:shd w:val="clear" w:color="auto" w:fill="648ACE"/>
          </w:tcPr>
          <w:p w14:paraId="3F530342" w14:textId="77777777" w:rsidR="00F957CC" w:rsidRPr="002D1E9C" w:rsidRDefault="00F957CC" w:rsidP="00F957CC">
            <w:pPr>
              <w:jc w:val="center"/>
              <w:rPr>
                <w:b w:val="0"/>
                <w:bCs w:val="0"/>
                <w:color w:val="000000" w:themeColor="text1"/>
                <w:sz w:val="20"/>
                <w:szCs w:val="20"/>
                <w:lang w:val="en-US"/>
              </w:rPr>
            </w:pPr>
          </w:p>
        </w:tc>
        <w:tc>
          <w:tcPr>
            <w:tcW w:w="3070" w:type="dxa"/>
          </w:tcPr>
          <w:p w14:paraId="6EB0C1B5" w14:textId="5E10C592" w:rsidR="00F957CC" w:rsidRPr="002D1E9C" w:rsidRDefault="00164E03" w:rsidP="00D94E07">
            <w:pPr>
              <w:jc w:val="left"/>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en-US"/>
              </w:rPr>
            </w:pPr>
            <w:r>
              <w:rPr>
                <w:color w:val="000000" w:themeColor="text1"/>
                <w:sz w:val="20"/>
                <w:szCs w:val="20"/>
                <w:lang w:val="en-US"/>
              </w:rPr>
              <w:t>An important reduction of global and regional oil an</w:t>
            </w:r>
            <w:r w:rsidR="00657705">
              <w:rPr>
                <w:color w:val="000000" w:themeColor="text1"/>
                <w:sz w:val="20"/>
                <w:szCs w:val="20"/>
                <w:lang w:val="en-US"/>
              </w:rPr>
              <w:t>d</w:t>
            </w:r>
            <w:r>
              <w:rPr>
                <w:color w:val="000000" w:themeColor="text1"/>
                <w:sz w:val="20"/>
                <w:szCs w:val="20"/>
                <w:lang w:val="en-US"/>
              </w:rPr>
              <w:t xml:space="preserve"> gas demand</w:t>
            </w:r>
            <w:r w:rsidR="001C6F72">
              <w:rPr>
                <w:color w:val="000000" w:themeColor="text1"/>
                <w:sz w:val="20"/>
                <w:szCs w:val="20"/>
                <w:lang w:val="en-US"/>
              </w:rPr>
              <w:t xml:space="preserve"> could significantly affect ASCO’s activities of its specialized offshore fleet</w:t>
            </w:r>
            <w:r w:rsidR="001F589E">
              <w:rPr>
                <w:color w:val="000000" w:themeColor="text1"/>
                <w:sz w:val="20"/>
                <w:szCs w:val="20"/>
                <w:lang w:val="en-US"/>
              </w:rPr>
              <w:t xml:space="preserve">. New opportunities could however arise with </w:t>
            </w:r>
            <w:r w:rsidR="006F1FCF">
              <w:rPr>
                <w:color w:val="000000" w:themeColor="text1"/>
                <w:sz w:val="20"/>
                <w:szCs w:val="20"/>
                <w:lang w:val="en-US"/>
              </w:rPr>
              <w:t xml:space="preserve">offshore wind development, counterbalancing the financial effects </w:t>
            </w:r>
            <w:r w:rsidR="0075615E">
              <w:rPr>
                <w:color w:val="000000" w:themeColor="text1"/>
                <w:sz w:val="20"/>
                <w:szCs w:val="20"/>
                <w:lang w:val="en-US"/>
              </w:rPr>
              <w:t>on</w:t>
            </w:r>
            <w:r w:rsidR="006F1FCF">
              <w:rPr>
                <w:color w:val="000000" w:themeColor="text1"/>
                <w:sz w:val="20"/>
                <w:szCs w:val="20"/>
                <w:lang w:val="en-US"/>
              </w:rPr>
              <w:t xml:space="preserve"> ASCO business.</w:t>
            </w:r>
          </w:p>
        </w:tc>
        <w:tc>
          <w:tcPr>
            <w:tcW w:w="3070" w:type="dxa"/>
          </w:tcPr>
          <w:p w14:paraId="0E042894" w14:textId="44784C2E" w:rsidR="00F957CC" w:rsidRPr="002D1E9C" w:rsidRDefault="0030665E" w:rsidP="00D94E07">
            <w:pPr>
              <w:jc w:val="left"/>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en-US"/>
              </w:rPr>
            </w:pPr>
            <w:r>
              <w:rPr>
                <w:color w:val="000000" w:themeColor="text1"/>
                <w:sz w:val="20"/>
                <w:szCs w:val="20"/>
                <w:lang w:val="en-US"/>
              </w:rPr>
              <w:t xml:space="preserve">Current climate scenarios on energy demand are not </w:t>
            </w:r>
            <w:r w:rsidR="0075615E">
              <w:rPr>
                <w:color w:val="000000" w:themeColor="text1"/>
                <w:sz w:val="20"/>
                <w:szCs w:val="20"/>
                <w:lang w:val="en-US"/>
              </w:rPr>
              <w:t xml:space="preserve">indicating </w:t>
            </w:r>
            <w:r>
              <w:rPr>
                <w:color w:val="000000" w:themeColor="text1"/>
                <w:sz w:val="20"/>
                <w:szCs w:val="20"/>
                <w:lang w:val="en-US"/>
              </w:rPr>
              <w:t xml:space="preserve">a reduction of oil and gas </w:t>
            </w:r>
            <w:r w:rsidR="00BC22B4">
              <w:rPr>
                <w:color w:val="000000" w:themeColor="text1"/>
                <w:sz w:val="20"/>
                <w:szCs w:val="20"/>
                <w:lang w:val="en-US"/>
              </w:rPr>
              <w:t xml:space="preserve">in the future decade, and only </w:t>
            </w:r>
            <w:r w:rsidR="00956BA3">
              <w:rPr>
                <w:color w:val="000000" w:themeColor="text1"/>
                <w:sz w:val="20"/>
                <w:szCs w:val="20"/>
                <w:lang w:val="en-US"/>
              </w:rPr>
              <w:t xml:space="preserve">an unlikely net zero scenario is expecting a significant </w:t>
            </w:r>
            <w:r w:rsidR="00D94E07">
              <w:rPr>
                <w:color w:val="000000" w:themeColor="text1"/>
                <w:sz w:val="20"/>
                <w:szCs w:val="20"/>
                <w:lang w:val="en-US"/>
              </w:rPr>
              <w:t>change in demand before 2050 that could affect ASCO’s business.</w:t>
            </w:r>
          </w:p>
        </w:tc>
      </w:tr>
    </w:tbl>
    <w:p w14:paraId="66E9619A" w14:textId="77777777" w:rsidR="002F4346" w:rsidRDefault="002F4346" w:rsidP="002D10F4">
      <w:pPr>
        <w:jc w:val="center"/>
        <w:rPr>
          <w:color w:val="000000" w:themeColor="text1"/>
          <w:lang w:val="en-US"/>
        </w:rPr>
      </w:pPr>
    </w:p>
    <w:p w14:paraId="3F0A8403" w14:textId="4B72BFCE" w:rsidR="000933BE" w:rsidRDefault="00D16B84" w:rsidP="00F17D11">
      <w:pPr>
        <w:rPr>
          <w:color w:val="000000" w:themeColor="text1"/>
          <w:lang w:val="en-US"/>
        </w:rPr>
      </w:pPr>
      <w:r>
        <w:rPr>
          <w:color w:val="000000" w:themeColor="text1"/>
          <w:lang w:val="en-US"/>
        </w:rPr>
        <w:t>In order to visualize the relative importance of</w:t>
      </w:r>
      <w:r>
        <w:rPr>
          <w:color w:val="000000" w:themeColor="text1"/>
          <w:lang w:val="en-US"/>
        </w:rPr>
        <w:t xml:space="preserve"> </w:t>
      </w:r>
      <w:r>
        <w:rPr>
          <w:color w:val="000000" w:themeColor="text1"/>
          <w:lang w:val="en-US"/>
        </w:rPr>
        <w:t>transition risks</w:t>
      </w:r>
      <w:r w:rsidR="0075615E">
        <w:rPr>
          <w:color w:val="000000" w:themeColor="text1"/>
          <w:lang w:val="en-US"/>
        </w:rPr>
        <w:t xml:space="preserve"> </w:t>
      </w:r>
      <w:proofErr w:type="spellStart"/>
      <w:r w:rsidR="0075615E">
        <w:rPr>
          <w:color w:val="000000" w:themeColor="text1"/>
          <w:lang w:val="en-US"/>
        </w:rPr>
        <w:t>analysed</w:t>
      </w:r>
      <w:proofErr w:type="spellEnd"/>
      <w:r>
        <w:rPr>
          <w:color w:val="000000" w:themeColor="text1"/>
          <w:lang w:val="en-US"/>
        </w:rPr>
        <w:t xml:space="preserve">, </w:t>
      </w:r>
      <w:r w:rsidR="00D3211A">
        <w:rPr>
          <w:color w:val="000000" w:themeColor="text1"/>
          <w:lang w:val="en-US"/>
        </w:rPr>
        <w:t xml:space="preserve">the matrix </w:t>
      </w:r>
      <w:r w:rsidR="00737DE2">
        <w:rPr>
          <w:color w:val="000000" w:themeColor="text1"/>
          <w:lang w:val="en-US"/>
        </w:rPr>
        <w:t>below</w:t>
      </w:r>
      <w:r w:rsidR="006C3607">
        <w:rPr>
          <w:color w:val="000000" w:themeColor="text1"/>
          <w:lang w:val="en-US"/>
        </w:rPr>
        <w:t xml:space="preserve"> has been designed.</w:t>
      </w:r>
      <w:r w:rsidR="001B4AFE">
        <w:rPr>
          <w:color w:val="000000" w:themeColor="text1"/>
          <w:lang w:val="en-US"/>
        </w:rPr>
        <w:t xml:space="preserve"> </w:t>
      </w:r>
      <w:r w:rsidR="0075615E">
        <w:rPr>
          <w:color w:val="000000" w:themeColor="text1"/>
          <w:lang w:val="en-US"/>
        </w:rPr>
        <w:t>Impact magnitude</w:t>
      </w:r>
      <w:r w:rsidR="001B4AFE">
        <w:rPr>
          <w:color w:val="000000" w:themeColor="text1"/>
          <w:lang w:val="en-US"/>
        </w:rPr>
        <w:t xml:space="preserve"> </w:t>
      </w:r>
      <w:r w:rsidR="001B4AFE">
        <w:rPr>
          <w:color w:val="000000" w:themeColor="text1"/>
          <w:lang w:val="en-US"/>
        </w:rPr>
        <w:t xml:space="preserve">represents the potential financial and </w:t>
      </w:r>
      <w:r w:rsidR="00F40CD6">
        <w:rPr>
          <w:color w:val="000000" w:themeColor="text1"/>
          <w:lang w:val="en-US"/>
        </w:rPr>
        <w:t xml:space="preserve">structural </w:t>
      </w:r>
      <w:r w:rsidR="00615A50">
        <w:rPr>
          <w:color w:val="000000" w:themeColor="text1"/>
          <w:lang w:val="en-US"/>
        </w:rPr>
        <w:t>impact the</w:t>
      </w:r>
      <w:r w:rsidR="00691B4D">
        <w:rPr>
          <w:color w:val="000000" w:themeColor="text1"/>
          <w:lang w:val="en-US"/>
        </w:rPr>
        <w:t xml:space="preserve"> risk may have on ASCO. </w:t>
      </w:r>
      <w:r w:rsidR="005A7155">
        <w:rPr>
          <w:color w:val="000000" w:themeColor="text1"/>
          <w:lang w:val="en-US"/>
        </w:rPr>
        <w:t>The probab</w:t>
      </w:r>
      <w:r w:rsidR="00191610">
        <w:rPr>
          <w:color w:val="000000" w:themeColor="text1"/>
          <w:lang w:val="en-US"/>
        </w:rPr>
        <w:t xml:space="preserve">ility of </w:t>
      </w:r>
      <w:r w:rsidR="006D461D">
        <w:rPr>
          <w:color w:val="000000" w:themeColor="text1"/>
          <w:lang w:val="en-US"/>
        </w:rPr>
        <w:t xml:space="preserve">occurrence reflects </w:t>
      </w:r>
      <w:r w:rsidR="00C90C5D">
        <w:rPr>
          <w:color w:val="000000" w:themeColor="text1"/>
          <w:lang w:val="en-US"/>
        </w:rPr>
        <w:t>the</w:t>
      </w:r>
      <w:r w:rsidR="00E52F55">
        <w:rPr>
          <w:color w:val="000000" w:themeColor="text1"/>
          <w:lang w:val="en-US"/>
        </w:rPr>
        <w:t xml:space="preserve"> potential</w:t>
      </w:r>
      <w:r w:rsidR="001F1BA9">
        <w:rPr>
          <w:color w:val="000000" w:themeColor="text1"/>
          <w:lang w:val="en-US"/>
        </w:rPr>
        <w:t xml:space="preserve"> </w:t>
      </w:r>
      <w:r w:rsidR="00C90C5D">
        <w:rPr>
          <w:color w:val="000000" w:themeColor="text1"/>
          <w:lang w:val="en-US"/>
        </w:rPr>
        <w:t xml:space="preserve">of the risk </w:t>
      </w:r>
      <w:r w:rsidR="001F1BA9">
        <w:rPr>
          <w:color w:val="000000" w:themeColor="text1"/>
          <w:lang w:val="en-US"/>
        </w:rPr>
        <w:t xml:space="preserve">to </w:t>
      </w:r>
      <w:r w:rsidR="00C90C5D">
        <w:rPr>
          <w:color w:val="000000" w:themeColor="text1"/>
          <w:lang w:val="en-US"/>
        </w:rPr>
        <w:t xml:space="preserve">materialize </w:t>
      </w:r>
      <w:r w:rsidR="00F47A33">
        <w:rPr>
          <w:color w:val="000000" w:themeColor="text1"/>
          <w:lang w:val="en-US"/>
        </w:rPr>
        <w:t xml:space="preserve">in the </w:t>
      </w:r>
      <w:r w:rsidR="00D40598">
        <w:rPr>
          <w:color w:val="000000" w:themeColor="text1"/>
          <w:lang w:val="en-US"/>
        </w:rPr>
        <w:t>future given</w:t>
      </w:r>
      <w:r w:rsidR="00930B12">
        <w:rPr>
          <w:color w:val="000000" w:themeColor="text1"/>
          <w:lang w:val="en-US"/>
        </w:rPr>
        <w:t xml:space="preserve"> current future scenarios.</w:t>
      </w:r>
    </w:p>
    <w:p w14:paraId="2163AF1F" w14:textId="77777777" w:rsidR="00F82E4E" w:rsidRPr="00E96F73" w:rsidRDefault="00F82E4E" w:rsidP="00930B12">
      <w:pPr>
        <w:jc w:val="left"/>
        <w:rPr>
          <w:lang w:val="en-US"/>
        </w:rPr>
      </w:pPr>
    </w:p>
    <w:p w14:paraId="2E52C6DC" w14:textId="2202BEEF" w:rsidR="003A109D" w:rsidRPr="00C237EC" w:rsidRDefault="00C917A6" w:rsidP="00930B12">
      <w:pPr>
        <w:jc w:val="center"/>
        <w:rPr>
          <w:lang w:val="en-US"/>
        </w:rPr>
      </w:pPr>
      <w:r w:rsidRPr="00C917A6">
        <w:rPr>
          <w:noProof/>
          <w:lang w:val="en-US"/>
        </w:rPr>
        <w:drawing>
          <wp:inline distT="0" distB="0" distL="0" distR="0" wp14:anchorId="5E63AD97" wp14:editId="2E329CEF">
            <wp:extent cx="4873336" cy="2810312"/>
            <wp:effectExtent l="0" t="0" r="3810" b="9525"/>
            <wp:docPr id="21370368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036869" name="Picture 1"/>
                    <pic:cNvPicPr/>
                  </pic:nvPicPr>
                  <pic:blipFill>
                    <a:blip r:embed="rId33">
                      <a:extLst>
                        <a:ext uri="{28A0092B-C50C-407E-A947-70E740481C1C}">
                          <a14:useLocalDpi xmlns:a14="http://schemas.microsoft.com/office/drawing/2010/main" val="0"/>
                        </a:ext>
                      </a:extLst>
                    </a:blip>
                    <a:stretch>
                      <a:fillRect/>
                    </a:stretch>
                  </pic:blipFill>
                  <pic:spPr>
                    <a:xfrm>
                      <a:off x="0" y="0"/>
                      <a:ext cx="4883596" cy="2816229"/>
                    </a:xfrm>
                    <a:prstGeom prst="rect">
                      <a:avLst/>
                    </a:prstGeom>
                  </pic:spPr>
                </pic:pic>
              </a:graphicData>
            </a:graphic>
          </wp:inline>
        </w:drawing>
      </w:r>
    </w:p>
    <w:p w14:paraId="362506A3" w14:textId="54EEFED8" w:rsidR="00411372" w:rsidRDefault="00411372" w:rsidP="00411372">
      <w:pPr>
        <w:rPr>
          <w:lang w:val="en-US"/>
        </w:rPr>
      </w:pPr>
      <w:r>
        <w:rPr>
          <w:lang w:val="en-US"/>
        </w:rPr>
        <w:t xml:space="preserve">The most material transition risks identified for ASCO on which the company should regularly assess its magnitude are therefore the following: </w:t>
      </w:r>
    </w:p>
    <w:p w14:paraId="457C79D9" w14:textId="77777777" w:rsidR="00411372" w:rsidRPr="00F34BDE" w:rsidRDefault="00411372" w:rsidP="00411372">
      <w:pPr>
        <w:pStyle w:val="Paragraphedeliste"/>
        <w:numPr>
          <w:ilvl w:val="0"/>
          <w:numId w:val="39"/>
        </w:numPr>
        <w:rPr>
          <w:lang w:val="en-US"/>
        </w:rPr>
      </w:pPr>
      <w:r>
        <w:rPr>
          <w:lang w:val="en-US"/>
        </w:rPr>
        <w:t>Mandates on low carbon fuel and energy efficiency</w:t>
      </w:r>
    </w:p>
    <w:p w14:paraId="535B637B" w14:textId="77777777" w:rsidR="00411372" w:rsidRDefault="00411372" w:rsidP="00411372">
      <w:pPr>
        <w:pStyle w:val="Paragraphedeliste"/>
        <w:numPr>
          <w:ilvl w:val="0"/>
          <w:numId w:val="39"/>
        </w:numPr>
        <w:rPr>
          <w:lang w:val="en-US"/>
        </w:rPr>
      </w:pPr>
      <w:r>
        <w:rPr>
          <w:lang w:val="en-US"/>
        </w:rPr>
        <w:lastRenderedPageBreak/>
        <w:t>Increase of sustainability reporting mandates</w:t>
      </w:r>
    </w:p>
    <w:p w14:paraId="740443DE" w14:textId="77777777" w:rsidR="00411372" w:rsidRPr="00F34BDE" w:rsidRDefault="00411372" w:rsidP="00411372">
      <w:pPr>
        <w:pStyle w:val="Paragraphedeliste"/>
        <w:numPr>
          <w:ilvl w:val="0"/>
          <w:numId w:val="39"/>
        </w:numPr>
        <w:rPr>
          <w:lang w:val="en-US"/>
        </w:rPr>
      </w:pPr>
      <w:r>
        <w:rPr>
          <w:lang w:val="en-US"/>
        </w:rPr>
        <w:t>Limited bio-fuel or e-fuel availability</w:t>
      </w:r>
    </w:p>
    <w:p w14:paraId="62AC81D9" w14:textId="77777777" w:rsidR="00411372" w:rsidRPr="004207CF" w:rsidRDefault="00411372" w:rsidP="00411372">
      <w:pPr>
        <w:rPr>
          <w:lang w:val="en-US"/>
        </w:rPr>
      </w:pPr>
      <w:r>
        <w:rPr>
          <w:lang w:val="en-US"/>
        </w:rPr>
        <w:t xml:space="preserve">The </w:t>
      </w:r>
      <w:r w:rsidRPr="004207CF">
        <w:rPr>
          <w:lang w:val="en-US"/>
        </w:rPr>
        <w:t xml:space="preserve">impacts and actions regarding transition risks are often </w:t>
      </w:r>
      <w:r>
        <w:rPr>
          <w:lang w:val="en-US"/>
        </w:rPr>
        <w:t>considered less tangible</w:t>
      </w:r>
      <w:r w:rsidRPr="004207CF">
        <w:rPr>
          <w:lang w:val="en-US"/>
        </w:rPr>
        <w:t xml:space="preserve">, as they are linked to strategic decisions rather than specific adaptation actions. Businesses typically manage these risks similarly to physical risks by integrating them into their overall risk management systems. </w:t>
      </w:r>
      <w:r>
        <w:rPr>
          <w:lang w:val="en-US"/>
        </w:rPr>
        <w:t>Several</w:t>
      </w:r>
      <w:r w:rsidRPr="004207CF">
        <w:rPr>
          <w:lang w:val="en-US"/>
        </w:rPr>
        <w:t xml:space="preserve"> actions required to manage these transition risks are consistent across the various types identified.</w:t>
      </w:r>
    </w:p>
    <w:p w14:paraId="0EFE58BF" w14:textId="77777777" w:rsidR="00411372" w:rsidRPr="004207CF" w:rsidRDefault="00411372" w:rsidP="00411372">
      <w:pPr>
        <w:rPr>
          <w:lang w:val="en-US"/>
        </w:rPr>
      </w:pPr>
      <w:r w:rsidRPr="004207CF">
        <w:rPr>
          <w:lang w:val="en-US"/>
        </w:rPr>
        <w:t xml:space="preserve">ASCO has </w:t>
      </w:r>
      <w:r>
        <w:rPr>
          <w:lang w:val="en-US"/>
        </w:rPr>
        <w:t>started to set up key actions towards the design, implementation and enforcement of a</w:t>
      </w:r>
      <w:r w:rsidRPr="004207CF">
        <w:rPr>
          <w:lang w:val="en-US"/>
        </w:rPr>
        <w:t xml:space="preserve"> comprehensive strategy to address transition risks, focusing on regulatory compliance, technological advancements, and market adaptation. </w:t>
      </w:r>
      <w:r>
        <w:rPr>
          <w:lang w:val="en-US"/>
        </w:rPr>
        <w:t xml:space="preserve">Developing a robust and long term </w:t>
      </w:r>
      <w:proofErr w:type="spellStart"/>
      <w:r>
        <w:rPr>
          <w:lang w:val="en-US"/>
        </w:rPr>
        <w:t>decarbonisation</w:t>
      </w:r>
      <w:proofErr w:type="spellEnd"/>
      <w:r w:rsidRPr="004207CF">
        <w:rPr>
          <w:lang w:val="en-US"/>
        </w:rPr>
        <w:t xml:space="preserve"> strategy is crucial for mitigating transition risks.</w:t>
      </w:r>
    </w:p>
    <w:p w14:paraId="4E9F54FA" w14:textId="77777777" w:rsidR="00411372" w:rsidRPr="004207CF" w:rsidRDefault="00411372" w:rsidP="00411372">
      <w:pPr>
        <w:numPr>
          <w:ilvl w:val="0"/>
          <w:numId w:val="36"/>
        </w:numPr>
        <w:rPr>
          <w:lang w:val="en-US"/>
        </w:rPr>
      </w:pPr>
      <w:r w:rsidRPr="004207CF">
        <w:rPr>
          <w:lang w:val="en-US"/>
        </w:rPr>
        <w:t xml:space="preserve">By </w:t>
      </w:r>
      <w:r>
        <w:rPr>
          <w:lang w:val="en-US"/>
        </w:rPr>
        <w:t>engaging towards an ambitious pathway</w:t>
      </w:r>
      <w:r w:rsidRPr="004207CF">
        <w:rPr>
          <w:lang w:val="en-US"/>
        </w:rPr>
        <w:t xml:space="preserve">, ASCO is </w:t>
      </w:r>
      <w:r>
        <w:rPr>
          <w:lang w:val="en-US"/>
        </w:rPr>
        <w:t xml:space="preserve">getting </w:t>
      </w:r>
      <w:r w:rsidRPr="004207CF">
        <w:rPr>
          <w:lang w:val="en-US"/>
        </w:rPr>
        <w:t>prepar</w:t>
      </w:r>
      <w:r>
        <w:rPr>
          <w:lang w:val="en-US"/>
        </w:rPr>
        <w:t>ed</w:t>
      </w:r>
      <w:r w:rsidRPr="004207CF">
        <w:rPr>
          <w:lang w:val="en-US"/>
        </w:rPr>
        <w:t xml:space="preserve"> for future market dynamics favoring lower carbon-intensive operations, reducing the risk of losing market share to competitors with greener alternatives.</w:t>
      </w:r>
    </w:p>
    <w:p w14:paraId="518BE07F" w14:textId="77777777" w:rsidR="00411372" w:rsidRPr="004207CF" w:rsidRDefault="00411372" w:rsidP="00411372">
      <w:pPr>
        <w:numPr>
          <w:ilvl w:val="0"/>
          <w:numId w:val="36"/>
        </w:numPr>
        <w:rPr>
          <w:lang w:val="en-US"/>
        </w:rPr>
      </w:pPr>
      <w:r w:rsidRPr="004207CF">
        <w:rPr>
          <w:lang w:val="en-US"/>
        </w:rPr>
        <w:t>A well</w:t>
      </w:r>
      <w:r>
        <w:rPr>
          <w:lang w:val="en-US"/>
        </w:rPr>
        <w:t xml:space="preserve"> anticipated and designed</w:t>
      </w:r>
      <w:r w:rsidRPr="004207CF">
        <w:rPr>
          <w:lang w:val="en-US"/>
        </w:rPr>
        <w:t xml:space="preserve"> strategy</w:t>
      </w:r>
      <w:r>
        <w:rPr>
          <w:lang w:val="en-US"/>
        </w:rPr>
        <w:t xml:space="preserve"> tailored to its activities and specificities</w:t>
      </w:r>
      <w:r w:rsidRPr="004207CF">
        <w:rPr>
          <w:lang w:val="en-US"/>
        </w:rPr>
        <w:t xml:space="preserve"> involves selecting technologies that align with long-term sustainability goals, minimizing the risk of investing in </w:t>
      </w:r>
      <w:r>
        <w:rPr>
          <w:lang w:val="en-US"/>
        </w:rPr>
        <w:t>irrelevant</w:t>
      </w:r>
      <w:r w:rsidRPr="004207CF">
        <w:rPr>
          <w:lang w:val="en-US"/>
        </w:rPr>
        <w:t xml:space="preserve"> technologies. This strategy</w:t>
      </w:r>
      <w:r>
        <w:rPr>
          <w:lang w:val="en-US"/>
        </w:rPr>
        <w:t xml:space="preserve"> would</w:t>
      </w:r>
      <w:r w:rsidRPr="004207CF">
        <w:rPr>
          <w:lang w:val="en-US"/>
        </w:rPr>
        <w:t xml:space="preserve"> align</w:t>
      </w:r>
      <w:r>
        <w:rPr>
          <w:lang w:val="en-US"/>
        </w:rPr>
        <w:t xml:space="preserve"> or anticipate</w:t>
      </w:r>
      <w:r w:rsidRPr="004207CF">
        <w:rPr>
          <w:lang w:val="en-US"/>
        </w:rPr>
        <w:t xml:space="preserve"> international and regional regulatory frameworks.</w:t>
      </w:r>
    </w:p>
    <w:p w14:paraId="7E3054A1" w14:textId="77777777" w:rsidR="00411372" w:rsidRPr="004207CF" w:rsidRDefault="00411372" w:rsidP="00411372">
      <w:pPr>
        <w:numPr>
          <w:ilvl w:val="0"/>
          <w:numId w:val="36"/>
        </w:numPr>
        <w:rPr>
          <w:lang w:val="en-US"/>
        </w:rPr>
      </w:pPr>
      <w:r w:rsidRPr="004207CF">
        <w:rPr>
          <w:lang w:val="en-US"/>
        </w:rPr>
        <w:t>Although transitioning to lower emissions technology can be</w:t>
      </w:r>
      <w:r>
        <w:rPr>
          <w:lang w:val="en-US"/>
        </w:rPr>
        <w:t>ar an initial significant cost upfront</w:t>
      </w:r>
      <w:r w:rsidRPr="004207CF">
        <w:rPr>
          <w:lang w:val="en-US"/>
        </w:rPr>
        <w:t xml:space="preserve">, a strategic approach allows ASCO to plan and allocate resources effectively over time. This approach helps spread out costs, leverage financial incentives, and benefit from economies of scale as technology adoption increases. Additionally, </w:t>
      </w:r>
      <w:r>
        <w:rPr>
          <w:lang w:val="en-US"/>
        </w:rPr>
        <w:t>highlighting the</w:t>
      </w:r>
      <w:r w:rsidRPr="004207CF">
        <w:rPr>
          <w:lang w:val="en-US"/>
        </w:rPr>
        <w:t xml:space="preserve"> expected climate benefits</w:t>
      </w:r>
      <w:r>
        <w:rPr>
          <w:lang w:val="en-US"/>
        </w:rPr>
        <w:t xml:space="preserve"> when engaging with financiers</w:t>
      </w:r>
      <w:r w:rsidRPr="004207CF">
        <w:rPr>
          <w:lang w:val="en-US"/>
        </w:rPr>
        <w:t xml:space="preserve"> should facilitate access to cheaper capital through public or private financing.</w:t>
      </w:r>
    </w:p>
    <w:p w14:paraId="1F2BA54B" w14:textId="77777777" w:rsidR="00411372" w:rsidRPr="004207CF" w:rsidRDefault="00411372" w:rsidP="00411372">
      <w:pPr>
        <w:numPr>
          <w:ilvl w:val="0"/>
          <w:numId w:val="36"/>
        </w:numPr>
        <w:rPr>
          <w:lang w:val="en-US"/>
        </w:rPr>
      </w:pPr>
      <w:r w:rsidRPr="004207CF">
        <w:rPr>
          <w:lang w:val="en-US"/>
        </w:rPr>
        <w:t xml:space="preserve">By reducing greenhouse gas emissions, ASCO can mitigate the financial impact of carbon pricing mechanisms, </w:t>
      </w:r>
      <w:r>
        <w:rPr>
          <w:lang w:val="en-US"/>
        </w:rPr>
        <w:t xml:space="preserve">fostering stability and predictability of </w:t>
      </w:r>
      <w:r w:rsidRPr="004207CF">
        <w:rPr>
          <w:lang w:val="en-US"/>
        </w:rPr>
        <w:t xml:space="preserve"> operating costs.</w:t>
      </w:r>
    </w:p>
    <w:p w14:paraId="6870EB03" w14:textId="77777777" w:rsidR="00411372" w:rsidRPr="004207CF" w:rsidRDefault="00411372" w:rsidP="00411372">
      <w:pPr>
        <w:numPr>
          <w:ilvl w:val="0"/>
          <w:numId w:val="36"/>
        </w:numPr>
        <w:rPr>
          <w:lang w:val="en-US"/>
        </w:rPr>
      </w:pPr>
      <w:r w:rsidRPr="004207CF">
        <w:rPr>
          <w:lang w:val="en-US"/>
        </w:rPr>
        <w:t>Regulatory compliance is a key aspect of ASCO’s strategy. By aligning operations with current and anticipated regulations, ASCO can avoid penalties and benefit from regulatory incentives, ensuring the company remains ahead or in line with regulatory requirements.</w:t>
      </w:r>
      <w:r>
        <w:rPr>
          <w:lang w:val="en-US"/>
        </w:rPr>
        <w:t xml:space="preserve"> </w:t>
      </w:r>
    </w:p>
    <w:p w14:paraId="4EF4B7D8" w14:textId="77777777" w:rsidR="0061046E" w:rsidRPr="004207CF" w:rsidRDefault="0061046E" w:rsidP="00411372">
      <w:pPr>
        <w:rPr>
          <w:lang w:val="en-US"/>
        </w:rPr>
      </w:pPr>
      <w:r w:rsidRPr="004207CF">
        <w:rPr>
          <w:lang w:val="en-US"/>
        </w:rPr>
        <w:t>To further anticipate the impacts of transition risks and implement corrective actions, ASCO could:</w:t>
      </w:r>
    </w:p>
    <w:p w14:paraId="1D3DA693" w14:textId="77777777" w:rsidR="0061046E" w:rsidRPr="004207CF" w:rsidRDefault="0061046E" w:rsidP="00411372">
      <w:pPr>
        <w:numPr>
          <w:ilvl w:val="0"/>
          <w:numId w:val="37"/>
        </w:numPr>
        <w:rPr>
          <w:lang w:val="en-US"/>
        </w:rPr>
      </w:pPr>
      <w:r w:rsidRPr="008B5F97">
        <w:rPr>
          <w:lang w:val="en-US"/>
        </w:rPr>
        <w:t xml:space="preserve">Conduct studies on the feasibility of implementing new technologies, such as </w:t>
      </w:r>
      <w:r w:rsidR="00222D42" w:rsidRPr="00222D42">
        <w:rPr>
          <w:lang w:val="en-US"/>
        </w:rPr>
        <w:t>procurement of biofuels and e-fuels, evaluating assets and</w:t>
      </w:r>
      <w:r w:rsidRPr="008B5F97">
        <w:rPr>
          <w:lang w:val="en-US"/>
        </w:rPr>
        <w:t xml:space="preserve"> infrastructure readiness, availability, and investment strategies for engines and technologies that enhance operational efficiency and reduce emissions.</w:t>
      </w:r>
    </w:p>
    <w:p w14:paraId="612C055B" w14:textId="77777777" w:rsidR="0061046E" w:rsidRPr="008B5F97" w:rsidRDefault="0061046E" w:rsidP="00411372">
      <w:pPr>
        <w:numPr>
          <w:ilvl w:val="0"/>
          <w:numId w:val="37"/>
        </w:numPr>
        <w:rPr>
          <w:lang w:val="en-US"/>
        </w:rPr>
      </w:pPr>
      <w:r w:rsidRPr="008B5F97">
        <w:rPr>
          <w:lang w:val="en-US"/>
        </w:rPr>
        <w:t>Track current and emerging regulations on greenhouse gas emissions and low-carbon fuel adoption, actively engaging with regulatory bodies to remain informed and participate in the evolving policy landscape.</w:t>
      </w:r>
    </w:p>
    <w:p w14:paraId="70D6577C" w14:textId="77777777" w:rsidR="0061046E" w:rsidRPr="004207CF" w:rsidRDefault="0061046E" w:rsidP="00411372">
      <w:pPr>
        <w:numPr>
          <w:ilvl w:val="0"/>
          <w:numId w:val="37"/>
        </w:numPr>
        <w:rPr>
          <w:lang w:val="en-US"/>
        </w:rPr>
      </w:pPr>
      <w:r w:rsidRPr="004207CF">
        <w:rPr>
          <w:lang w:val="en-US"/>
        </w:rPr>
        <w:t>Implement an internal carbon pricing mechanism to accelerate investment in low-carbon solutions</w:t>
      </w:r>
      <w:r w:rsidR="00222D42" w:rsidRPr="00222D42">
        <w:rPr>
          <w:lang w:val="en-US"/>
        </w:rPr>
        <w:t xml:space="preserve"> and regularly monitor prospective risk</w:t>
      </w:r>
      <w:r w:rsidRPr="004207CF">
        <w:rPr>
          <w:lang w:val="en-US"/>
        </w:rPr>
        <w:t>.</w:t>
      </w:r>
    </w:p>
    <w:p w14:paraId="69E731AC" w14:textId="77777777" w:rsidR="00222D42" w:rsidRPr="00222D42" w:rsidRDefault="00222D42" w:rsidP="00411372">
      <w:pPr>
        <w:numPr>
          <w:ilvl w:val="0"/>
          <w:numId w:val="37"/>
        </w:numPr>
        <w:rPr>
          <w:lang w:val="en-US"/>
        </w:rPr>
      </w:pPr>
      <w:r w:rsidRPr="00222D42">
        <w:rPr>
          <w:lang w:val="en-US"/>
        </w:rPr>
        <w:lastRenderedPageBreak/>
        <w:t>Enhance transparency by regularly reporting progress towards decarbonization goals and managing transition risks, following international standards such as IFRS S2 (ISSB).</w:t>
      </w:r>
    </w:p>
    <w:p w14:paraId="6569769D" w14:textId="77777777" w:rsidR="0061046E" w:rsidRPr="004207CF" w:rsidRDefault="0061046E" w:rsidP="00411372">
      <w:pPr>
        <w:numPr>
          <w:ilvl w:val="0"/>
          <w:numId w:val="37"/>
        </w:numPr>
        <w:rPr>
          <w:lang w:val="en-US"/>
        </w:rPr>
      </w:pPr>
      <w:r w:rsidRPr="004207CF">
        <w:rPr>
          <w:lang w:val="en-US"/>
        </w:rPr>
        <w:t>Establish KPIs to track the effectiveness of mitigation actions and the progress of the decarbonization strategy.</w:t>
      </w:r>
    </w:p>
    <w:p w14:paraId="270799F0" w14:textId="77777777" w:rsidR="004207CF" w:rsidRPr="00765C9F" w:rsidRDefault="004207CF" w:rsidP="004D4095">
      <w:pPr>
        <w:rPr>
          <w:lang w:val="en-US"/>
        </w:rPr>
      </w:pPr>
    </w:p>
    <w:p w14:paraId="5B2A39B6" w14:textId="3157F7B8" w:rsidR="004207CF" w:rsidRPr="00765C9F" w:rsidRDefault="004207CF" w:rsidP="004D4095">
      <w:pPr>
        <w:pStyle w:val="Titre2"/>
        <w:numPr>
          <w:ilvl w:val="0"/>
          <w:numId w:val="7"/>
        </w:numPr>
        <w:rPr>
          <w:bCs/>
          <w:lang w:val="en-US"/>
        </w:rPr>
      </w:pPr>
      <w:bookmarkStart w:id="42" w:name="_Toc183015110"/>
      <w:r w:rsidRPr="004207CF">
        <w:rPr>
          <w:bCs/>
          <w:lang w:val="en-US"/>
        </w:rPr>
        <w:t>Conclusion</w:t>
      </w:r>
      <w:bookmarkEnd w:id="42"/>
    </w:p>
    <w:p w14:paraId="3661B40B" w14:textId="77777777" w:rsidR="00384799" w:rsidRPr="00384799" w:rsidRDefault="00384799" w:rsidP="00384799">
      <w:pPr>
        <w:rPr>
          <w:lang w:val="en-US"/>
        </w:rPr>
      </w:pPr>
      <w:r w:rsidRPr="00384799">
        <w:rPr>
          <w:lang w:val="en-US"/>
        </w:rPr>
        <w:t xml:space="preserve">Physical and transition risks are a class of risks that is sometimes not captured by risks management policies developed by public and private companies. Their relatively recent emergence and longer time horizon than the usual class of assets managed by risks managers increasingly attract the attention of Board members and Management teams of corporates and utilities. In order to transform findings into concrete steps, the design of a Corporate Climate Governance (CCG) Action Plan will focus on bridging identified governance and capacity gaps in the pillar of Governance, Strategy, Metric sand targets and reporting., In addition, a Sustainability-Linked Loan Action Plan will be set up to organize key steps to decarbonize ASCO activities and enable its access to sustainability-linked financing. </w:t>
      </w:r>
    </w:p>
    <w:p w14:paraId="6FE5D2A7" w14:textId="5C96BFB4" w:rsidR="00682C3D" w:rsidRPr="0061046E" w:rsidRDefault="00384799" w:rsidP="008B0E4C">
      <w:pPr>
        <w:rPr>
          <w:lang w:val="en-US"/>
        </w:rPr>
        <w:sectPr w:rsidR="00682C3D" w:rsidRPr="0061046E" w:rsidSect="00720EF4">
          <w:type w:val="continuous"/>
          <w:pgSz w:w="11906" w:h="16838"/>
          <w:pgMar w:top="1418" w:right="1418" w:bottom="1418" w:left="1418" w:header="709" w:footer="709" w:gutter="0"/>
          <w:cols w:space="708"/>
          <w:docGrid w:linePitch="360"/>
        </w:sectPr>
      </w:pPr>
      <w:r w:rsidRPr="00384799">
        <w:rPr>
          <w:lang w:val="en-US"/>
        </w:rPr>
        <w:t>These interconnected activities and action plans will collectively empower ASCO to pursue a more resilient, sustainable business model and better meet the growing demands of climate-conscious stakeholders.</w:t>
      </w:r>
      <w:r>
        <w:rPr>
          <w:lang w:val="en-US"/>
        </w:rPr>
        <w:t xml:space="preserve"> </w:t>
      </w:r>
    </w:p>
    <w:p w14:paraId="34FE2DE4" w14:textId="749FE5F2" w:rsidR="000A3572" w:rsidRPr="000A3572" w:rsidRDefault="00B96C3D" w:rsidP="000A3572">
      <w:pPr>
        <w:keepNext/>
        <w:keepLines/>
        <w:spacing w:before="360" w:after="120"/>
        <w:outlineLvl w:val="0"/>
        <w:rPr>
          <w:rFonts w:eastAsiaTheme="majorEastAsia" w:cstheme="majorBidi"/>
          <w:b/>
          <w:color w:val="7F7F7F" w:themeColor="text1" w:themeTint="80"/>
          <w:sz w:val="40"/>
          <w:szCs w:val="32"/>
          <w:lang w:val="en-US"/>
        </w:rPr>
      </w:pPr>
      <w:bookmarkStart w:id="43" w:name="_Toc183015111"/>
      <w:r w:rsidRPr="000A3572">
        <w:rPr>
          <w:rFonts w:eastAsiaTheme="majorEastAsia" w:cstheme="majorBidi"/>
          <w:b/>
          <w:color w:val="7F7F7F" w:themeColor="text1" w:themeTint="80"/>
          <w:sz w:val="40"/>
          <w:szCs w:val="32"/>
          <w:lang w:val="en-US"/>
        </w:rPr>
        <w:lastRenderedPageBreak/>
        <w:t>Appendi</w:t>
      </w:r>
      <w:r>
        <w:rPr>
          <w:rFonts w:eastAsiaTheme="majorEastAsia" w:cstheme="majorBidi"/>
          <w:b/>
          <w:color w:val="7F7F7F" w:themeColor="text1" w:themeTint="80"/>
          <w:sz w:val="40"/>
          <w:szCs w:val="32"/>
          <w:lang w:val="en-US"/>
        </w:rPr>
        <w:t>ces</w:t>
      </w:r>
      <w:bookmarkEnd w:id="43"/>
    </w:p>
    <w:p w14:paraId="16335D4C" w14:textId="77777777" w:rsidR="000A3572" w:rsidRPr="000A3572" w:rsidRDefault="000A3572" w:rsidP="000A3572">
      <w:pPr>
        <w:rPr>
          <w:lang w:val="en-US"/>
        </w:rPr>
      </w:pPr>
    </w:p>
    <w:p w14:paraId="7DB81EA8" w14:textId="7DA57358" w:rsidR="00EE231E" w:rsidRPr="00FC75FA" w:rsidRDefault="000A3572" w:rsidP="00B40F77">
      <w:pPr>
        <w:pStyle w:val="Titre2"/>
        <w:rPr>
          <w:lang w:val="en-US"/>
        </w:rPr>
      </w:pPr>
      <w:bookmarkStart w:id="44" w:name="_Toc183015112"/>
      <w:r w:rsidRPr="000A3572">
        <w:rPr>
          <w:lang w:val="en-US"/>
        </w:rPr>
        <w:t>Appendix 1</w:t>
      </w:r>
      <w:r w:rsidR="00266986" w:rsidRPr="00FC75FA">
        <w:rPr>
          <w:lang w:val="en-US"/>
        </w:rPr>
        <w:t xml:space="preserve"> - </w:t>
      </w:r>
      <w:r w:rsidR="00EE231E" w:rsidRPr="00FC75FA">
        <w:rPr>
          <w:lang w:val="en-US"/>
        </w:rPr>
        <w:t>Definition</w:t>
      </w:r>
      <w:r w:rsidR="001252C3" w:rsidRPr="00FC75FA">
        <w:rPr>
          <w:lang w:val="en-US"/>
        </w:rPr>
        <w:t xml:space="preserve"> of key concepts</w:t>
      </w:r>
      <w:bookmarkEnd w:id="44"/>
    </w:p>
    <w:p w14:paraId="290CA2DC" w14:textId="4F4B1AB0" w:rsidR="00EE231E" w:rsidRPr="00FC75FA" w:rsidRDefault="00EE231E" w:rsidP="00EE231E">
      <w:pPr>
        <w:pStyle w:val="Lgende"/>
      </w:pPr>
    </w:p>
    <w:tbl>
      <w:tblPr>
        <w:tblW w:w="9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0" w:type="dxa"/>
          <w:left w:w="100" w:type="dxa"/>
          <w:bottom w:w="100" w:type="dxa"/>
          <w:right w:w="100" w:type="dxa"/>
        </w:tblCellMar>
        <w:tblLook w:val="0600" w:firstRow="0" w:lastRow="0" w:firstColumn="0" w:lastColumn="0" w:noHBand="1" w:noVBand="1"/>
      </w:tblPr>
      <w:tblGrid>
        <w:gridCol w:w="1667"/>
        <w:gridCol w:w="7496"/>
      </w:tblGrid>
      <w:tr w:rsidR="00EE231E" w:rsidRPr="00FA7359" w14:paraId="20133754" w14:textId="77777777">
        <w:trPr>
          <w:trHeight w:val="424"/>
          <w:tblHeader/>
        </w:trPr>
        <w:tc>
          <w:tcPr>
            <w:tcW w:w="1667" w:type="dxa"/>
            <w:shd w:val="clear" w:color="auto" w:fill="FFC000"/>
            <w:tcMar>
              <w:top w:w="100" w:type="dxa"/>
              <w:left w:w="100" w:type="dxa"/>
              <w:bottom w:w="100" w:type="dxa"/>
              <w:right w:w="100" w:type="dxa"/>
            </w:tcMar>
            <w:vAlign w:val="center"/>
          </w:tcPr>
          <w:p w14:paraId="64D094E8" w14:textId="5D5D00BB" w:rsidR="00EE231E" w:rsidRPr="00367C0B" w:rsidRDefault="00E93CEE">
            <w:pPr>
              <w:spacing w:after="0" w:line="240" w:lineRule="auto"/>
              <w:rPr>
                <w:rFonts w:eastAsia="Cambria Math" w:cs="Symbol"/>
                <w:b/>
                <w:lang w:val="en-US"/>
              </w:rPr>
            </w:pPr>
            <w:r w:rsidRPr="00367C0B">
              <w:rPr>
                <w:rFonts w:eastAsia="Cambria Math" w:cs="Symbol"/>
                <w:b/>
                <w:lang w:val="en-US"/>
              </w:rPr>
              <w:t>Concept</w:t>
            </w:r>
          </w:p>
        </w:tc>
        <w:tc>
          <w:tcPr>
            <w:tcW w:w="7496" w:type="dxa"/>
            <w:shd w:val="clear" w:color="auto" w:fill="FFC000"/>
            <w:tcMar>
              <w:top w:w="100" w:type="dxa"/>
              <w:left w:w="100" w:type="dxa"/>
              <w:bottom w:w="100" w:type="dxa"/>
              <w:right w:w="100" w:type="dxa"/>
            </w:tcMar>
            <w:vAlign w:val="center"/>
          </w:tcPr>
          <w:p w14:paraId="30ED70F5" w14:textId="33FB9848" w:rsidR="00EE231E" w:rsidRPr="00883896" w:rsidRDefault="00883896">
            <w:pPr>
              <w:spacing w:after="0" w:line="240" w:lineRule="auto"/>
              <w:rPr>
                <w:rFonts w:eastAsia="Cambria Math" w:cs="Symbol"/>
                <w:b/>
                <w:lang w:val="en-US"/>
              </w:rPr>
            </w:pPr>
            <w:r w:rsidRPr="00883896">
              <w:rPr>
                <w:rFonts w:eastAsia="Cambria Math" w:cs="Symbol"/>
                <w:b/>
                <w:lang w:val="en-US"/>
              </w:rPr>
              <w:t xml:space="preserve">Definition </w:t>
            </w:r>
            <w:r w:rsidRPr="00883896">
              <w:rPr>
                <w:rFonts w:eastAsia="Cambria Math" w:cs="Symbol"/>
                <w:bCs/>
                <w:lang w:val="en-US"/>
              </w:rPr>
              <w:t>(ISO/TS 14092:2021: Adaptation to climate change — Guidelines on vulnerability, impacts, and risk assessment)</w:t>
            </w:r>
          </w:p>
        </w:tc>
      </w:tr>
      <w:tr w:rsidR="00EE231E" w:rsidRPr="00FA7359" w14:paraId="335089B9" w14:textId="77777777">
        <w:trPr>
          <w:trHeight w:val="139"/>
        </w:trPr>
        <w:tc>
          <w:tcPr>
            <w:tcW w:w="1667" w:type="dxa"/>
            <w:shd w:val="clear" w:color="auto" w:fill="auto"/>
            <w:tcMar>
              <w:top w:w="100" w:type="dxa"/>
              <w:left w:w="100" w:type="dxa"/>
              <w:bottom w:w="100" w:type="dxa"/>
              <w:right w:w="100" w:type="dxa"/>
            </w:tcMar>
            <w:vAlign w:val="center"/>
          </w:tcPr>
          <w:p w14:paraId="1C3E6091" w14:textId="70612489" w:rsidR="00EE231E" w:rsidRPr="00367C0B" w:rsidRDefault="00FE0C29">
            <w:pPr>
              <w:spacing w:after="0" w:line="240" w:lineRule="auto"/>
              <w:rPr>
                <w:rFonts w:eastAsia="Cambria Math" w:cs="Symbol"/>
                <w:b/>
                <w:lang w:val="en-US"/>
              </w:rPr>
            </w:pPr>
            <w:r w:rsidRPr="00367C0B">
              <w:rPr>
                <w:rFonts w:eastAsia="Cambria Math" w:cs="Symbol"/>
                <w:b/>
                <w:lang w:val="en-US"/>
              </w:rPr>
              <w:t>Hazard</w:t>
            </w:r>
          </w:p>
        </w:tc>
        <w:tc>
          <w:tcPr>
            <w:tcW w:w="7496" w:type="dxa"/>
            <w:shd w:val="clear" w:color="auto" w:fill="auto"/>
            <w:tcMar>
              <w:top w:w="100" w:type="dxa"/>
              <w:left w:w="100" w:type="dxa"/>
              <w:bottom w:w="100" w:type="dxa"/>
              <w:right w:w="100" w:type="dxa"/>
            </w:tcMar>
            <w:vAlign w:val="center"/>
          </w:tcPr>
          <w:p w14:paraId="76B1258F" w14:textId="77777777" w:rsidR="00FE0C29" w:rsidRPr="00815A22" w:rsidRDefault="00FE0C29" w:rsidP="00FE0C29">
            <w:pPr>
              <w:shd w:val="clear" w:color="auto" w:fill="FFFFFF"/>
              <w:spacing w:after="0"/>
              <w:rPr>
                <w:rFonts w:cs="Symbol"/>
                <w:color w:val="000000"/>
                <w:lang w:val="en-US"/>
              </w:rPr>
            </w:pPr>
            <w:r w:rsidRPr="00815A22">
              <w:rPr>
                <w:rFonts w:cs="Symbol"/>
                <w:color w:val="000000"/>
                <w:lang w:val="en-US"/>
              </w:rPr>
              <w:t>Potential source of harm</w:t>
            </w:r>
          </w:p>
          <w:p w14:paraId="70627611" w14:textId="02261AD2" w:rsidR="00EE231E" w:rsidRPr="00815A22" w:rsidRDefault="00EE231E" w:rsidP="000615AC">
            <w:pPr>
              <w:pStyle w:val="Paragraphedeliste"/>
              <w:numPr>
                <w:ilvl w:val="0"/>
                <w:numId w:val="15"/>
              </w:numPr>
              <w:shd w:val="clear" w:color="auto" w:fill="FFFFFF"/>
              <w:spacing w:after="0"/>
              <w:rPr>
                <w:rFonts w:cs="Symbol"/>
                <w:i/>
                <w:color w:val="000000"/>
                <w:lang w:val="en-US"/>
              </w:rPr>
            </w:pPr>
            <w:r w:rsidRPr="00815A22">
              <w:rPr>
                <w:rStyle w:val="sts-tbx-note-label"/>
                <w:rFonts w:cs="Symbol"/>
                <w:i/>
                <w:color w:val="000000"/>
                <w:lang w:val="en-US"/>
              </w:rPr>
              <w:t>Note 1: </w:t>
            </w:r>
            <w:r w:rsidR="00A8234C" w:rsidRPr="00815A22">
              <w:rPr>
                <w:rFonts w:cs="Symbol"/>
                <w:i/>
                <w:color w:val="000000"/>
                <w:lang w:val="en-US"/>
              </w:rPr>
              <w:t>Potential harm may result in loss of life, injury, or other health impacts, as well as damage and losses to property, infrastructure, livelihoods, service provision, ecosystems, and environmental resources.</w:t>
            </w:r>
          </w:p>
          <w:p w14:paraId="0C584F2F" w14:textId="0ADFA64F" w:rsidR="00EE231E" w:rsidRPr="00815A22" w:rsidRDefault="00EE231E" w:rsidP="00AA0497">
            <w:pPr>
              <w:pStyle w:val="Paragraphedeliste"/>
              <w:numPr>
                <w:ilvl w:val="0"/>
                <w:numId w:val="5"/>
              </w:numPr>
              <w:shd w:val="clear" w:color="auto" w:fill="FFFFFF"/>
              <w:spacing w:after="0"/>
              <w:rPr>
                <w:rFonts w:cs="Symbol"/>
                <w:i/>
                <w:color w:val="000000"/>
                <w:lang w:val="en-US"/>
              </w:rPr>
            </w:pPr>
            <w:r w:rsidRPr="00815A22">
              <w:rPr>
                <w:rStyle w:val="sts-tbx-note-label"/>
                <w:rFonts w:cs="Symbol"/>
                <w:i/>
                <w:color w:val="000000"/>
                <w:lang w:val="en-US"/>
              </w:rPr>
              <w:t>Note 2: </w:t>
            </w:r>
            <w:r w:rsidR="00713033" w:rsidRPr="00815A22">
              <w:rPr>
                <w:rFonts w:cs="Symbol"/>
                <w:i/>
                <w:color w:val="000000"/>
                <w:lang w:val="en-US"/>
              </w:rPr>
              <w:t>This term generally refers to physical phenomena and trends associated with climate or their physical impacts.</w:t>
            </w:r>
          </w:p>
          <w:p w14:paraId="32E26BDB" w14:textId="40FBEB22" w:rsidR="00EE231E" w:rsidRPr="00815A22" w:rsidRDefault="00EE231E" w:rsidP="00AA0497">
            <w:pPr>
              <w:pStyle w:val="Paragraphedeliste"/>
              <w:numPr>
                <w:ilvl w:val="0"/>
                <w:numId w:val="5"/>
              </w:numPr>
              <w:shd w:val="clear" w:color="auto" w:fill="FFFFFF"/>
              <w:spacing w:after="0"/>
              <w:rPr>
                <w:rFonts w:cs="Symbol"/>
                <w:color w:val="000000"/>
                <w:lang w:val="en-US"/>
              </w:rPr>
            </w:pPr>
            <w:r w:rsidRPr="00815A22">
              <w:rPr>
                <w:rStyle w:val="sts-tbx-note-label"/>
                <w:rFonts w:cs="Symbol"/>
                <w:i/>
                <w:color w:val="000000"/>
                <w:lang w:val="en-US"/>
              </w:rPr>
              <w:t>Note 3: </w:t>
            </w:r>
            <w:r w:rsidR="00713033" w:rsidRPr="00815A22">
              <w:rPr>
                <w:rFonts w:cs="Symbol"/>
                <w:i/>
                <w:color w:val="000000"/>
                <w:lang w:val="en-US"/>
              </w:rPr>
              <w:t>Hazards include slow-onset phenomena (e.g., long-term temperature rise) as well as rapidly evolving extreme weather events (e.g., heatwaves) or increased variability.</w:t>
            </w:r>
          </w:p>
        </w:tc>
      </w:tr>
      <w:tr w:rsidR="00EE231E" w:rsidRPr="00FA7359" w14:paraId="40DCC3BA" w14:textId="77777777">
        <w:trPr>
          <w:trHeight w:val="139"/>
        </w:trPr>
        <w:tc>
          <w:tcPr>
            <w:tcW w:w="1667" w:type="dxa"/>
            <w:shd w:val="clear" w:color="auto" w:fill="auto"/>
            <w:tcMar>
              <w:top w:w="100" w:type="dxa"/>
              <w:left w:w="100" w:type="dxa"/>
              <w:bottom w:w="100" w:type="dxa"/>
              <w:right w:w="100" w:type="dxa"/>
            </w:tcMar>
            <w:vAlign w:val="center"/>
          </w:tcPr>
          <w:p w14:paraId="33C05DE4" w14:textId="7B2F45B8" w:rsidR="00EE231E" w:rsidRPr="00367C0B" w:rsidRDefault="00EE231E">
            <w:pPr>
              <w:spacing w:after="0" w:line="240" w:lineRule="auto"/>
              <w:rPr>
                <w:rFonts w:eastAsia="Cambria Math" w:cs="Symbol"/>
                <w:b/>
                <w:color w:val="FF0000"/>
                <w:lang w:val="en-US"/>
              </w:rPr>
            </w:pPr>
            <w:r w:rsidRPr="00367C0B">
              <w:rPr>
                <w:rFonts w:eastAsia="Cambria Math" w:cs="Symbol"/>
                <w:b/>
                <w:lang w:val="en-US"/>
              </w:rPr>
              <w:t>Expos</w:t>
            </w:r>
            <w:r w:rsidR="00F30906" w:rsidRPr="00367C0B">
              <w:rPr>
                <w:rFonts w:eastAsia="Cambria Math" w:cs="Symbol"/>
                <w:b/>
                <w:lang w:val="en-US"/>
              </w:rPr>
              <w:t>ure</w:t>
            </w:r>
          </w:p>
        </w:tc>
        <w:tc>
          <w:tcPr>
            <w:tcW w:w="7496" w:type="dxa"/>
            <w:shd w:val="clear" w:color="auto" w:fill="auto"/>
            <w:tcMar>
              <w:top w:w="100" w:type="dxa"/>
              <w:left w:w="100" w:type="dxa"/>
              <w:bottom w:w="100" w:type="dxa"/>
              <w:right w:w="100" w:type="dxa"/>
            </w:tcMar>
            <w:vAlign w:val="center"/>
          </w:tcPr>
          <w:p w14:paraId="0BF49D1B" w14:textId="77777777" w:rsidR="00815A22" w:rsidRPr="00815A22" w:rsidRDefault="00815A22" w:rsidP="00815A22">
            <w:pPr>
              <w:shd w:val="clear" w:color="auto" w:fill="FFFFFF"/>
              <w:spacing w:after="0"/>
              <w:rPr>
                <w:rFonts w:eastAsia="Yu Mincho Light" w:cs="Symbol"/>
                <w:color w:val="000000"/>
                <w:lang w:val="en-US" w:eastAsia="fr-FR"/>
              </w:rPr>
            </w:pPr>
            <w:r w:rsidRPr="00815A22">
              <w:rPr>
                <w:rFonts w:eastAsia="Yu Mincho Light" w:cs="Symbol"/>
                <w:color w:val="000000"/>
                <w:lang w:val="en-US" w:eastAsia="fr-FR"/>
              </w:rPr>
              <w:t>Exposure: Presence of people, livelihoods, species, or ecosystems, environmental functions, resources, or services, infrastructure elements, or economic, social, or cultural assets in places that could be adversely affected</w:t>
            </w:r>
          </w:p>
          <w:p w14:paraId="7F42CDC4" w14:textId="6BE38B4E" w:rsidR="00EE231E" w:rsidRPr="00F30906" w:rsidRDefault="00EE231E" w:rsidP="000615AC">
            <w:pPr>
              <w:pStyle w:val="Paragraphedeliste"/>
              <w:numPr>
                <w:ilvl w:val="0"/>
                <w:numId w:val="16"/>
              </w:numPr>
              <w:shd w:val="clear" w:color="auto" w:fill="FFFFFF"/>
              <w:spacing w:after="0"/>
              <w:rPr>
                <w:rFonts w:eastAsia="Yu Mincho Light" w:cs="Symbol"/>
                <w:i/>
                <w:color w:val="000000"/>
                <w:lang w:val="en-US" w:eastAsia="fr-FR"/>
              </w:rPr>
            </w:pPr>
            <w:r w:rsidRPr="00F30906">
              <w:rPr>
                <w:rStyle w:val="sts-tbx-note-label"/>
                <w:lang w:val="en-US"/>
              </w:rPr>
              <w:t>Note 1: </w:t>
            </w:r>
            <w:r w:rsidR="00F30906" w:rsidRPr="00F30906">
              <w:rPr>
                <w:rStyle w:val="sts-tbx-note-label"/>
                <w:lang w:val="en-US"/>
              </w:rPr>
              <w:t>Exposure can change over time, for instance, as a result of land-use change.</w:t>
            </w:r>
          </w:p>
        </w:tc>
      </w:tr>
      <w:tr w:rsidR="00EE231E" w:rsidRPr="00FA7359" w14:paraId="4E9CB1B4" w14:textId="77777777">
        <w:trPr>
          <w:trHeight w:val="139"/>
        </w:trPr>
        <w:tc>
          <w:tcPr>
            <w:tcW w:w="1667" w:type="dxa"/>
            <w:shd w:val="clear" w:color="auto" w:fill="auto"/>
            <w:tcMar>
              <w:top w:w="100" w:type="dxa"/>
              <w:left w:w="100" w:type="dxa"/>
              <w:bottom w:w="100" w:type="dxa"/>
              <w:right w:w="100" w:type="dxa"/>
            </w:tcMar>
            <w:vAlign w:val="center"/>
          </w:tcPr>
          <w:p w14:paraId="704D8338" w14:textId="076C8401" w:rsidR="00EE231E" w:rsidRPr="00367C0B" w:rsidRDefault="00F31588">
            <w:pPr>
              <w:spacing w:after="0" w:line="240" w:lineRule="auto"/>
              <w:rPr>
                <w:rFonts w:eastAsia="Cambria Math" w:cs="Symbol"/>
                <w:b/>
                <w:lang w:val="en-US"/>
              </w:rPr>
            </w:pPr>
            <w:r w:rsidRPr="00367C0B">
              <w:rPr>
                <w:rFonts w:eastAsia="Cambria Math" w:cs="Symbol"/>
                <w:b/>
                <w:lang w:val="en-US"/>
              </w:rPr>
              <w:t>Sensitivity</w:t>
            </w:r>
          </w:p>
        </w:tc>
        <w:tc>
          <w:tcPr>
            <w:tcW w:w="7496" w:type="dxa"/>
            <w:shd w:val="clear" w:color="auto" w:fill="auto"/>
            <w:tcMar>
              <w:top w:w="100" w:type="dxa"/>
              <w:left w:w="100" w:type="dxa"/>
              <w:bottom w:w="100" w:type="dxa"/>
              <w:right w:w="100" w:type="dxa"/>
            </w:tcMar>
            <w:vAlign w:val="center"/>
          </w:tcPr>
          <w:p w14:paraId="551E31F6" w14:textId="77777777" w:rsidR="00F31588" w:rsidRPr="00F31588" w:rsidRDefault="00F31588" w:rsidP="00F31588">
            <w:pPr>
              <w:shd w:val="clear" w:color="auto" w:fill="FFFFFF"/>
              <w:spacing w:after="0"/>
              <w:rPr>
                <w:rStyle w:val="sts-tbx-note-label"/>
                <w:rFonts w:cs="Symbol"/>
                <w:i/>
                <w:color w:val="000000"/>
                <w:lang w:val="en-US"/>
              </w:rPr>
            </w:pPr>
            <w:r w:rsidRPr="00F31588">
              <w:rPr>
                <w:rFonts w:cs="Symbol"/>
                <w:iCs/>
                <w:color w:val="000000"/>
                <w:lang w:val="en-US"/>
              </w:rPr>
              <w:t>Sensitivity: Degree to which a system or species is affected, either adversely or beneficially, by climate variability or change</w:t>
            </w:r>
          </w:p>
          <w:p w14:paraId="4146A7B5" w14:textId="42A5FB8C" w:rsidR="00EE231E" w:rsidRPr="0001736F" w:rsidRDefault="00EE231E" w:rsidP="00F31588">
            <w:pPr>
              <w:shd w:val="clear" w:color="auto" w:fill="FFFFFF"/>
              <w:spacing w:after="0"/>
              <w:rPr>
                <w:rFonts w:cs="Symbol"/>
                <w:i/>
                <w:color w:val="000000"/>
                <w:lang w:val="en-US"/>
              </w:rPr>
            </w:pPr>
            <w:r w:rsidRPr="0001736F">
              <w:rPr>
                <w:rStyle w:val="sts-tbx-note-label"/>
                <w:rFonts w:cs="Symbol"/>
                <w:i/>
                <w:color w:val="000000"/>
                <w:lang w:val="en-US"/>
              </w:rPr>
              <w:t>Note 1: </w:t>
            </w:r>
            <w:r w:rsidR="0001736F" w:rsidRPr="0001736F">
              <w:rPr>
                <w:rFonts w:cs="Symbol"/>
                <w:i/>
                <w:color w:val="000000"/>
                <w:lang w:val="en-US"/>
              </w:rPr>
              <w:t>This effect can be direct (e.g., a change in crop yield due to a change in average, range, or variability of temperature) or indirect (e.g., damage from increased frequency of coastal flooding due to rising sea levels).</w:t>
            </w:r>
          </w:p>
        </w:tc>
      </w:tr>
      <w:tr w:rsidR="00EE231E" w:rsidRPr="00FA7359" w14:paraId="7B63105D" w14:textId="77777777">
        <w:trPr>
          <w:trHeight w:val="778"/>
        </w:trPr>
        <w:tc>
          <w:tcPr>
            <w:tcW w:w="1667" w:type="dxa"/>
            <w:shd w:val="clear" w:color="auto" w:fill="auto"/>
            <w:tcMar>
              <w:top w:w="100" w:type="dxa"/>
              <w:left w:w="100" w:type="dxa"/>
              <w:bottom w:w="100" w:type="dxa"/>
              <w:right w:w="100" w:type="dxa"/>
            </w:tcMar>
            <w:vAlign w:val="center"/>
          </w:tcPr>
          <w:p w14:paraId="6C5A3642" w14:textId="17E73B8C" w:rsidR="00EE231E" w:rsidRPr="00367C0B" w:rsidRDefault="00517D96">
            <w:pPr>
              <w:spacing w:after="0" w:line="240" w:lineRule="auto"/>
              <w:rPr>
                <w:rFonts w:eastAsia="Cambria Math" w:cs="Symbol"/>
                <w:b/>
                <w:lang w:val="en-US"/>
              </w:rPr>
            </w:pPr>
            <w:r w:rsidRPr="00367C0B">
              <w:rPr>
                <w:rFonts w:eastAsia="Cambria Math" w:cs="Symbol"/>
                <w:b/>
                <w:lang w:val="en-US"/>
              </w:rPr>
              <w:t>Vulnerability</w:t>
            </w:r>
          </w:p>
        </w:tc>
        <w:tc>
          <w:tcPr>
            <w:tcW w:w="7496" w:type="dxa"/>
            <w:shd w:val="clear" w:color="auto" w:fill="auto"/>
            <w:tcMar>
              <w:top w:w="100" w:type="dxa"/>
              <w:left w:w="100" w:type="dxa"/>
              <w:bottom w:w="100" w:type="dxa"/>
              <w:right w:w="100" w:type="dxa"/>
            </w:tcMar>
            <w:vAlign w:val="center"/>
          </w:tcPr>
          <w:p w14:paraId="728DDE65" w14:textId="77777777" w:rsidR="00A652F7" w:rsidRPr="00F23CB8" w:rsidRDefault="00A652F7" w:rsidP="00A652F7">
            <w:pPr>
              <w:shd w:val="clear" w:color="auto" w:fill="FFFFFF"/>
              <w:spacing w:after="0"/>
              <w:rPr>
                <w:rFonts w:cs="Symbol"/>
                <w:i/>
                <w:color w:val="000000"/>
                <w:lang w:val="en-US"/>
              </w:rPr>
            </w:pPr>
            <w:r w:rsidRPr="00F23CB8">
              <w:rPr>
                <w:rFonts w:cs="Symbol"/>
                <w:color w:val="000000"/>
                <w:lang w:val="en-US"/>
              </w:rPr>
              <w:t>Propensity or predisposition to be adversely affected.</w:t>
            </w:r>
          </w:p>
          <w:p w14:paraId="4A46060D" w14:textId="39C14F86" w:rsidR="00EE231E" w:rsidRPr="00A652F7" w:rsidRDefault="00EE231E" w:rsidP="00AA0497">
            <w:pPr>
              <w:pStyle w:val="Paragraphedeliste"/>
              <w:numPr>
                <w:ilvl w:val="0"/>
                <w:numId w:val="5"/>
              </w:numPr>
              <w:shd w:val="clear" w:color="auto" w:fill="FFFFFF"/>
              <w:spacing w:after="0"/>
              <w:rPr>
                <w:rFonts w:cs="Symbol"/>
                <w:i/>
                <w:color w:val="000000"/>
                <w:lang w:val="en-US"/>
              </w:rPr>
            </w:pPr>
            <w:r w:rsidRPr="00A652F7">
              <w:rPr>
                <w:rStyle w:val="sts-tbx-note-label"/>
                <w:rFonts w:cs="Symbol"/>
                <w:i/>
                <w:color w:val="000000"/>
                <w:lang w:val="en-US"/>
              </w:rPr>
              <w:t>Note: </w:t>
            </w:r>
            <w:r w:rsidR="00A652F7" w:rsidRPr="00A652F7">
              <w:rPr>
                <w:rStyle w:val="sts-tbx-note-label"/>
                <w:i/>
                <w:lang w:val="en-US"/>
              </w:rPr>
              <w:t>Vulnerability encompasses various concepts or components, including the notions of sensitivity or fragility and the inability to cope and adapt.</w:t>
            </w:r>
          </w:p>
        </w:tc>
      </w:tr>
      <w:tr w:rsidR="00EE231E" w:rsidRPr="00FA7359" w14:paraId="174EAB4B" w14:textId="77777777">
        <w:trPr>
          <w:trHeight w:val="24"/>
        </w:trPr>
        <w:tc>
          <w:tcPr>
            <w:tcW w:w="1667" w:type="dxa"/>
            <w:shd w:val="clear" w:color="auto" w:fill="auto"/>
            <w:tcMar>
              <w:top w:w="100" w:type="dxa"/>
              <w:left w:w="100" w:type="dxa"/>
              <w:bottom w:w="100" w:type="dxa"/>
              <w:right w:w="100" w:type="dxa"/>
            </w:tcMar>
            <w:vAlign w:val="center"/>
          </w:tcPr>
          <w:p w14:paraId="2277B25A" w14:textId="6B510903" w:rsidR="00EE231E" w:rsidRPr="00367C0B" w:rsidRDefault="00A652F7">
            <w:pPr>
              <w:spacing w:after="0" w:line="240" w:lineRule="auto"/>
              <w:rPr>
                <w:rFonts w:eastAsia="Cambria Math" w:cs="Symbol"/>
                <w:b/>
                <w:lang w:val="en-US"/>
              </w:rPr>
            </w:pPr>
            <w:r w:rsidRPr="00367C0B">
              <w:rPr>
                <w:rFonts w:eastAsia="Cambria Math" w:cs="Symbol"/>
                <w:b/>
                <w:lang w:val="en-US"/>
              </w:rPr>
              <w:t>Risk</w:t>
            </w:r>
          </w:p>
        </w:tc>
        <w:tc>
          <w:tcPr>
            <w:tcW w:w="7496" w:type="dxa"/>
            <w:shd w:val="clear" w:color="auto" w:fill="auto"/>
            <w:tcMar>
              <w:top w:w="100" w:type="dxa"/>
              <w:left w:w="100" w:type="dxa"/>
              <w:bottom w:w="100" w:type="dxa"/>
              <w:right w:w="100" w:type="dxa"/>
            </w:tcMar>
            <w:vAlign w:val="center"/>
          </w:tcPr>
          <w:p w14:paraId="6501F631" w14:textId="50B64A62" w:rsidR="00EE231E" w:rsidRPr="00A61755" w:rsidRDefault="00A61755">
            <w:pPr>
              <w:shd w:val="clear" w:color="auto" w:fill="FFFFFF"/>
              <w:spacing w:after="0" w:line="240" w:lineRule="auto"/>
              <w:rPr>
                <w:rFonts w:eastAsia="Yu Mincho Light" w:cs="Symbol"/>
                <w:color w:val="000000"/>
                <w:lang w:val="en-US" w:eastAsia="fr-FR"/>
              </w:rPr>
            </w:pPr>
            <w:r w:rsidRPr="00A61755">
              <w:rPr>
                <w:rFonts w:cs="Symbol"/>
                <w:color w:val="000000"/>
                <w:shd w:val="clear" w:color="auto" w:fill="FFFFFF"/>
                <w:lang w:val="en-US"/>
              </w:rPr>
              <w:t xml:space="preserve">A </w:t>
            </w:r>
            <w:r w:rsidRPr="00A61755">
              <w:rPr>
                <w:rFonts w:cs="Symbol"/>
                <w:b/>
                <w:bCs/>
                <w:color w:val="000000"/>
                <w:shd w:val="clear" w:color="auto" w:fill="FFFFFF"/>
                <w:lang w:val="en-US"/>
              </w:rPr>
              <w:t>climate change-related risk</w:t>
            </w:r>
            <w:r w:rsidRPr="00A61755">
              <w:rPr>
                <w:rFonts w:cs="Symbol"/>
                <w:color w:val="000000"/>
                <w:shd w:val="clear" w:color="auto" w:fill="FFFFFF"/>
                <w:lang w:val="en-US"/>
              </w:rPr>
              <w:t xml:space="preserve"> describes the potential impact of climate change on societies, economies, and the environment.</w:t>
            </w:r>
          </w:p>
        </w:tc>
      </w:tr>
      <w:tr w:rsidR="00EE231E" w:rsidRPr="00FA7359" w14:paraId="7798FED2" w14:textId="77777777">
        <w:trPr>
          <w:trHeight w:val="139"/>
        </w:trPr>
        <w:tc>
          <w:tcPr>
            <w:tcW w:w="1667" w:type="dxa"/>
            <w:shd w:val="clear" w:color="auto" w:fill="auto"/>
            <w:tcMar>
              <w:top w:w="100" w:type="dxa"/>
              <w:left w:w="100" w:type="dxa"/>
              <w:bottom w:w="100" w:type="dxa"/>
              <w:right w:w="100" w:type="dxa"/>
            </w:tcMar>
            <w:vAlign w:val="center"/>
          </w:tcPr>
          <w:p w14:paraId="400E0887" w14:textId="77777777" w:rsidR="00EE231E" w:rsidRPr="00367C0B" w:rsidRDefault="00EE231E">
            <w:pPr>
              <w:spacing w:after="0" w:line="240" w:lineRule="auto"/>
              <w:rPr>
                <w:rFonts w:eastAsia="Cambria Math" w:cs="Symbol"/>
                <w:b/>
                <w:lang w:val="en-US"/>
              </w:rPr>
            </w:pPr>
            <w:r w:rsidRPr="00367C0B">
              <w:rPr>
                <w:rFonts w:eastAsia="Cambria Math" w:cs="Symbol"/>
                <w:b/>
                <w:lang w:val="en-US"/>
              </w:rPr>
              <w:t>Impact</w:t>
            </w:r>
          </w:p>
        </w:tc>
        <w:tc>
          <w:tcPr>
            <w:tcW w:w="7496" w:type="dxa"/>
            <w:shd w:val="clear" w:color="auto" w:fill="auto"/>
            <w:tcMar>
              <w:top w:w="100" w:type="dxa"/>
              <w:left w:w="100" w:type="dxa"/>
              <w:bottom w:w="100" w:type="dxa"/>
              <w:right w:w="100" w:type="dxa"/>
            </w:tcMar>
            <w:vAlign w:val="center"/>
          </w:tcPr>
          <w:p w14:paraId="5157C576" w14:textId="77777777" w:rsidR="00F454FD" w:rsidRPr="00F454FD" w:rsidRDefault="00F454FD" w:rsidP="00F454FD">
            <w:pPr>
              <w:shd w:val="clear" w:color="auto" w:fill="FFFFFF"/>
              <w:spacing w:after="0"/>
              <w:rPr>
                <w:rFonts w:cs="Symbol"/>
                <w:color w:val="000000"/>
                <w:lang w:val="en-US"/>
              </w:rPr>
            </w:pPr>
            <w:r w:rsidRPr="00F454FD">
              <w:rPr>
                <w:rFonts w:cs="Symbol"/>
                <w:color w:val="000000"/>
                <w:lang w:val="en-US"/>
              </w:rPr>
              <w:t xml:space="preserve">Effect on </w:t>
            </w:r>
            <w:r w:rsidRPr="00F454FD">
              <w:rPr>
                <w:rFonts w:cs="Symbol"/>
                <w:b/>
                <w:bCs/>
                <w:color w:val="000000"/>
                <w:lang w:val="en-US"/>
              </w:rPr>
              <w:t>natural and human</w:t>
            </w:r>
            <w:r w:rsidRPr="00F454FD">
              <w:rPr>
                <w:rFonts w:cs="Symbol"/>
                <w:color w:val="000000"/>
                <w:lang w:val="en-US"/>
              </w:rPr>
              <w:t xml:space="preserve"> systems</w:t>
            </w:r>
          </w:p>
          <w:p w14:paraId="0019C4A1" w14:textId="7ACEAC7B" w:rsidR="00EE231E" w:rsidRPr="00541BFD" w:rsidRDefault="00EE231E" w:rsidP="00F454FD">
            <w:pPr>
              <w:shd w:val="clear" w:color="auto" w:fill="FFFFFF"/>
              <w:spacing w:after="0"/>
              <w:rPr>
                <w:rFonts w:cs="Symbol"/>
                <w:i/>
                <w:color w:val="000000"/>
                <w:lang w:val="en-US"/>
              </w:rPr>
            </w:pPr>
            <w:r w:rsidRPr="00541BFD">
              <w:rPr>
                <w:rStyle w:val="sts-tbx-note-label"/>
                <w:rFonts w:cs="Symbol"/>
                <w:i/>
                <w:color w:val="000000"/>
                <w:lang w:val="en-US"/>
              </w:rPr>
              <w:t>Note : </w:t>
            </w:r>
            <w:r w:rsidR="00541BFD" w:rsidRPr="00541BFD">
              <w:rPr>
                <w:rFonts w:cs="Symbol"/>
                <w:i/>
                <w:color w:val="000000"/>
                <w:lang w:val="en-US"/>
              </w:rPr>
              <w:t xml:space="preserve">In the context of </w:t>
            </w:r>
            <w:r w:rsidR="00541BFD" w:rsidRPr="00541BFD">
              <w:rPr>
                <w:rFonts w:cs="Symbol"/>
                <w:b/>
                <w:bCs/>
                <w:i/>
                <w:color w:val="000000"/>
                <w:lang w:val="en-US"/>
              </w:rPr>
              <w:t>climate change</w:t>
            </w:r>
            <w:r w:rsidR="00541BFD" w:rsidRPr="00541BFD">
              <w:rPr>
                <w:rFonts w:cs="Symbol"/>
                <w:i/>
                <w:color w:val="000000"/>
                <w:lang w:val="en-US"/>
              </w:rPr>
              <w:t xml:space="preserve">, the term "impact" is primarily used to refer to the effects on natural and human systems of extreme weather and climatic phenomena and climate change. Impacts generally refer to effects on people's lives, livelihoods, health, ecosystems, economic, social, and cultural heritage, services, and infrastructure, resulting from their </w:t>
            </w:r>
            <w:r w:rsidR="00541BFD" w:rsidRPr="00541BFD">
              <w:rPr>
                <w:rFonts w:cs="Symbol"/>
                <w:i/>
                <w:color w:val="000000"/>
                <w:lang w:val="en-US"/>
              </w:rPr>
              <w:lastRenderedPageBreak/>
              <w:t>interactions with climate change or hazardous climatic events occurring over a given period, and the vulnerability of the exposed society or system. In this sense, the terms "consequences" or "incidences" are also used. The impacts of climate change on geophysical systems, including floods, droughts, and sea-level rise, are a subset of impacts called "physical impacts."</w:t>
            </w:r>
          </w:p>
        </w:tc>
      </w:tr>
      <w:tr w:rsidR="00EE231E" w:rsidRPr="00FA7359" w14:paraId="4EAB0AE4" w14:textId="77777777">
        <w:trPr>
          <w:trHeight w:val="13"/>
        </w:trPr>
        <w:tc>
          <w:tcPr>
            <w:tcW w:w="1667" w:type="dxa"/>
            <w:shd w:val="clear" w:color="auto" w:fill="auto"/>
            <w:tcMar>
              <w:top w:w="100" w:type="dxa"/>
              <w:left w:w="100" w:type="dxa"/>
              <w:bottom w:w="100" w:type="dxa"/>
              <w:right w:w="100" w:type="dxa"/>
            </w:tcMar>
            <w:vAlign w:val="center"/>
          </w:tcPr>
          <w:p w14:paraId="4374B02E" w14:textId="43C76CE5" w:rsidR="00EE231E" w:rsidRPr="00367C0B" w:rsidRDefault="00D23AF2">
            <w:pPr>
              <w:spacing w:after="0" w:line="240" w:lineRule="auto"/>
              <w:rPr>
                <w:rFonts w:eastAsia="Cambria Math" w:cs="Symbol"/>
                <w:b/>
                <w:lang w:val="en-US"/>
              </w:rPr>
            </w:pPr>
            <w:r w:rsidRPr="00367C0B">
              <w:rPr>
                <w:rFonts w:eastAsia="Cambria Math" w:cs="Symbol"/>
                <w:b/>
                <w:lang w:val="en-US"/>
              </w:rPr>
              <w:lastRenderedPageBreak/>
              <w:t>Impact chain</w:t>
            </w:r>
          </w:p>
        </w:tc>
        <w:tc>
          <w:tcPr>
            <w:tcW w:w="7496" w:type="dxa"/>
            <w:shd w:val="clear" w:color="auto" w:fill="auto"/>
            <w:tcMar>
              <w:top w:w="100" w:type="dxa"/>
              <w:left w:w="100" w:type="dxa"/>
              <w:bottom w:w="100" w:type="dxa"/>
              <w:right w:w="100" w:type="dxa"/>
            </w:tcMar>
            <w:vAlign w:val="center"/>
          </w:tcPr>
          <w:p w14:paraId="6E97BFEE" w14:textId="6985022C" w:rsidR="00EE231E" w:rsidRPr="00D23AF2" w:rsidRDefault="00D23AF2">
            <w:pPr>
              <w:shd w:val="clear" w:color="auto" w:fill="FFFFFF"/>
              <w:spacing w:after="0" w:line="240" w:lineRule="auto"/>
              <w:rPr>
                <w:rFonts w:cs="Symbol"/>
                <w:color w:val="000000"/>
                <w:lang w:val="en-US"/>
              </w:rPr>
            </w:pPr>
            <w:r w:rsidRPr="00D23AF2">
              <w:rPr>
                <w:rFonts w:cs="Symbol"/>
                <w:color w:val="000000"/>
                <w:shd w:val="clear" w:color="auto" w:fill="FFFFFF"/>
                <w:lang w:val="en-US"/>
              </w:rPr>
              <w:t xml:space="preserve">Impact chain: Analytical approach to understand how given </w:t>
            </w:r>
            <w:r w:rsidRPr="00D23AF2">
              <w:rPr>
                <w:rFonts w:cs="Symbol"/>
                <w:b/>
                <w:bCs/>
                <w:color w:val="000000"/>
                <w:shd w:val="clear" w:color="auto" w:fill="FFFFFF"/>
                <w:lang w:val="en-US"/>
              </w:rPr>
              <w:t>hazards</w:t>
            </w:r>
            <w:r w:rsidRPr="00D23AF2">
              <w:rPr>
                <w:rFonts w:cs="Symbol"/>
                <w:color w:val="000000"/>
                <w:shd w:val="clear" w:color="auto" w:fill="FFFFFF"/>
                <w:lang w:val="en-US"/>
              </w:rPr>
              <w:t xml:space="preserve"> lead to direct or indirect </w:t>
            </w:r>
            <w:r w:rsidRPr="00D23AF2">
              <w:rPr>
                <w:rFonts w:cs="Symbol"/>
                <w:b/>
                <w:bCs/>
                <w:color w:val="000000"/>
                <w:shd w:val="clear" w:color="auto" w:fill="FFFFFF"/>
                <w:lang w:val="en-US"/>
              </w:rPr>
              <w:t>impacts</w:t>
            </w:r>
            <w:r w:rsidRPr="00D23AF2">
              <w:rPr>
                <w:rFonts w:cs="Symbol"/>
                <w:color w:val="000000"/>
                <w:shd w:val="clear" w:color="auto" w:fill="FFFFFF"/>
                <w:lang w:val="en-US"/>
              </w:rPr>
              <w:t xml:space="preserve"> that propagate through a </w:t>
            </w:r>
            <w:r w:rsidRPr="00D23AF2">
              <w:rPr>
                <w:rFonts w:cs="Symbol"/>
                <w:b/>
                <w:bCs/>
                <w:color w:val="000000"/>
                <w:shd w:val="clear" w:color="auto" w:fill="FFFFFF"/>
                <w:lang w:val="en-US"/>
              </w:rPr>
              <w:t>system at risk</w:t>
            </w:r>
            <w:r>
              <w:rPr>
                <w:rFonts w:cs="Symbol"/>
                <w:color w:val="000000"/>
                <w:shd w:val="clear" w:color="auto" w:fill="FFFFFF"/>
                <w:lang w:val="en-US"/>
              </w:rPr>
              <w:t>.</w:t>
            </w:r>
          </w:p>
        </w:tc>
      </w:tr>
      <w:tr w:rsidR="006164A6" w:rsidRPr="00FA7359" w14:paraId="1FD48C34" w14:textId="77777777">
        <w:trPr>
          <w:trHeight w:val="275"/>
        </w:trPr>
        <w:tc>
          <w:tcPr>
            <w:tcW w:w="1667" w:type="dxa"/>
            <w:shd w:val="clear" w:color="auto" w:fill="FFC000"/>
            <w:tcMar>
              <w:top w:w="100" w:type="dxa"/>
              <w:left w:w="100" w:type="dxa"/>
              <w:bottom w:w="100" w:type="dxa"/>
              <w:right w:w="100" w:type="dxa"/>
            </w:tcMar>
            <w:vAlign w:val="center"/>
          </w:tcPr>
          <w:p w14:paraId="12CDA95E" w14:textId="77777777" w:rsidR="00EE231E" w:rsidRPr="00367C0B" w:rsidRDefault="00EE231E">
            <w:pPr>
              <w:spacing w:after="0" w:line="240" w:lineRule="auto"/>
              <w:rPr>
                <w:rFonts w:eastAsia="Cambria Math" w:cs="Symbol"/>
                <w:b/>
                <w:lang w:val="en-US"/>
              </w:rPr>
            </w:pPr>
            <w:r w:rsidRPr="00367C0B">
              <w:rPr>
                <w:rFonts w:eastAsia="Cambria Math" w:cs="Symbol"/>
                <w:b/>
                <w:lang w:val="en-US"/>
              </w:rPr>
              <w:t>Terme</w:t>
            </w:r>
          </w:p>
        </w:tc>
        <w:tc>
          <w:tcPr>
            <w:tcW w:w="7496" w:type="dxa"/>
            <w:shd w:val="clear" w:color="auto" w:fill="FFC000"/>
            <w:tcMar>
              <w:top w:w="100" w:type="dxa"/>
              <w:left w:w="100" w:type="dxa"/>
              <w:bottom w:w="100" w:type="dxa"/>
              <w:right w:w="100" w:type="dxa"/>
            </w:tcMar>
            <w:vAlign w:val="center"/>
          </w:tcPr>
          <w:p w14:paraId="76E73B22" w14:textId="7383BA23" w:rsidR="00EE231E" w:rsidRPr="00FC75FA" w:rsidRDefault="00C64E50">
            <w:pPr>
              <w:spacing w:after="0" w:line="240" w:lineRule="auto"/>
              <w:rPr>
                <w:rFonts w:eastAsia="Cambria Math" w:cs="Symbol"/>
                <w:b/>
                <w:lang w:val="en-US"/>
              </w:rPr>
            </w:pPr>
            <w:r>
              <w:rPr>
                <w:rFonts w:eastAsia="Cambria Math" w:cs="Symbol"/>
                <w:b/>
                <w:lang w:val="en-US"/>
              </w:rPr>
              <w:t>Definition</w:t>
            </w:r>
            <w:r w:rsidR="00EE231E" w:rsidRPr="00FC75FA">
              <w:rPr>
                <w:rFonts w:eastAsia="Cambria Math" w:cs="Symbol"/>
                <w:b/>
                <w:lang w:val="en-US"/>
              </w:rPr>
              <w:t xml:space="preserve"> </w:t>
            </w:r>
            <w:r w:rsidR="00EE231E" w:rsidRPr="00FC75FA">
              <w:rPr>
                <w:rFonts w:eastAsia="Cambria Math" w:cs="Symbol"/>
                <w:b/>
                <w:i/>
                <w:sz w:val="18"/>
                <w:szCs w:val="18"/>
                <w:lang w:val="en-US"/>
              </w:rPr>
              <w:t>(TCFD - Task force on Climate-related Financial Disclosures)</w:t>
            </w:r>
          </w:p>
        </w:tc>
      </w:tr>
      <w:tr w:rsidR="00EE231E" w:rsidRPr="00FA7359" w14:paraId="2892C709" w14:textId="77777777">
        <w:trPr>
          <w:trHeight w:val="139"/>
        </w:trPr>
        <w:tc>
          <w:tcPr>
            <w:tcW w:w="1667" w:type="dxa"/>
            <w:shd w:val="clear" w:color="auto" w:fill="auto"/>
            <w:tcMar>
              <w:top w:w="100" w:type="dxa"/>
              <w:left w:w="100" w:type="dxa"/>
              <w:bottom w:w="100" w:type="dxa"/>
              <w:right w:w="100" w:type="dxa"/>
            </w:tcMar>
            <w:vAlign w:val="center"/>
          </w:tcPr>
          <w:p w14:paraId="38135C51" w14:textId="3E727B6C" w:rsidR="00EE231E" w:rsidRPr="004616B7" w:rsidRDefault="00242990">
            <w:pPr>
              <w:spacing w:after="0" w:line="240" w:lineRule="auto"/>
              <w:rPr>
                <w:rFonts w:eastAsia="Cambria Math" w:cs="Symbol"/>
                <w:b/>
                <w:lang w:val="en-US"/>
              </w:rPr>
            </w:pPr>
            <w:r w:rsidRPr="004616B7">
              <w:rPr>
                <w:rFonts w:eastAsia="Cambria Math" w:cs="Symbol"/>
                <w:b/>
                <w:lang w:val="en-US"/>
              </w:rPr>
              <w:t>Physical risks</w:t>
            </w:r>
          </w:p>
        </w:tc>
        <w:tc>
          <w:tcPr>
            <w:tcW w:w="7496" w:type="dxa"/>
            <w:shd w:val="clear" w:color="auto" w:fill="auto"/>
            <w:tcMar>
              <w:top w:w="100" w:type="dxa"/>
              <w:left w:w="100" w:type="dxa"/>
              <w:bottom w:w="100" w:type="dxa"/>
              <w:right w:w="100" w:type="dxa"/>
            </w:tcMar>
            <w:vAlign w:val="center"/>
          </w:tcPr>
          <w:p w14:paraId="4C143CFE" w14:textId="77777777" w:rsidR="00C64E50" w:rsidRPr="004616B7" w:rsidRDefault="00C64E50">
            <w:pPr>
              <w:shd w:val="clear" w:color="auto" w:fill="FFFFFF"/>
              <w:spacing w:after="0" w:line="240" w:lineRule="auto"/>
              <w:rPr>
                <w:rFonts w:cs="Symbol"/>
                <w:color w:val="000000"/>
                <w:lang w:val="en-US"/>
              </w:rPr>
            </w:pPr>
            <w:r w:rsidRPr="004616B7">
              <w:rPr>
                <w:rFonts w:cs="Symbol"/>
                <w:color w:val="000000"/>
                <w:lang w:val="en-US"/>
              </w:rPr>
              <w:t>Physical risk: Physical risks resulting from climate change can be related to events (</w:t>
            </w:r>
            <w:r w:rsidRPr="004616B7">
              <w:rPr>
                <w:rFonts w:cs="Symbol"/>
                <w:b/>
                <w:bCs/>
                <w:color w:val="000000"/>
                <w:lang w:val="en-US"/>
              </w:rPr>
              <w:t>acute</w:t>
            </w:r>
            <w:r w:rsidRPr="004616B7">
              <w:rPr>
                <w:rFonts w:cs="Symbol"/>
                <w:color w:val="000000"/>
                <w:lang w:val="en-US"/>
              </w:rPr>
              <w:t>) or longer-term (</w:t>
            </w:r>
            <w:r w:rsidRPr="004616B7">
              <w:rPr>
                <w:rFonts w:cs="Symbol"/>
                <w:b/>
                <w:bCs/>
                <w:color w:val="000000"/>
                <w:lang w:val="en-US"/>
              </w:rPr>
              <w:t>chronic</w:t>
            </w:r>
            <w:r w:rsidRPr="004616B7">
              <w:rPr>
                <w:rFonts w:cs="Symbol"/>
                <w:color w:val="000000"/>
                <w:lang w:val="en-US"/>
              </w:rPr>
              <w:t>) changes in climate patterns.</w:t>
            </w:r>
          </w:p>
          <w:p w14:paraId="318697FE" w14:textId="77777777" w:rsidR="003E2745" w:rsidRPr="004616B7" w:rsidRDefault="003E2745">
            <w:pPr>
              <w:shd w:val="clear" w:color="auto" w:fill="FFFFFF"/>
              <w:spacing w:after="0" w:line="240" w:lineRule="auto"/>
              <w:rPr>
                <w:rFonts w:cs="Symbol"/>
                <w:color w:val="000000"/>
                <w:lang w:val="en-US"/>
              </w:rPr>
            </w:pPr>
            <w:r w:rsidRPr="004616B7">
              <w:rPr>
                <w:rFonts w:cs="Symbol"/>
                <w:b/>
                <w:bCs/>
                <w:color w:val="000000"/>
                <w:lang w:val="en-US"/>
              </w:rPr>
              <w:t>Acute physical risks</w:t>
            </w:r>
            <w:r w:rsidRPr="004616B7">
              <w:rPr>
                <w:rFonts w:cs="Symbol"/>
                <w:color w:val="000000"/>
                <w:lang w:val="en-US"/>
              </w:rPr>
              <w:t xml:space="preserve"> are those related to events, including increased severity of extreme weather events such as cyclones, hurricanes, or extreme flooding.</w:t>
            </w:r>
          </w:p>
          <w:p w14:paraId="466194B5" w14:textId="00DE95EE" w:rsidR="00EE231E" w:rsidRPr="004616B7" w:rsidRDefault="003E2745">
            <w:pPr>
              <w:shd w:val="clear" w:color="auto" w:fill="FFFFFF"/>
              <w:spacing w:after="0" w:line="240" w:lineRule="auto"/>
              <w:rPr>
                <w:rFonts w:cs="Symbol"/>
                <w:color w:val="000000"/>
                <w:lang w:val="en-US"/>
              </w:rPr>
            </w:pPr>
            <w:r w:rsidRPr="004616B7">
              <w:rPr>
                <w:rFonts w:cs="Symbol"/>
                <w:b/>
                <w:bCs/>
                <w:color w:val="000000"/>
                <w:lang w:val="en-US"/>
              </w:rPr>
              <w:t>Chronic physical risks</w:t>
            </w:r>
            <w:r w:rsidRPr="004616B7">
              <w:rPr>
                <w:rFonts w:cs="Symbol"/>
                <w:color w:val="000000"/>
                <w:lang w:val="en-US"/>
              </w:rPr>
              <w:t xml:space="preserve"> refer to longer-term changes in climate patterns (e.g., sustainably higher temperatures, sea-level rise, or chronic heatwaves).</w:t>
            </w:r>
          </w:p>
        </w:tc>
      </w:tr>
      <w:tr w:rsidR="00EE231E" w:rsidRPr="00FA7359" w14:paraId="4C934049" w14:textId="77777777">
        <w:trPr>
          <w:trHeight w:val="139"/>
        </w:trPr>
        <w:tc>
          <w:tcPr>
            <w:tcW w:w="1667" w:type="dxa"/>
            <w:shd w:val="clear" w:color="auto" w:fill="auto"/>
            <w:tcMar>
              <w:top w:w="100" w:type="dxa"/>
              <w:left w:w="100" w:type="dxa"/>
              <w:bottom w:w="100" w:type="dxa"/>
              <w:right w:w="100" w:type="dxa"/>
            </w:tcMar>
            <w:vAlign w:val="center"/>
          </w:tcPr>
          <w:p w14:paraId="21EA7199" w14:textId="618AC73F" w:rsidR="00EE231E" w:rsidRPr="004616B7" w:rsidRDefault="00242990">
            <w:pPr>
              <w:spacing w:after="0" w:line="240" w:lineRule="auto"/>
              <w:rPr>
                <w:rFonts w:eastAsia="Cambria Math" w:cs="Symbol"/>
                <w:b/>
                <w:color w:val="FF0000"/>
                <w:lang w:val="en-US"/>
              </w:rPr>
            </w:pPr>
            <w:r w:rsidRPr="004616B7">
              <w:rPr>
                <w:rFonts w:eastAsia="Cambria Math" w:cs="Symbol"/>
                <w:b/>
                <w:lang w:val="en-US"/>
              </w:rPr>
              <w:t>Transition risks</w:t>
            </w:r>
          </w:p>
        </w:tc>
        <w:tc>
          <w:tcPr>
            <w:tcW w:w="7496" w:type="dxa"/>
            <w:shd w:val="clear" w:color="auto" w:fill="auto"/>
            <w:tcMar>
              <w:top w:w="100" w:type="dxa"/>
              <w:left w:w="100" w:type="dxa"/>
              <w:bottom w:w="100" w:type="dxa"/>
              <w:right w:w="100" w:type="dxa"/>
            </w:tcMar>
            <w:vAlign w:val="center"/>
          </w:tcPr>
          <w:p w14:paraId="4901291E" w14:textId="5CA19BF9" w:rsidR="00EE231E" w:rsidRPr="004616B7" w:rsidRDefault="00220F56">
            <w:pPr>
              <w:shd w:val="clear" w:color="auto" w:fill="FFFFFF"/>
              <w:spacing w:after="0" w:line="240" w:lineRule="auto"/>
              <w:rPr>
                <w:rFonts w:eastAsia="Yu Mincho Light" w:cs="Symbol"/>
                <w:color w:val="000000"/>
                <w:lang w:val="en-US" w:eastAsia="fr-FR"/>
              </w:rPr>
            </w:pPr>
            <w:r w:rsidRPr="004616B7">
              <w:rPr>
                <w:rFonts w:eastAsia="Yu Mincho Light" w:cs="Symbol"/>
                <w:color w:val="000000"/>
                <w:lang w:val="en-US" w:eastAsia="fr-FR"/>
              </w:rPr>
              <w:t xml:space="preserve">Transition risk: The transition to a low-carbon economy may involve significant changes in policies, laws, technologies, and markets </w:t>
            </w:r>
            <w:r w:rsidRPr="004616B7">
              <w:rPr>
                <w:rFonts w:eastAsia="Yu Mincho Light" w:cs="Symbol"/>
                <w:b/>
                <w:bCs/>
                <w:color w:val="000000"/>
                <w:lang w:val="en-US" w:eastAsia="fr-FR"/>
              </w:rPr>
              <w:t>to meet mitigation and adaptation requirements related to climate change</w:t>
            </w:r>
            <w:r w:rsidRPr="004616B7">
              <w:rPr>
                <w:rFonts w:eastAsia="Yu Mincho Light" w:cs="Symbol"/>
                <w:color w:val="000000"/>
                <w:lang w:val="en-US" w:eastAsia="fr-FR"/>
              </w:rPr>
              <w:t>.</w:t>
            </w:r>
            <w:r w:rsidRPr="004616B7">
              <w:rPr>
                <w:rFonts w:eastAsia="Yu Mincho Light" w:cs="Symbol"/>
                <w:color w:val="000000"/>
                <w:lang w:val="en-US" w:eastAsia="fr-FR"/>
              </w:rPr>
              <w:br/>
              <w:t>Depending on the nature, speed, and direction of these changes, transition risks can pose varying levels of financial and reputational risks for organizations.</w:t>
            </w:r>
          </w:p>
        </w:tc>
      </w:tr>
      <w:tr w:rsidR="00EE231E" w:rsidRPr="00FA7359" w14:paraId="0C32BF30" w14:textId="77777777">
        <w:trPr>
          <w:trHeight w:val="139"/>
        </w:trPr>
        <w:tc>
          <w:tcPr>
            <w:tcW w:w="1667" w:type="dxa"/>
            <w:shd w:val="clear" w:color="auto" w:fill="auto"/>
            <w:tcMar>
              <w:top w:w="100" w:type="dxa"/>
              <w:left w:w="100" w:type="dxa"/>
              <w:bottom w:w="100" w:type="dxa"/>
              <w:right w:w="100" w:type="dxa"/>
            </w:tcMar>
            <w:vAlign w:val="center"/>
          </w:tcPr>
          <w:p w14:paraId="481608EF" w14:textId="7F1C45F7" w:rsidR="00EE231E" w:rsidRPr="004616B7" w:rsidRDefault="00242990">
            <w:pPr>
              <w:spacing w:after="0" w:line="240" w:lineRule="auto"/>
              <w:rPr>
                <w:rFonts w:eastAsia="Cambria Math" w:cs="Symbol"/>
                <w:b/>
                <w:lang w:val="en-US"/>
              </w:rPr>
            </w:pPr>
            <w:r w:rsidRPr="004616B7">
              <w:rPr>
                <w:rFonts w:eastAsia="Cambria Math" w:cs="Symbol"/>
                <w:b/>
                <w:lang w:val="en-US"/>
              </w:rPr>
              <w:t>Climate opportunities</w:t>
            </w:r>
          </w:p>
        </w:tc>
        <w:tc>
          <w:tcPr>
            <w:tcW w:w="7496" w:type="dxa"/>
            <w:shd w:val="clear" w:color="auto" w:fill="auto"/>
            <w:tcMar>
              <w:top w:w="100" w:type="dxa"/>
              <w:left w:w="100" w:type="dxa"/>
              <w:bottom w:w="100" w:type="dxa"/>
              <w:right w:w="100" w:type="dxa"/>
            </w:tcMar>
            <w:vAlign w:val="center"/>
          </w:tcPr>
          <w:p w14:paraId="10619F8E" w14:textId="34C09CFD" w:rsidR="00EE231E" w:rsidRPr="004616B7" w:rsidRDefault="004616B7">
            <w:pPr>
              <w:shd w:val="clear" w:color="auto" w:fill="FFFFFF"/>
              <w:spacing w:after="0" w:line="240" w:lineRule="auto"/>
              <w:rPr>
                <w:rFonts w:cs="Symbol"/>
                <w:color w:val="000000"/>
                <w:lang w:val="en-US"/>
              </w:rPr>
            </w:pPr>
            <w:r w:rsidRPr="004616B7">
              <w:rPr>
                <w:rFonts w:cs="Symbol"/>
                <w:color w:val="000000"/>
                <w:lang w:val="en-US"/>
              </w:rPr>
              <w:t>Climate opportunity: Efforts to mitigate and adapt to climate change also offer opportunities for organizations, for example, through improved resource efficiency and cost savings, adoption of low-emission energy sources, development of new products and services, access to new markets, and enhanced resilience along the supply chain.</w:t>
            </w:r>
          </w:p>
        </w:tc>
      </w:tr>
    </w:tbl>
    <w:p w14:paraId="10218923" w14:textId="77777777" w:rsidR="001252C3" w:rsidRPr="004616B7" w:rsidRDefault="001252C3" w:rsidP="00214B9A">
      <w:pPr>
        <w:rPr>
          <w:lang w:val="en-US"/>
        </w:rPr>
      </w:pPr>
    </w:p>
    <w:p w14:paraId="6C6FFACC" w14:textId="77777777" w:rsidR="00883896" w:rsidRDefault="00883896">
      <w:pPr>
        <w:jc w:val="left"/>
        <w:rPr>
          <w:rFonts w:eastAsiaTheme="majorEastAsia" w:cstheme="majorBidi"/>
          <w:b/>
          <w:color w:val="000000" w:themeColor="text1"/>
          <w:sz w:val="32"/>
          <w:szCs w:val="26"/>
          <w:lang w:val="en-US"/>
        </w:rPr>
      </w:pPr>
      <w:bookmarkStart w:id="45" w:name="_Toc169706451"/>
      <w:r>
        <w:rPr>
          <w:lang w:val="en-US"/>
        </w:rPr>
        <w:br w:type="page"/>
      </w:r>
    </w:p>
    <w:p w14:paraId="5938F811" w14:textId="72B0B256" w:rsidR="001252C3" w:rsidRPr="00806AC9" w:rsidRDefault="001252C3" w:rsidP="00B40F77">
      <w:pPr>
        <w:pStyle w:val="Titre2"/>
        <w:rPr>
          <w:lang w:val="en-US"/>
        </w:rPr>
      </w:pPr>
      <w:bookmarkStart w:id="46" w:name="_Toc183015113"/>
      <w:r w:rsidRPr="00746E15">
        <w:rPr>
          <w:lang w:val="en-US"/>
        </w:rPr>
        <w:lastRenderedPageBreak/>
        <w:t xml:space="preserve">Appendix 2 – </w:t>
      </w:r>
      <w:r w:rsidR="003C190B" w:rsidRPr="00746E15">
        <w:rPr>
          <w:lang w:val="en-US"/>
        </w:rPr>
        <w:t xml:space="preserve">Exposure analysis for the </w:t>
      </w:r>
      <w:r w:rsidR="00BC021F">
        <w:rPr>
          <w:lang w:val="en-US"/>
        </w:rPr>
        <w:t>5</w:t>
      </w:r>
      <w:r w:rsidR="003C190B" w:rsidRPr="00746E15">
        <w:rPr>
          <w:lang w:val="en-US"/>
        </w:rPr>
        <w:t xml:space="preserve"> selected assets</w:t>
      </w:r>
      <w:bookmarkEnd w:id="45"/>
      <w:bookmarkEnd w:id="46"/>
    </w:p>
    <w:p w14:paraId="0359F562" w14:textId="77777777" w:rsidR="006F3D35" w:rsidRPr="00DE0ED0" w:rsidRDefault="006F3D35" w:rsidP="006F3D35">
      <w:pPr>
        <w:rPr>
          <w:b/>
          <w:bCs/>
          <w:lang w:val="en-US"/>
        </w:rPr>
      </w:pPr>
      <w:r w:rsidRPr="00DE0ED0">
        <w:rPr>
          <w:b/>
          <w:bCs/>
          <w:lang w:val="en-US"/>
        </w:rPr>
        <w:t>Appendix 2.1 – exposure level per taxonomy-related hazard, SSP2-4.5</w:t>
      </w:r>
    </w:p>
    <w:tbl>
      <w:tblPr>
        <w:tblW w:w="16338" w:type="dxa"/>
        <w:tblCellMar>
          <w:left w:w="70" w:type="dxa"/>
          <w:right w:w="70" w:type="dxa"/>
        </w:tblCellMar>
        <w:tblLook w:val="04A0" w:firstRow="1" w:lastRow="0" w:firstColumn="1" w:lastColumn="0" w:noHBand="0" w:noVBand="1"/>
      </w:tblPr>
      <w:tblGrid>
        <w:gridCol w:w="2778"/>
        <w:gridCol w:w="1361"/>
        <w:gridCol w:w="1361"/>
        <w:gridCol w:w="1361"/>
        <w:gridCol w:w="1361"/>
        <w:gridCol w:w="1361"/>
        <w:gridCol w:w="2566"/>
        <w:gridCol w:w="1253"/>
        <w:gridCol w:w="1522"/>
        <w:gridCol w:w="1414"/>
      </w:tblGrid>
      <w:tr w:rsidR="006F3D35" w:rsidRPr="00FA7359" w14:paraId="7BDA09E0" w14:textId="77777777">
        <w:trPr>
          <w:gridAfter w:val="4"/>
          <w:wAfter w:w="6755" w:type="dxa"/>
          <w:trHeight w:val="320"/>
        </w:trPr>
        <w:tc>
          <w:tcPr>
            <w:tcW w:w="2778" w:type="dxa"/>
            <w:tcBorders>
              <w:top w:val="single" w:sz="4" w:space="0" w:color="auto"/>
              <w:left w:val="single" w:sz="4" w:space="0" w:color="auto"/>
              <w:bottom w:val="single" w:sz="4" w:space="0" w:color="auto"/>
              <w:right w:val="single" w:sz="4" w:space="0" w:color="auto"/>
            </w:tcBorders>
            <w:shd w:val="clear" w:color="000000" w:fill="AEAAAA"/>
            <w:noWrap/>
            <w:vAlign w:val="center"/>
            <w:hideMark/>
          </w:tcPr>
          <w:p w14:paraId="2D274FFF" w14:textId="77777777" w:rsidR="006F3D35" w:rsidRPr="00A6423B" w:rsidRDefault="006F3D35" w:rsidP="00052061">
            <w:pPr>
              <w:spacing w:after="0" w:line="240" w:lineRule="auto"/>
              <w:jc w:val="center"/>
              <w:rPr>
                <w:rFonts w:eastAsia="Times New Roman" w:cs="Calibri"/>
                <w:b/>
                <w:bCs/>
                <w:color w:val="000000"/>
                <w:sz w:val="18"/>
                <w:szCs w:val="18"/>
                <w:lang w:val="en-US" w:eastAsia="fr-FR"/>
              </w:rPr>
            </w:pPr>
            <w:r w:rsidRPr="00A6423B">
              <w:rPr>
                <w:rFonts w:eastAsia="Times New Roman" w:cs="Calibri"/>
                <w:b/>
                <w:bCs/>
                <w:color w:val="000000"/>
                <w:sz w:val="18"/>
                <w:szCs w:val="18"/>
                <w:lang w:val="en-US" w:eastAsia="fr-FR"/>
              </w:rPr>
              <w:t>SSP2-4.5 - 2030</w:t>
            </w:r>
          </w:p>
        </w:tc>
        <w:tc>
          <w:tcPr>
            <w:tcW w:w="6805" w:type="dxa"/>
            <w:gridSpan w:val="5"/>
            <w:tcBorders>
              <w:top w:val="single" w:sz="4" w:space="0" w:color="auto"/>
              <w:left w:val="nil"/>
              <w:bottom w:val="single" w:sz="4" w:space="0" w:color="auto"/>
              <w:right w:val="single" w:sz="4" w:space="0" w:color="000000"/>
            </w:tcBorders>
            <w:shd w:val="clear" w:color="000000" w:fill="B4C6E7"/>
            <w:noWrap/>
            <w:vAlign w:val="center"/>
            <w:hideMark/>
          </w:tcPr>
          <w:p w14:paraId="5834C798" w14:textId="77777777" w:rsidR="006F3D35" w:rsidRPr="00A6423B" w:rsidRDefault="006F3D35">
            <w:pPr>
              <w:spacing w:after="0" w:line="240" w:lineRule="auto"/>
              <w:jc w:val="left"/>
              <w:rPr>
                <w:rFonts w:eastAsia="Times New Roman" w:cs="Calibri"/>
                <w:b/>
                <w:bCs/>
                <w:color w:val="000000"/>
                <w:sz w:val="18"/>
                <w:szCs w:val="18"/>
                <w:lang w:val="en-US" w:eastAsia="fr-FR"/>
              </w:rPr>
            </w:pPr>
            <w:r w:rsidRPr="00A6423B">
              <w:rPr>
                <w:rFonts w:eastAsia="Times New Roman" w:cs="Calibri"/>
                <w:b/>
                <w:bCs/>
                <w:color w:val="000000"/>
                <w:sz w:val="18"/>
                <w:szCs w:val="18"/>
                <w:lang w:val="en-US" w:eastAsia="fr-FR"/>
              </w:rPr>
              <w:t>Exposure level per taxonomy related hazard</w:t>
            </w:r>
          </w:p>
        </w:tc>
      </w:tr>
      <w:tr w:rsidR="006F3D35" w:rsidRPr="00367C0B" w14:paraId="6A28DA66" w14:textId="77777777">
        <w:trPr>
          <w:gridAfter w:val="4"/>
          <w:wAfter w:w="6755" w:type="dxa"/>
          <w:trHeight w:val="320"/>
        </w:trPr>
        <w:tc>
          <w:tcPr>
            <w:tcW w:w="2778" w:type="dxa"/>
            <w:tcBorders>
              <w:top w:val="nil"/>
              <w:left w:val="single" w:sz="4" w:space="0" w:color="auto"/>
              <w:bottom w:val="single" w:sz="4" w:space="0" w:color="auto"/>
              <w:right w:val="single" w:sz="4" w:space="0" w:color="auto"/>
            </w:tcBorders>
            <w:shd w:val="clear" w:color="000000" w:fill="E7E6E6"/>
            <w:noWrap/>
            <w:vAlign w:val="center"/>
            <w:hideMark/>
          </w:tcPr>
          <w:p w14:paraId="76B9D9A5" w14:textId="77777777" w:rsidR="006F3D35" w:rsidRPr="00A6423B" w:rsidRDefault="006F3D35">
            <w:pPr>
              <w:spacing w:after="0" w:line="240" w:lineRule="auto"/>
              <w:jc w:val="left"/>
              <w:rPr>
                <w:rFonts w:eastAsia="Times New Roman" w:cs="Calibri"/>
                <w:b/>
                <w:bCs/>
                <w:color w:val="000000"/>
                <w:sz w:val="18"/>
                <w:szCs w:val="18"/>
                <w:lang w:val="en-US" w:eastAsia="fr-FR"/>
              </w:rPr>
            </w:pPr>
            <w:r w:rsidRPr="00A6423B">
              <w:rPr>
                <w:rFonts w:eastAsia="Times New Roman" w:cs="Calibri"/>
                <w:b/>
                <w:bCs/>
                <w:color w:val="000000"/>
                <w:sz w:val="18"/>
                <w:szCs w:val="18"/>
                <w:lang w:val="en-US" w:eastAsia="fr-FR"/>
              </w:rPr>
              <w:t>Site Name</w:t>
            </w:r>
          </w:p>
        </w:tc>
        <w:tc>
          <w:tcPr>
            <w:tcW w:w="1361" w:type="dxa"/>
            <w:tcBorders>
              <w:top w:val="nil"/>
              <w:left w:val="nil"/>
              <w:bottom w:val="single" w:sz="4" w:space="0" w:color="auto"/>
              <w:right w:val="single" w:sz="4" w:space="0" w:color="auto"/>
            </w:tcBorders>
            <w:shd w:val="clear" w:color="000000" w:fill="D9E1F2"/>
            <w:noWrap/>
            <w:vAlign w:val="center"/>
            <w:hideMark/>
          </w:tcPr>
          <w:p w14:paraId="52DF9822" w14:textId="77777777" w:rsidR="006F3D35" w:rsidRPr="00A6423B" w:rsidRDefault="006F3D35">
            <w:pPr>
              <w:spacing w:after="0" w:line="240" w:lineRule="auto"/>
              <w:jc w:val="left"/>
              <w:rPr>
                <w:rFonts w:eastAsia="Times New Roman" w:cs="Calibri"/>
                <w:b/>
                <w:bCs/>
                <w:color w:val="000000"/>
                <w:sz w:val="18"/>
                <w:szCs w:val="18"/>
                <w:lang w:val="en-US" w:eastAsia="fr-FR"/>
              </w:rPr>
            </w:pPr>
            <w:r w:rsidRPr="00A6423B">
              <w:rPr>
                <w:rFonts w:eastAsia="Times New Roman" w:cs="Calibri"/>
                <w:b/>
                <w:bCs/>
                <w:color w:val="000000"/>
                <w:sz w:val="18"/>
                <w:szCs w:val="18"/>
                <w:lang w:val="en-US" w:eastAsia="fr-FR"/>
              </w:rPr>
              <w:t>Flood</w:t>
            </w:r>
          </w:p>
        </w:tc>
        <w:tc>
          <w:tcPr>
            <w:tcW w:w="1361" w:type="dxa"/>
            <w:tcBorders>
              <w:top w:val="nil"/>
              <w:left w:val="nil"/>
              <w:bottom w:val="single" w:sz="4" w:space="0" w:color="auto"/>
              <w:right w:val="single" w:sz="4" w:space="0" w:color="auto"/>
            </w:tcBorders>
            <w:shd w:val="clear" w:color="000000" w:fill="D9E1F2"/>
            <w:noWrap/>
            <w:vAlign w:val="center"/>
            <w:hideMark/>
          </w:tcPr>
          <w:p w14:paraId="66DC40AB" w14:textId="23766EDA" w:rsidR="006F3D35" w:rsidRPr="00A6423B" w:rsidRDefault="00BC2577">
            <w:pPr>
              <w:spacing w:after="0" w:line="240" w:lineRule="auto"/>
              <w:jc w:val="left"/>
              <w:rPr>
                <w:rFonts w:eastAsia="Times New Roman" w:cs="Calibri"/>
                <w:b/>
                <w:bCs/>
                <w:color w:val="000000"/>
                <w:sz w:val="18"/>
                <w:szCs w:val="18"/>
                <w:lang w:val="en-US" w:eastAsia="fr-FR"/>
              </w:rPr>
            </w:pPr>
            <w:r>
              <w:rPr>
                <w:rFonts w:eastAsia="Times New Roman" w:cs="Calibri"/>
                <w:b/>
                <w:bCs/>
                <w:color w:val="000000"/>
                <w:sz w:val="18"/>
                <w:szCs w:val="18"/>
                <w:lang w:val="en-US" w:eastAsia="fr-FR"/>
              </w:rPr>
              <w:t>Temperature</w:t>
            </w:r>
          </w:p>
        </w:tc>
        <w:tc>
          <w:tcPr>
            <w:tcW w:w="1361" w:type="dxa"/>
            <w:tcBorders>
              <w:top w:val="nil"/>
              <w:left w:val="nil"/>
              <w:bottom w:val="single" w:sz="4" w:space="0" w:color="auto"/>
              <w:right w:val="single" w:sz="4" w:space="0" w:color="auto"/>
            </w:tcBorders>
            <w:shd w:val="clear" w:color="000000" w:fill="D9E1F2"/>
            <w:noWrap/>
            <w:vAlign w:val="center"/>
            <w:hideMark/>
          </w:tcPr>
          <w:p w14:paraId="2AA9C4AD" w14:textId="6C162E11" w:rsidR="006F3D35" w:rsidRPr="00A6423B" w:rsidRDefault="00BC2577">
            <w:pPr>
              <w:spacing w:after="0" w:line="240" w:lineRule="auto"/>
              <w:jc w:val="left"/>
              <w:rPr>
                <w:rFonts w:eastAsia="Times New Roman" w:cs="Calibri"/>
                <w:b/>
                <w:bCs/>
                <w:color w:val="000000"/>
                <w:sz w:val="18"/>
                <w:szCs w:val="18"/>
                <w:lang w:val="en-US" w:eastAsia="fr-FR"/>
              </w:rPr>
            </w:pPr>
            <w:r>
              <w:rPr>
                <w:rFonts w:eastAsia="Times New Roman" w:cs="Calibri"/>
                <w:b/>
                <w:bCs/>
                <w:color w:val="000000"/>
                <w:sz w:val="18"/>
                <w:szCs w:val="18"/>
                <w:lang w:val="en-US" w:eastAsia="fr-FR"/>
              </w:rPr>
              <w:t>Heat</w:t>
            </w:r>
          </w:p>
        </w:tc>
        <w:tc>
          <w:tcPr>
            <w:tcW w:w="1361" w:type="dxa"/>
            <w:tcBorders>
              <w:top w:val="nil"/>
              <w:left w:val="nil"/>
              <w:bottom w:val="single" w:sz="4" w:space="0" w:color="auto"/>
              <w:right w:val="single" w:sz="4" w:space="0" w:color="auto"/>
            </w:tcBorders>
            <w:shd w:val="clear" w:color="000000" w:fill="D9E1F2"/>
            <w:noWrap/>
            <w:vAlign w:val="center"/>
            <w:hideMark/>
          </w:tcPr>
          <w:p w14:paraId="4DEAF18B" w14:textId="73F8161F" w:rsidR="006F3D35" w:rsidRPr="00A6423B" w:rsidRDefault="00BC2577">
            <w:pPr>
              <w:spacing w:after="0" w:line="240" w:lineRule="auto"/>
              <w:jc w:val="left"/>
              <w:rPr>
                <w:rFonts w:eastAsia="Times New Roman" w:cs="Calibri"/>
                <w:b/>
                <w:bCs/>
                <w:color w:val="000000"/>
                <w:sz w:val="18"/>
                <w:szCs w:val="18"/>
                <w:lang w:val="en-US" w:eastAsia="fr-FR"/>
              </w:rPr>
            </w:pPr>
            <w:r>
              <w:rPr>
                <w:rFonts w:eastAsia="Times New Roman" w:cs="Calibri"/>
                <w:b/>
                <w:bCs/>
                <w:color w:val="000000"/>
                <w:sz w:val="18"/>
                <w:szCs w:val="18"/>
                <w:lang w:val="en-US" w:eastAsia="fr-FR"/>
              </w:rPr>
              <w:t>Storm</w:t>
            </w:r>
          </w:p>
        </w:tc>
        <w:tc>
          <w:tcPr>
            <w:tcW w:w="1361" w:type="dxa"/>
            <w:tcBorders>
              <w:top w:val="nil"/>
              <w:left w:val="nil"/>
              <w:bottom w:val="single" w:sz="4" w:space="0" w:color="auto"/>
              <w:right w:val="single" w:sz="4" w:space="0" w:color="auto"/>
            </w:tcBorders>
            <w:shd w:val="clear" w:color="000000" w:fill="D9E1F2"/>
            <w:noWrap/>
            <w:vAlign w:val="center"/>
            <w:hideMark/>
          </w:tcPr>
          <w:p w14:paraId="49415363" w14:textId="26C60C4C" w:rsidR="006F3D35" w:rsidRPr="00A6423B" w:rsidRDefault="00BC2577">
            <w:pPr>
              <w:spacing w:after="0" w:line="240" w:lineRule="auto"/>
              <w:jc w:val="left"/>
              <w:rPr>
                <w:rFonts w:eastAsia="Times New Roman" w:cs="Calibri"/>
                <w:b/>
                <w:bCs/>
                <w:color w:val="000000"/>
                <w:sz w:val="18"/>
                <w:szCs w:val="18"/>
                <w:lang w:val="en-US" w:eastAsia="fr-FR"/>
              </w:rPr>
            </w:pPr>
            <w:r>
              <w:rPr>
                <w:rFonts w:eastAsia="Times New Roman" w:cs="Calibri"/>
                <w:b/>
                <w:bCs/>
                <w:color w:val="000000"/>
                <w:sz w:val="18"/>
                <w:szCs w:val="18"/>
                <w:lang w:val="en-US" w:eastAsia="fr-FR"/>
              </w:rPr>
              <w:t>Extreme wind</w:t>
            </w:r>
          </w:p>
        </w:tc>
      </w:tr>
      <w:tr w:rsidR="00BE61BB" w:rsidRPr="00367C0B" w14:paraId="2183CA9E" w14:textId="77777777" w:rsidTr="00EE557A">
        <w:trPr>
          <w:gridAfter w:val="4"/>
          <w:wAfter w:w="6755" w:type="dxa"/>
          <w:trHeight w:val="320"/>
        </w:trPr>
        <w:tc>
          <w:tcPr>
            <w:tcW w:w="2778" w:type="dxa"/>
            <w:tcBorders>
              <w:top w:val="nil"/>
              <w:left w:val="single" w:sz="4" w:space="0" w:color="auto"/>
              <w:bottom w:val="single" w:sz="4" w:space="0" w:color="auto"/>
              <w:right w:val="single" w:sz="4" w:space="0" w:color="auto"/>
            </w:tcBorders>
            <w:shd w:val="clear" w:color="auto" w:fill="auto"/>
            <w:noWrap/>
            <w:hideMark/>
          </w:tcPr>
          <w:p w14:paraId="3C4F684D" w14:textId="4116A770" w:rsidR="00BE61BB" w:rsidRPr="00A6423B" w:rsidRDefault="00BE61BB" w:rsidP="00BE61BB">
            <w:pPr>
              <w:spacing w:after="0" w:line="240" w:lineRule="auto"/>
              <w:jc w:val="left"/>
              <w:rPr>
                <w:rFonts w:eastAsia="Times New Roman" w:cs="Calibri"/>
                <w:color w:val="000000"/>
                <w:sz w:val="18"/>
                <w:szCs w:val="18"/>
                <w:lang w:val="en-US" w:eastAsia="fr-FR"/>
              </w:rPr>
            </w:pPr>
            <w:r w:rsidRPr="00367C0B">
              <w:rPr>
                <w:lang w:val="en-US"/>
              </w:rPr>
              <w:t>Sangachal Terminal</w:t>
            </w:r>
          </w:p>
        </w:tc>
        <w:tc>
          <w:tcPr>
            <w:tcW w:w="1361" w:type="dxa"/>
            <w:tcBorders>
              <w:top w:val="single" w:sz="4" w:space="0" w:color="auto"/>
              <w:left w:val="single" w:sz="4" w:space="0" w:color="auto"/>
              <w:bottom w:val="single" w:sz="4" w:space="0" w:color="auto"/>
              <w:right w:val="single" w:sz="4" w:space="0" w:color="auto"/>
            </w:tcBorders>
            <w:shd w:val="clear" w:color="auto" w:fill="D8DF81"/>
            <w:noWrap/>
            <w:hideMark/>
          </w:tcPr>
          <w:p w14:paraId="4D61255E" w14:textId="1116333A" w:rsidR="00BE61BB" w:rsidRPr="00A6423B" w:rsidRDefault="00BE61BB" w:rsidP="00BE61BB">
            <w:pPr>
              <w:spacing w:after="0" w:line="240" w:lineRule="auto"/>
              <w:jc w:val="right"/>
              <w:rPr>
                <w:rFonts w:eastAsia="Times New Roman" w:cs="Calibri"/>
                <w:color w:val="000000"/>
                <w:sz w:val="18"/>
                <w:szCs w:val="18"/>
                <w:lang w:val="en-US" w:eastAsia="fr-FR"/>
              </w:rPr>
            </w:pPr>
            <w:r w:rsidRPr="00367C0B">
              <w:rPr>
                <w:lang w:val="en-US"/>
              </w:rPr>
              <w:t>1</w:t>
            </w:r>
          </w:p>
        </w:tc>
        <w:tc>
          <w:tcPr>
            <w:tcW w:w="1361" w:type="dxa"/>
            <w:tcBorders>
              <w:top w:val="single" w:sz="4" w:space="0" w:color="auto"/>
              <w:left w:val="single" w:sz="4" w:space="0" w:color="auto"/>
              <w:bottom w:val="single" w:sz="4" w:space="0" w:color="auto"/>
              <w:right w:val="single" w:sz="4" w:space="0" w:color="auto"/>
            </w:tcBorders>
            <w:shd w:val="clear" w:color="auto" w:fill="FDC07C"/>
            <w:noWrap/>
            <w:hideMark/>
          </w:tcPr>
          <w:p w14:paraId="22E3675C" w14:textId="78D736E9" w:rsidR="00BE61BB" w:rsidRPr="00A6423B" w:rsidRDefault="00BE61BB" w:rsidP="00BE61BB">
            <w:pPr>
              <w:spacing w:after="0" w:line="240" w:lineRule="auto"/>
              <w:jc w:val="right"/>
              <w:rPr>
                <w:rFonts w:eastAsia="Times New Roman" w:cs="Calibri"/>
                <w:color w:val="000000"/>
                <w:sz w:val="18"/>
                <w:szCs w:val="18"/>
                <w:lang w:val="en-US" w:eastAsia="fr-FR"/>
              </w:rPr>
            </w:pPr>
            <w:r w:rsidRPr="00367C0B">
              <w:rPr>
                <w:lang w:val="en-US"/>
              </w:rPr>
              <w:t>3</w:t>
            </w:r>
          </w:p>
        </w:tc>
        <w:tc>
          <w:tcPr>
            <w:tcW w:w="1361" w:type="dxa"/>
            <w:tcBorders>
              <w:top w:val="single" w:sz="4" w:space="0" w:color="auto"/>
              <w:left w:val="single" w:sz="4" w:space="0" w:color="auto"/>
              <w:bottom w:val="single" w:sz="4" w:space="0" w:color="auto"/>
              <w:right w:val="single" w:sz="4" w:space="0" w:color="auto"/>
            </w:tcBorders>
            <w:shd w:val="clear" w:color="auto" w:fill="FDC07C"/>
            <w:noWrap/>
            <w:hideMark/>
          </w:tcPr>
          <w:p w14:paraId="0900F098" w14:textId="22F2A391" w:rsidR="00BE61BB" w:rsidRPr="00A6423B" w:rsidRDefault="00BE61BB" w:rsidP="00BE61BB">
            <w:pPr>
              <w:spacing w:after="0" w:line="240" w:lineRule="auto"/>
              <w:jc w:val="right"/>
              <w:rPr>
                <w:rFonts w:eastAsia="Times New Roman" w:cs="Calibri"/>
                <w:color w:val="000000"/>
                <w:sz w:val="18"/>
                <w:szCs w:val="18"/>
                <w:lang w:val="en-US" w:eastAsia="fr-FR"/>
              </w:rPr>
            </w:pPr>
            <w:r w:rsidRPr="00367C0B">
              <w:rPr>
                <w:lang w:val="en-US"/>
              </w:rPr>
              <w:t>3</w:t>
            </w:r>
          </w:p>
        </w:tc>
        <w:tc>
          <w:tcPr>
            <w:tcW w:w="1361" w:type="dxa"/>
            <w:tcBorders>
              <w:top w:val="single" w:sz="4" w:space="0" w:color="auto"/>
              <w:left w:val="single" w:sz="4" w:space="0" w:color="auto"/>
              <w:bottom w:val="single" w:sz="4" w:space="0" w:color="auto"/>
              <w:right w:val="single" w:sz="4" w:space="0" w:color="auto"/>
            </w:tcBorders>
            <w:shd w:val="clear" w:color="auto" w:fill="FDC07C"/>
            <w:noWrap/>
            <w:hideMark/>
          </w:tcPr>
          <w:p w14:paraId="041AA53B" w14:textId="47E61F9C" w:rsidR="00BE61BB" w:rsidRPr="00A6423B" w:rsidRDefault="00BE61BB" w:rsidP="00BE61BB">
            <w:pPr>
              <w:spacing w:after="0" w:line="240" w:lineRule="auto"/>
              <w:jc w:val="right"/>
              <w:rPr>
                <w:rFonts w:eastAsia="Times New Roman" w:cs="Calibri"/>
                <w:color w:val="000000"/>
                <w:sz w:val="18"/>
                <w:szCs w:val="18"/>
                <w:lang w:val="en-US" w:eastAsia="fr-FR"/>
              </w:rPr>
            </w:pPr>
            <w:r w:rsidRPr="00367C0B">
              <w:rPr>
                <w:lang w:val="en-US"/>
              </w:rPr>
              <w:t>3</w:t>
            </w:r>
          </w:p>
        </w:tc>
        <w:tc>
          <w:tcPr>
            <w:tcW w:w="1361" w:type="dxa"/>
            <w:tcBorders>
              <w:top w:val="single" w:sz="4" w:space="0" w:color="auto"/>
              <w:left w:val="single" w:sz="4" w:space="0" w:color="auto"/>
              <w:bottom w:val="single" w:sz="4" w:space="0" w:color="auto"/>
              <w:right w:val="single" w:sz="4" w:space="0" w:color="auto"/>
            </w:tcBorders>
            <w:shd w:val="clear" w:color="auto" w:fill="FDC07C"/>
            <w:noWrap/>
            <w:hideMark/>
          </w:tcPr>
          <w:p w14:paraId="0D4169C8" w14:textId="50406A3A" w:rsidR="00BE61BB" w:rsidRPr="00A6423B" w:rsidRDefault="00BE61BB" w:rsidP="00BE61BB">
            <w:pPr>
              <w:spacing w:after="0" w:line="240" w:lineRule="auto"/>
              <w:jc w:val="right"/>
              <w:rPr>
                <w:rFonts w:eastAsia="Times New Roman" w:cs="Calibri"/>
                <w:color w:val="000000"/>
                <w:sz w:val="18"/>
                <w:szCs w:val="18"/>
                <w:lang w:val="en-US" w:eastAsia="fr-FR"/>
              </w:rPr>
            </w:pPr>
            <w:r w:rsidRPr="00367C0B">
              <w:rPr>
                <w:lang w:val="en-US"/>
              </w:rPr>
              <w:t>3</w:t>
            </w:r>
          </w:p>
        </w:tc>
      </w:tr>
      <w:tr w:rsidR="00BE61BB" w:rsidRPr="00367C0B" w14:paraId="47F60EE2" w14:textId="77777777" w:rsidTr="00EE557A">
        <w:trPr>
          <w:gridAfter w:val="4"/>
          <w:wAfter w:w="6755" w:type="dxa"/>
          <w:trHeight w:val="320"/>
        </w:trPr>
        <w:tc>
          <w:tcPr>
            <w:tcW w:w="2778" w:type="dxa"/>
            <w:tcBorders>
              <w:top w:val="nil"/>
              <w:left w:val="single" w:sz="4" w:space="0" w:color="auto"/>
              <w:bottom w:val="single" w:sz="4" w:space="0" w:color="auto"/>
              <w:right w:val="single" w:sz="4" w:space="0" w:color="auto"/>
            </w:tcBorders>
            <w:shd w:val="clear" w:color="auto" w:fill="auto"/>
            <w:noWrap/>
            <w:hideMark/>
          </w:tcPr>
          <w:p w14:paraId="5800C246" w14:textId="49E5101E" w:rsidR="00BE61BB" w:rsidRPr="00A6423B" w:rsidRDefault="00BE61BB" w:rsidP="00BE61BB">
            <w:pPr>
              <w:spacing w:after="0" w:line="240" w:lineRule="auto"/>
              <w:jc w:val="left"/>
              <w:rPr>
                <w:rFonts w:eastAsia="Times New Roman" w:cs="Calibri"/>
                <w:color w:val="000000"/>
                <w:sz w:val="18"/>
                <w:szCs w:val="18"/>
                <w:lang w:val="en-US" w:eastAsia="fr-FR"/>
              </w:rPr>
            </w:pPr>
            <w:proofErr w:type="spellStart"/>
            <w:r w:rsidRPr="00367C0B">
              <w:rPr>
                <w:lang w:val="en-US"/>
              </w:rPr>
              <w:t>Dubendi</w:t>
            </w:r>
            <w:proofErr w:type="spellEnd"/>
            <w:r w:rsidRPr="00367C0B">
              <w:rPr>
                <w:lang w:val="en-US"/>
              </w:rPr>
              <w:t xml:space="preserve"> Terminal</w:t>
            </w:r>
          </w:p>
        </w:tc>
        <w:tc>
          <w:tcPr>
            <w:tcW w:w="1361" w:type="dxa"/>
            <w:tcBorders>
              <w:top w:val="single" w:sz="4" w:space="0" w:color="auto"/>
              <w:left w:val="single" w:sz="4" w:space="0" w:color="auto"/>
              <w:bottom w:val="single" w:sz="4" w:space="0" w:color="auto"/>
              <w:right w:val="single" w:sz="4" w:space="0" w:color="auto"/>
            </w:tcBorders>
            <w:shd w:val="clear" w:color="auto" w:fill="D8DF81"/>
            <w:noWrap/>
            <w:hideMark/>
          </w:tcPr>
          <w:p w14:paraId="3029DE15" w14:textId="4EB83142" w:rsidR="00BE61BB" w:rsidRPr="00A6423B" w:rsidRDefault="00BE61BB" w:rsidP="00BE61BB">
            <w:pPr>
              <w:spacing w:after="0" w:line="240" w:lineRule="auto"/>
              <w:jc w:val="right"/>
              <w:rPr>
                <w:rFonts w:eastAsia="Times New Roman" w:cs="Calibri"/>
                <w:color w:val="000000"/>
                <w:sz w:val="18"/>
                <w:szCs w:val="18"/>
                <w:lang w:val="en-US" w:eastAsia="fr-FR"/>
              </w:rPr>
            </w:pPr>
            <w:r w:rsidRPr="00367C0B">
              <w:rPr>
                <w:lang w:val="en-US"/>
              </w:rPr>
              <w:t>1</w:t>
            </w:r>
          </w:p>
        </w:tc>
        <w:tc>
          <w:tcPr>
            <w:tcW w:w="1361" w:type="dxa"/>
            <w:tcBorders>
              <w:top w:val="single" w:sz="4" w:space="0" w:color="auto"/>
              <w:left w:val="single" w:sz="4" w:space="0" w:color="auto"/>
              <w:bottom w:val="single" w:sz="4" w:space="0" w:color="auto"/>
              <w:right w:val="single" w:sz="4" w:space="0" w:color="auto"/>
            </w:tcBorders>
            <w:shd w:val="clear" w:color="auto" w:fill="FDC07C"/>
            <w:noWrap/>
            <w:hideMark/>
          </w:tcPr>
          <w:p w14:paraId="51399F9F" w14:textId="2F6D2163" w:rsidR="00BE61BB" w:rsidRPr="00A6423B" w:rsidRDefault="00BE61BB" w:rsidP="00BE61BB">
            <w:pPr>
              <w:spacing w:after="0" w:line="240" w:lineRule="auto"/>
              <w:jc w:val="right"/>
              <w:rPr>
                <w:rFonts w:eastAsia="Times New Roman" w:cs="Calibri"/>
                <w:color w:val="000000"/>
                <w:sz w:val="18"/>
                <w:szCs w:val="18"/>
                <w:lang w:val="en-US" w:eastAsia="fr-FR"/>
              </w:rPr>
            </w:pPr>
            <w:r w:rsidRPr="00367C0B">
              <w:rPr>
                <w:lang w:val="en-US"/>
              </w:rPr>
              <w:t>3</w:t>
            </w:r>
          </w:p>
        </w:tc>
        <w:tc>
          <w:tcPr>
            <w:tcW w:w="1361" w:type="dxa"/>
            <w:tcBorders>
              <w:top w:val="single" w:sz="4" w:space="0" w:color="auto"/>
              <w:left w:val="single" w:sz="4" w:space="0" w:color="auto"/>
              <w:bottom w:val="single" w:sz="4" w:space="0" w:color="auto"/>
              <w:right w:val="single" w:sz="4" w:space="0" w:color="auto"/>
            </w:tcBorders>
            <w:shd w:val="clear" w:color="auto" w:fill="FDC07C"/>
            <w:noWrap/>
            <w:hideMark/>
          </w:tcPr>
          <w:p w14:paraId="2AAD885B" w14:textId="7CBBF274" w:rsidR="00BE61BB" w:rsidRPr="00A6423B" w:rsidRDefault="00BE61BB" w:rsidP="00BE61BB">
            <w:pPr>
              <w:spacing w:after="0" w:line="240" w:lineRule="auto"/>
              <w:jc w:val="right"/>
              <w:rPr>
                <w:rFonts w:eastAsia="Times New Roman" w:cs="Calibri"/>
                <w:color w:val="000000"/>
                <w:sz w:val="18"/>
                <w:szCs w:val="18"/>
                <w:lang w:val="en-US" w:eastAsia="fr-FR"/>
              </w:rPr>
            </w:pPr>
            <w:r w:rsidRPr="00367C0B">
              <w:rPr>
                <w:lang w:val="en-US"/>
              </w:rPr>
              <w:t>3</w:t>
            </w:r>
          </w:p>
        </w:tc>
        <w:tc>
          <w:tcPr>
            <w:tcW w:w="1361" w:type="dxa"/>
            <w:tcBorders>
              <w:top w:val="single" w:sz="4" w:space="0" w:color="auto"/>
              <w:left w:val="single" w:sz="4" w:space="0" w:color="auto"/>
              <w:bottom w:val="single" w:sz="4" w:space="0" w:color="auto"/>
              <w:right w:val="single" w:sz="4" w:space="0" w:color="auto"/>
            </w:tcBorders>
            <w:shd w:val="clear" w:color="auto" w:fill="F8696B"/>
            <w:noWrap/>
            <w:hideMark/>
          </w:tcPr>
          <w:p w14:paraId="5E54CC9F" w14:textId="3683225F" w:rsidR="00BE61BB" w:rsidRPr="00A6423B" w:rsidRDefault="00BE61BB" w:rsidP="00BE61BB">
            <w:pPr>
              <w:spacing w:after="0" w:line="240" w:lineRule="auto"/>
              <w:jc w:val="right"/>
              <w:rPr>
                <w:rFonts w:eastAsia="Times New Roman" w:cs="Calibri"/>
                <w:color w:val="000000"/>
                <w:sz w:val="18"/>
                <w:szCs w:val="18"/>
                <w:lang w:val="en-US" w:eastAsia="fr-FR"/>
              </w:rPr>
            </w:pPr>
            <w:r w:rsidRPr="00367C0B">
              <w:rPr>
                <w:lang w:val="en-US"/>
              </w:rPr>
              <w:t>4</w:t>
            </w:r>
          </w:p>
        </w:tc>
        <w:tc>
          <w:tcPr>
            <w:tcW w:w="1361" w:type="dxa"/>
            <w:tcBorders>
              <w:top w:val="single" w:sz="4" w:space="0" w:color="auto"/>
              <w:left w:val="single" w:sz="4" w:space="0" w:color="auto"/>
              <w:bottom w:val="single" w:sz="4" w:space="0" w:color="auto"/>
              <w:right w:val="single" w:sz="4" w:space="0" w:color="auto"/>
            </w:tcBorders>
            <w:shd w:val="clear" w:color="auto" w:fill="FDC07C"/>
            <w:noWrap/>
            <w:hideMark/>
          </w:tcPr>
          <w:p w14:paraId="763AC720" w14:textId="747B9BE8" w:rsidR="00BE61BB" w:rsidRPr="00A6423B" w:rsidRDefault="00BE61BB" w:rsidP="00BE61BB">
            <w:pPr>
              <w:spacing w:after="0" w:line="240" w:lineRule="auto"/>
              <w:jc w:val="right"/>
              <w:rPr>
                <w:rFonts w:eastAsia="Times New Roman" w:cs="Calibri"/>
                <w:color w:val="000000"/>
                <w:sz w:val="18"/>
                <w:szCs w:val="18"/>
                <w:lang w:val="en-US" w:eastAsia="fr-FR"/>
              </w:rPr>
            </w:pPr>
            <w:r w:rsidRPr="00367C0B">
              <w:rPr>
                <w:lang w:val="en-US"/>
              </w:rPr>
              <w:t>3</w:t>
            </w:r>
          </w:p>
        </w:tc>
      </w:tr>
      <w:tr w:rsidR="00BE61BB" w:rsidRPr="00367C0B" w14:paraId="76C29F19" w14:textId="77777777" w:rsidTr="00EE557A">
        <w:trPr>
          <w:gridAfter w:val="4"/>
          <w:wAfter w:w="6755" w:type="dxa"/>
          <w:trHeight w:val="330"/>
        </w:trPr>
        <w:tc>
          <w:tcPr>
            <w:tcW w:w="2778" w:type="dxa"/>
            <w:tcBorders>
              <w:top w:val="nil"/>
              <w:left w:val="single" w:sz="4" w:space="0" w:color="auto"/>
              <w:bottom w:val="single" w:sz="4" w:space="0" w:color="auto"/>
              <w:right w:val="single" w:sz="4" w:space="0" w:color="auto"/>
            </w:tcBorders>
            <w:shd w:val="clear" w:color="auto" w:fill="auto"/>
            <w:noWrap/>
            <w:hideMark/>
          </w:tcPr>
          <w:p w14:paraId="45A5E279" w14:textId="1577891A" w:rsidR="00BE61BB" w:rsidRPr="00A6423B" w:rsidRDefault="00BE61BB" w:rsidP="00BE61BB">
            <w:pPr>
              <w:spacing w:after="0" w:line="240" w:lineRule="auto"/>
              <w:jc w:val="left"/>
              <w:rPr>
                <w:rFonts w:eastAsia="Times New Roman" w:cs="Calibri"/>
                <w:color w:val="000000"/>
                <w:sz w:val="18"/>
                <w:szCs w:val="18"/>
                <w:lang w:val="en-US" w:eastAsia="fr-FR"/>
              </w:rPr>
            </w:pPr>
            <w:proofErr w:type="spellStart"/>
            <w:r w:rsidRPr="00367C0B">
              <w:rPr>
                <w:lang w:val="en-US"/>
              </w:rPr>
              <w:t>Zygh</w:t>
            </w:r>
            <w:proofErr w:type="spellEnd"/>
            <w:r w:rsidRPr="00367C0B">
              <w:rPr>
                <w:lang w:val="en-US"/>
              </w:rPr>
              <w:t xml:space="preserve"> Shipyard</w:t>
            </w:r>
          </w:p>
        </w:tc>
        <w:tc>
          <w:tcPr>
            <w:tcW w:w="1361" w:type="dxa"/>
            <w:tcBorders>
              <w:top w:val="single" w:sz="4" w:space="0" w:color="auto"/>
              <w:left w:val="single" w:sz="4" w:space="0" w:color="auto"/>
              <w:bottom w:val="single" w:sz="4" w:space="0" w:color="auto"/>
              <w:right w:val="single" w:sz="4" w:space="0" w:color="auto"/>
            </w:tcBorders>
            <w:shd w:val="clear" w:color="auto" w:fill="D8DF81"/>
            <w:noWrap/>
            <w:hideMark/>
          </w:tcPr>
          <w:p w14:paraId="07EE04CB" w14:textId="6DBFB135" w:rsidR="00BE61BB" w:rsidRPr="00A6423B" w:rsidRDefault="00BE61BB" w:rsidP="00BE61BB">
            <w:pPr>
              <w:spacing w:after="0" w:line="240" w:lineRule="auto"/>
              <w:jc w:val="right"/>
              <w:rPr>
                <w:rFonts w:eastAsia="Times New Roman" w:cs="Calibri"/>
                <w:color w:val="000000"/>
                <w:sz w:val="18"/>
                <w:szCs w:val="18"/>
                <w:lang w:val="en-US" w:eastAsia="fr-FR"/>
              </w:rPr>
            </w:pPr>
            <w:r w:rsidRPr="00367C0B">
              <w:rPr>
                <w:lang w:val="en-US"/>
              </w:rPr>
              <w:t>2</w:t>
            </w:r>
          </w:p>
        </w:tc>
        <w:tc>
          <w:tcPr>
            <w:tcW w:w="1361" w:type="dxa"/>
            <w:tcBorders>
              <w:top w:val="single" w:sz="4" w:space="0" w:color="auto"/>
              <w:left w:val="single" w:sz="4" w:space="0" w:color="auto"/>
              <w:bottom w:val="single" w:sz="4" w:space="0" w:color="auto"/>
              <w:right w:val="single" w:sz="4" w:space="0" w:color="auto"/>
            </w:tcBorders>
            <w:shd w:val="clear" w:color="auto" w:fill="FDC07C"/>
            <w:noWrap/>
            <w:hideMark/>
          </w:tcPr>
          <w:p w14:paraId="513A8223" w14:textId="4D0B07B2" w:rsidR="00BE61BB" w:rsidRPr="00A6423B" w:rsidRDefault="00BE61BB" w:rsidP="00BE61BB">
            <w:pPr>
              <w:spacing w:after="0" w:line="240" w:lineRule="auto"/>
              <w:jc w:val="right"/>
              <w:rPr>
                <w:rFonts w:eastAsia="Times New Roman" w:cs="Calibri"/>
                <w:color w:val="000000"/>
                <w:sz w:val="18"/>
                <w:szCs w:val="18"/>
                <w:lang w:val="en-US" w:eastAsia="fr-FR"/>
              </w:rPr>
            </w:pPr>
            <w:r w:rsidRPr="00367C0B">
              <w:rPr>
                <w:lang w:val="en-US"/>
              </w:rPr>
              <w:t>3</w:t>
            </w:r>
          </w:p>
        </w:tc>
        <w:tc>
          <w:tcPr>
            <w:tcW w:w="1361" w:type="dxa"/>
            <w:tcBorders>
              <w:top w:val="single" w:sz="4" w:space="0" w:color="auto"/>
              <w:left w:val="single" w:sz="4" w:space="0" w:color="auto"/>
              <w:bottom w:val="single" w:sz="4" w:space="0" w:color="auto"/>
              <w:right w:val="single" w:sz="4" w:space="0" w:color="auto"/>
            </w:tcBorders>
            <w:shd w:val="clear" w:color="auto" w:fill="FDC07C"/>
            <w:noWrap/>
            <w:hideMark/>
          </w:tcPr>
          <w:p w14:paraId="4C9F60DD" w14:textId="33F0B3FB" w:rsidR="00BE61BB" w:rsidRPr="00A6423B" w:rsidRDefault="00BE61BB" w:rsidP="00BE61BB">
            <w:pPr>
              <w:spacing w:after="0" w:line="240" w:lineRule="auto"/>
              <w:jc w:val="right"/>
              <w:rPr>
                <w:rFonts w:eastAsia="Times New Roman" w:cs="Calibri"/>
                <w:color w:val="000000"/>
                <w:sz w:val="18"/>
                <w:szCs w:val="18"/>
                <w:lang w:val="en-US" w:eastAsia="fr-FR"/>
              </w:rPr>
            </w:pPr>
            <w:r w:rsidRPr="00367C0B">
              <w:rPr>
                <w:lang w:val="en-US"/>
              </w:rPr>
              <w:t>3</w:t>
            </w:r>
          </w:p>
        </w:tc>
        <w:tc>
          <w:tcPr>
            <w:tcW w:w="1361" w:type="dxa"/>
            <w:tcBorders>
              <w:top w:val="single" w:sz="4" w:space="0" w:color="auto"/>
              <w:left w:val="single" w:sz="4" w:space="0" w:color="auto"/>
              <w:bottom w:val="single" w:sz="4" w:space="0" w:color="auto"/>
              <w:right w:val="single" w:sz="4" w:space="0" w:color="auto"/>
            </w:tcBorders>
            <w:shd w:val="clear" w:color="auto" w:fill="F8696B"/>
            <w:noWrap/>
            <w:hideMark/>
          </w:tcPr>
          <w:p w14:paraId="1953EA8F" w14:textId="01E8CC99" w:rsidR="00BE61BB" w:rsidRPr="00A6423B" w:rsidRDefault="00BE61BB" w:rsidP="00BE61BB">
            <w:pPr>
              <w:spacing w:after="0" w:line="240" w:lineRule="auto"/>
              <w:jc w:val="right"/>
              <w:rPr>
                <w:rFonts w:eastAsia="Times New Roman" w:cs="Calibri"/>
                <w:color w:val="000000"/>
                <w:sz w:val="18"/>
                <w:szCs w:val="18"/>
                <w:lang w:val="en-US" w:eastAsia="fr-FR"/>
              </w:rPr>
            </w:pPr>
            <w:r w:rsidRPr="00367C0B">
              <w:rPr>
                <w:lang w:val="en-US"/>
              </w:rPr>
              <w:t>4</w:t>
            </w:r>
          </w:p>
        </w:tc>
        <w:tc>
          <w:tcPr>
            <w:tcW w:w="1361" w:type="dxa"/>
            <w:tcBorders>
              <w:top w:val="single" w:sz="4" w:space="0" w:color="auto"/>
              <w:left w:val="single" w:sz="4" w:space="0" w:color="auto"/>
              <w:bottom w:val="single" w:sz="4" w:space="0" w:color="auto"/>
              <w:right w:val="single" w:sz="4" w:space="0" w:color="auto"/>
            </w:tcBorders>
            <w:shd w:val="clear" w:color="auto" w:fill="FDC07C"/>
            <w:noWrap/>
            <w:hideMark/>
          </w:tcPr>
          <w:p w14:paraId="435A357C" w14:textId="54A3AA9A" w:rsidR="00BE61BB" w:rsidRPr="00A6423B" w:rsidRDefault="00BE61BB" w:rsidP="00BE61BB">
            <w:pPr>
              <w:spacing w:after="0" w:line="240" w:lineRule="auto"/>
              <w:jc w:val="right"/>
              <w:rPr>
                <w:rFonts w:eastAsia="Times New Roman" w:cs="Calibri"/>
                <w:color w:val="000000"/>
                <w:sz w:val="18"/>
                <w:szCs w:val="18"/>
                <w:lang w:val="en-US" w:eastAsia="fr-FR"/>
              </w:rPr>
            </w:pPr>
            <w:r w:rsidRPr="00367C0B">
              <w:rPr>
                <w:lang w:val="en-US"/>
              </w:rPr>
              <w:t>3</w:t>
            </w:r>
          </w:p>
        </w:tc>
      </w:tr>
      <w:tr w:rsidR="00BE61BB" w:rsidRPr="00367C0B" w14:paraId="50A3E95C" w14:textId="77777777" w:rsidTr="00EE557A">
        <w:trPr>
          <w:gridAfter w:val="4"/>
          <w:wAfter w:w="6755" w:type="dxa"/>
          <w:trHeight w:val="320"/>
        </w:trPr>
        <w:tc>
          <w:tcPr>
            <w:tcW w:w="2778" w:type="dxa"/>
            <w:tcBorders>
              <w:top w:val="nil"/>
              <w:left w:val="single" w:sz="4" w:space="0" w:color="auto"/>
              <w:bottom w:val="single" w:sz="4" w:space="0" w:color="auto"/>
              <w:right w:val="single" w:sz="4" w:space="0" w:color="auto"/>
            </w:tcBorders>
            <w:shd w:val="clear" w:color="auto" w:fill="auto"/>
            <w:noWrap/>
            <w:hideMark/>
          </w:tcPr>
          <w:p w14:paraId="235E861C" w14:textId="3A87643B" w:rsidR="00BE61BB" w:rsidRPr="00A6423B" w:rsidRDefault="00BE61BB" w:rsidP="00BE61BB">
            <w:pPr>
              <w:spacing w:after="0" w:line="240" w:lineRule="auto"/>
              <w:jc w:val="left"/>
              <w:rPr>
                <w:rFonts w:eastAsia="Times New Roman" w:cs="Calibri"/>
                <w:color w:val="000000"/>
                <w:sz w:val="18"/>
                <w:szCs w:val="18"/>
                <w:lang w:val="en-US" w:eastAsia="fr-FR"/>
              </w:rPr>
            </w:pPr>
            <w:r w:rsidRPr="00367C0B">
              <w:rPr>
                <w:lang w:val="en-US"/>
              </w:rPr>
              <w:t>Aktau port</w:t>
            </w:r>
          </w:p>
        </w:tc>
        <w:tc>
          <w:tcPr>
            <w:tcW w:w="1361" w:type="dxa"/>
            <w:tcBorders>
              <w:top w:val="single" w:sz="4" w:space="0" w:color="auto"/>
              <w:left w:val="single" w:sz="4" w:space="0" w:color="auto"/>
              <w:bottom w:val="single" w:sz="4" w:space="0" w:color="auto"/>
              <w:right w:val="single" w:sz="4" w:space="0" w:color="auto"/>
            </w:tcBorders>
            <w:shd w:val="clear" w:color="auto" w:fill="D8DF81"/>
            <w:noWrap/>
            <w:hideMark/>
          </w:tcPr>
          <w:p w14:paraId="7C4B95BE" w14:textId="6F6AB585" w:rsidR="00BE61BB" w:rsidRPr="00A6423B" w:rsidRDefault="00BE61BB" w:rsidP="00BE61BB">
            <w:pPr>
              <w:spacing w:after="0" w:line="240" w:lineRule="auto"/>
              <w:jc w:val="right"/>
              <w:rPr>
                <w:rFonts w:eastAsia="Times New Roman" w:cs="Calibri"/>
                <w:color w:val="000000"/>
                <w:sz w:val="18"/>
                <w:szCs w:val="18"/>
                <w:lang w:val="en-US" w:eastAsia="fr-FR"/>
              </w:rPr>
            </w:pPr>
            <w:r w:rsidRPr="00367C0B">
              <w:rPr>
                <w:lang w:val="en-US"/>
              </w:rPr>
              <w:t>1</w:t>
            </w:r>
          </w:p>
        </w:tc>
        <w:tc>
          <w:tcPr>
            <w:tcW w:w="1361" w:type="dxa"/>
            <w:tcBorders>
              <w:top w:val="single" w:sz="4" w:space="0" w:color="auto"/>
              <w:left w:val="single" w:sz="4" w:space="0" w:color="auto"/>
              <w:bottom w:val="single" w:sz="4" w:space="0" w:color="auto"/>
              <w:right w:val="single" w:sz="4" w:space="0" w:color="auto"/>
            </w:tcBorders>
            <w:shd w:val="clear" w:color="auto" w:fill="FDC07C"/>
            <w:noWrap/>
            <w:hideMark/>
          </w:tcPr>
          <w:p w14:paraId="7ABC955A" w14:textId="24C08B11" w:rsidR="00BE61BB" w:rsidRPr="00A6423B" w:rsidRDefault="00BE61BB" w:rsidP="00BE61BB">
            <w:pPr>
              <w:spacing w:after="0" w:line="240" w:lineRule="auto"/>
              <w:jc w:val="right"/>
              <w:rPr>
                <w:rFonts w:eastAsia="Times New Roman" w:cs="Calibri"/>
                <w:color w:val="000000"/>
                <w:sz w:val="18"/>
                <w:szCs w:val="18"/>
                <w:lang w:val="en-US" w:eastAsia="fr-FR"/>
              </w:rPr>
            </w:pPr>
            <w:r w:rsidRPr="00367C0B">
              <w:rPr>
                <w:lang w:val="en-US"/>
              </w:rPr>
              <w:t>3</w:t>
            </w:r>
          </w:p>
        </w:tc>
        <w:tc>
          <w:tcPr>
            <w:tcW w:w="1361" w:type="dxa"/>
            <w:tcBorders>
              <w:top w:val="single" w:sz="4" w:space="0" w:color="auto"/>
              <w:left w:val="single" w:sz="4" w:space="0" w:color="auto"/>
              <w:bottom w:val="single" w:sz="4" w:space="0" w:color="auto"/>
              <w:right w:val="single" w:sz="4" w:space="0" w:color="auto"/>
            </w:tcBorders>
            <w:shd w:val="clear" w:color="auto" w:fill="FDC07C"/>
            <w:noWrap/>
            <w:hideMark/>
          </w:tcPr>
          <w:p w14:paraId="2FBA9D4D" w14:textId="6B234F56" w:rsidR="00BE61BB" w:rsidRPr="00A6423B" w:rsidRDefault="00BE61BB" w:rsidP="00BE61BB">
            <w:pPr>
              <w:spacing w:after="0" w:line="240" w:lineRule="auto"/>
              <w:jc w:val="right"/>
              <w:rPr>
                <w:rFonts w:eastAsia="Times New Roman" w:cs="Calibri"/>
                <w:color w:val="000000"/>
                <w:sz w:val="18"/>
                <w:szCs w:val="18"/>
                <w:lang w:val="en-US" w:eastAsia="fr-FR"/>
              </w:rPr>
            </w:pPr>
            <w:r w:rsidRPr="00367C0B">
              <w:rPr>
                <w:lang w:val="en-US"/>
              </w:rPr>
              <w:t>3</w:t>
            </w:r>
          </w:p>
        </w:tc>
        <w:tc>
          <w:tcPr>
            <w:tcW w:w="1361" w:type="dxa"/>
            <w:tcBorders>
              <w:top w:val="single" w:sz="4" w:space="0" w:color="auto"/>
              <w:left w:val="single" w:sz="4" w:space="0" w:color="auto"/>
              <w:bottom w:val="single" w:sz="4" w:space="0" w:color="auto"/>
              <w:right w:val="single" w:sz="4" w:space="0" w:color="auto"/>
            </w:tcBorders>
            <w:shd w:val="clear" w:color="auto" w:fill="FDC07C"/>
            <w:noWrap/>
            <w:hideMark/>
          </w:tcPr>
          <w:p w14:paraId="25315357" w14:textId="698BC475" w:rsidR="00BE61BB" w:rsidRPr="00A6423B" w:rsidRDefault="00BE61BB" w:rsidP="00BE61BB">
            <w:pPr>
              <w:spacing w:after="0" w:line="240" w:lineRule="auto"/>
              <w:jc w:val="right"/>
              <w:rPr>
                <w:rFonts w:eastAsia="Times New Roman" w:cs="Calibri"/>
                <w:color w:val="000000"/>
                <w:sz w:val="18"/>
                <w:szCs w:val="18"/>
                <w:lang w:val="en-US" w:eastAsia="fr-FR"/>
              </w:rPr>
            </w:pPr>
            <w:r w:rsidRPr="00367C0B">
              <w:rPr>
                <w:lang w:val="en-US"/>
              </w:rPr>
              <w:t>3</w:t>
            </w:r>
          </w:p>
        </w:tc>
        <w:tc>
          <w:tcPr>
            <w:tcW w:w="1361" w:type="dxa"/>
            <w:tcBorders>
              <w:top w:val="single" w:sz="4" w:space="0" w:color="auto"/>
              <w:left w:val="single" w:sz="4" w:space="0" w:color="auto"/>
              <w:bottom w:val="single" w:sz="4" w:space="0" w:color="auto"/>
              <w:right w:val="single" w:sz="4" w:space="0" w:color="auto"/>
            </w:tcBorders>
            <w:shd w:val="clear" w:color="auto" w:fill="FDC07C"/>
            <w:noWrap/>
            <w:hideMark/>
          </w:tcPr>
          <w:p w14:paraId="7056E534" w14:textId="4314D4A6" w:rsidR="00BE61BB" w:rsidRPr="00A6423B" w:rsidRDefault="00BE61BB" w:rsidP="00BE61BB">
            <w:pPr>
              <w:spacing w:after="0" w:line="240" w:lineRule="auto"/>
              <w:jc w:val="right"/>
              <w:rPr>
                <w:rFonts w:eastAsia="Times New Roman" w:cs="Calibri"/>
                <w:color w:val="000000"/>
                <w:sz w:val="18"/>
                <w:szCs w:val="18"/>
                <w:lang w:val="en-US" w:eastAsia="fr-FR"/>
              </w:rPr>
            </w:pPr>
            <w:r w:rsidRPr="00367C0B">
              <w:rPr>
                <w:lang w:val="en-US"/>
              </w:rPr>
              <w:t>3</w:t>
            </w:r>
          </w:p>
        </w:tc>
      </w:tr>
      <w:tr w:rsidR="00BE61BB" w:rsidRPr="00367C0B" w14:paraId="4672AED1" w14:textId="77777777" w:rsidTr="00EE557A">
        <w:trPr>
          <w:gridAfter w:val="4"/>
          <w:wAfter w:w="6755" w:type="dxa"/>
          <w:trHeight w:val="320"/>
        </w:trPr>
        <w:tc>
          <w:tcPr>
            <w:tcW w:w="2778" w:type="dxa"/>
            <w:tcBorders>
              <w:top w:val="nil"/>
              <w:left w:val="single" w:sz="4" w:space="0" w:color="auto"/>
              <w:bottom w:val="single" w:sz="4" w:space="0" w:color="auto"/>
              <w:right w:val="single" w:sz="4" w:space="0" w:color="auto"/>
            </w:tcBorders>
            <w:shd w:val="clear" w:color="auto" w:fill="auto"/>
            <w:noWrap/>
          </w:tcPr>
          <w:p w14:paraId="5EBD4C77" w14:textId="563AC0D0" w:rsidR="00BE61BB" w:rsidRPr="00367C0B" w:rsidRDefault="00BE61BB" w:rsidP="00BE61BB">
            <w:pPr>
              <w:spacing w:after="0" w:line="240" w:lineRule="auto"/>
              <w:jc w:val="left"/>
              <w:rPr>
                <w:lang w:val="en-US"/>
              </w:rPr>
            </w:pPr>
            <w:r w:rsidRPr="00367C0B">
              <w:rPr>
                <w:rFonts w:eastAsia="Times New Roman" w:cs="Calibri"/>
                <w:color w:val="000000"/>
                <w:lang w:val="en-US" w:eastAsia="fr-FR"/>
              </w:rPr>
              <w:t>Turkmenistan Port</w:t>
            </w:r>
          </w:p>
        </w:tc>
        <w:tc>
          <w:tcPr>
            <w:tcW w:w="1361" w:type="dxa"/>
            <w:tcBorders>
              <w:top w:val="single" w:sz="4" w:space="0" w:color="auto"/>
              <w:left w:val="single" w:sz="4" w:space="0" w:color="auto"/>
              <w:bottom w:val="single" w:sz="4" w:space="0" w:color="auto"/>
              <w:right w:val="single" w:sz="4" w:space="0" w:color="auto"/>
            </w:tcBorders>
            <w:shd w:val="clear" w:color="auto" w:fill="D8DF81"/>
            <w:noWrap/>
          </w:tcPr>
          <w:p w14:paraId="1F2B6094" w14:textId="112EB8AD" w:rsidR="00BE61BB" w:rsidRPr="00A6423B" w:rsidRDefault="00BE61BB" w:rsidP="00BE61BB">
            <w:pPr>
              <w:spacing w:after="0" w:line="240" w:lineRule="auto"/>
              <w:jc w:val="right"/>
              <w:rPr>
                <w:rFonts w:eastAsia="Times New Roman" w:cs="Calibri"/>
                <w:color w:val="000000"/>
                <w:sz w:val="18"/>
                <w:szCs w:val="18"/>
                <w:lang w:val="en-US" w:eastAsia="fr-FR"/>
              </w:rPr>
            </w:pPr>
            <w:r w:rsidRPr="00367C0B">
              <w:rPr>
                <w:lang w:val="en-US"/>
              </w:rPr>
              <w:t>1</w:t>
            </w:r>
          </w:p>
        </w:tc>
        <w:tc>
          <w:tcPr>
            <w:tcW w:w="1361" w:type="dxa"/>
            <w:tcBorders>
              <w:top w:val="single" w:sz="4" w:space="0" w:color="auto"/>
              <w:left w:val="single" w:sz="4" w:space="0" w:color="auto"/>
              <w:bottom w:val="single" w:sz="4" w:space="0" w:color="auto"/>
              <w:right w:val="single" w:sz="4" w:space="0" w:color="auto"/>
            </w:tcBorders>
            <w:shd w:val="clear" w:color="auto" w:fill="FDC07C"/>
            <w:noWrap/>
          </w:tcPr>
          <w:p w14:paraId="5E24BE18" w14:textId="486F8C8E" w:rsidR="00BE61BB" w:rsidRPr="00A6423B" w:rsidRDefault="00BE61BB" w:rsidP="00BE61BB">
            <w:pPr>
              <w:spacing w:after="0" w:line="240" w:lineRule="auto"/>
              <w:jc w:val="right"/>
              <w:rPr>
                <w:rFonts w:eastAsia="Times New Roman" w:cs="Calibri"/>
                <w:color w:val="000000"/>
                <w:sz w:val="18"/>
                <w:szCs w:val="18"/>
                <w:lang w:val="en-US" w:eastAsia="fr-FR"/>
              </w:rPr>
            </w:pPr>
            <w:r w:rsidRPr="00367C0B">
              <w:rPr>
                <w:lang w:val="en-US"/>
              </w:rPr>
              <w:t>3</w:t>
            </w:r>
          </w:p>
        </w:tc>
        <w:tc>
          <w:tcPr>
            <w:tcW w:w="1361" w:type="dxa"/>
            <w:tcBorders>
              <w:top w:val="single" w:sz="4" w:space="0" w:color="auto"/>
              <w:left w:val="single" w:sz="4" w:space="0" w:color="auto"/>
              <w:bottom w:val="single" w:sz="4" w:space="0" w:color="auto"/>
              <w:right w:val="single" w:sz="4" w:space="0" w:color="auto"/>
            </w:tcBorders>
            <w:shd w:val="clear" w:color="auto" w:fill="FDC07C"/>
            <w:noWrap/>
          </w:tcPr>
          <w:p w14:paraId="429D7EA1" w14:textId="7A6FF6E7" w:rsidR="00BE61BB" w:rsidRPr="00A6423B" w:rsidRDefault="00BE61BB" w:rsidP="00BE61BB">
            <w:pPr>
              <w:spacing w:after="0" w:line="240" w:lineRule="auto"/>
              <w:jc w:val="right"/>
              <w:rPr>
                <w:rFonts w:eastAsia="Times New Roman" w:cs="Calibri"/>
                <w:color w:val="000000"/>
                <w:sz w:val="18"/>
                <w:szCs w:val="18"/>
                <w:lang w:val="en-US" w:eastAsia="fr-FR"/>
              </w:rPr>
            </w:pPr>
            <w:r w:rsidRPr="00367C0B">
              <w:rPr>
                <w:lang w:val="en-US"/>
              </w:rPr>
              <w:t>3</w:t>
            </w:r>
          </w:p>
        </w:tc>
        <w:tc>
          <w:tcPr>
            <w:tcW w:w="1361" w:type="dxa"/>
            <w:tcBorders>
              <w:top w:val="single" w:sz="4" w:space="0" w:color="auto"/>
              <w:left w:val="single" w:sz="4" w:space="0" w:color="auto"/>
              <w:bottom w:val="single" w:sz="4" w:space="0" w:color="auto"/>
              <w:right w:val="single" w:sz="4" w:space="0" w:color="auto"/>
            </w:tcBorders>
            <w:shd w:val="clear" w:color="auto" w:fill="F8696B"/>
            <w:noWrap/>
          </w:tcPr>
          <w:p w14:paraId="2F0FAD26" w14:textId="345FFB86" w:rsidR="00BE61BB" w:rsidRPr="00A6423B" w:rsidRDefault="00BE61BB" w:rsidP="00BE61BB">
            <w:pPr>
              <w:spacing w:after="0" w:line="240" w:lineRule="auto"/>
              <w:jc w:val="right"/>
              <w:rPr>
                <w:rFonts w:eastAsia="Times New Roman" w:cs="Calibri"/>
                <w:color w:val="000000"/>
                <w:sz w:val="18"/>
                <w:szCs w:val="18"/>
                <w:lang w:val="en-US" w:eastAsia="fr-FR"/>
              </w:rPr>
            </w:pPr>
            <w:r w:rsidRPr="00367C0B">
              <w:rPr>
                <w:lang w:val="en-US"/>
              </w:rPr>
              <w:t>4</w:t>
            </w:r>
          </w:p>
        </w:tc>
        <w:tc>
          <w:tcPr>
            <w:tcW w:w="1361" w:type="dxa"/>
            <w:tcBorders>
              <w:top w:val="single" w:sz="4" w:space="0" w:color="auto"/>
              <w:left w:val="single" w:sz="4" w:space="0" w:color="auto"/>
              <w:bottom w:val="single" w:sz="4" w:space="0" w:color="auto"/>
              <w:right w:val="single" w:sz="4" w:space="0" w:color="auto"/>
            </w:tcBorders>
            <w:shd w:val="clear" w:color="auto" w:fill="FDC07C"/>
            <w:noWrap/>
          </w:tcPr>
          <w:p w14:paraId="0772494C" w14:textId="6141040B" w:rsidR="00BE61BB" w:rsidRPr="00A6423B" w:rsidRDefault="00BE61BB" w:rsidP="00BE61BB">
            <w:pPr>
              <w:spacing w:after="0" w:line="240" w:lineRule="auto"/>
              <w:jc w:val="right"/>
              <w:rPr>
                <w:rFonts w:eastAsia="Times New Roman" w:cs="Calibri"/>
                <w:color w:val="000000"/>
                <w:sz w:val="18"/>
                <w:szCs w:val="18"/>
                <w:lang w:val="en-US" w:eastAsia="fr-FR"/>
              </w:rPr>
            </w:pPr>
            <w:r w:rsidRPr="00367C0B">
              <w:rPr>
                <w:lang w:val="en-US"/>
              </w:rPr>
              <w:t>3</w:t>
            </w:r>
          </w:p>
        </w:tc>
      </w:tr>
      <w:tr w:rsidR="006F3D35" w:rsidRPr="00367C0B" w14:paraId="02C8D2E9" w14:textId="77777777">
        <w:trPr>
          <w:trHeight w:val="20"/>
        </w:trPr>
        <w:tc>
          <w:tcPr>
            <w:tcW w:w="2778" w:type="dxa"/>
            <w:tcBorders>
              <w:top w:val="nil"/>
              <w:left w:val="nil"/>
              <w:bottom w:val="nil"/>
              <w:right w:val="nil"/>
            </w:tcBorders>
            <w:shd w:val="clear" w:color="auto" w:fill="auto"/>
            <w:noWrap/>
            <w:vAlign w:val="bottom"/>
            <w:hideMark/>
          </w:tcPr>
          <w:p w14:paraId="28E7D22B" w14:textId="77777777" w:rsidR="006F3D35" w:rsidRPr="00A6423B" w:rsidRDefault="006F3D35">
            <w:pPr>
              <w:spacing w:after="0" w:line="240" w:lineRule="auto"/>
              <w:jc w:val="right"/>
              <w:rPr>
                <w:rFonts w:eastAsia="Times New Roman" w:cs="Calibri"/>
                <w:color w:val="000000"/>
                <w:sz w:val="18"/>
                <w:szCs w:val="18"/>
                <w:lang w:val="en-US" w:eastAsia="fr-FR"/>
              </w:rPr>
            </w:pPr>
          </w:p>
        </w:tc>
        <w:tc>
          <w:tcPr>
            <w:tcW w:w="6805" w:type="dxa"/>
            <w:gridSpan w:val="5"/>
            <w:tcBorders>
              <w:top w:val="nil"/>
              <w:left w:val="nil"/>
              <w:bottom w:val="nil"/>
              <w:right w:val="nil"/>
            </w:tcBorders>
            <w:shd w:val="clear" w:color="auto" w:fill="auto"/>
            <w:noWrap/>
            <w:vAlign w:val="bottom"/>
            <w:hideMark/>
          </w:tcPr>
          <w:p w14:paraId="60768A85" w14:textId="77777777" w:rsidR="006F3D35" w:rsidRPr="00A6423B" w:rsidRDefault="006F3D35">
            <w:pPr>
              <w:spacing w:after="0" w:line="240" w:lineRule="auto"/>
              <w:jc w:val="left"/>
              <w:rPr>
                <w:rFonts w:eastAsia="Times New Roman" w:cs="Times New Roman"/>
                <w:sz w:val="16"/>
                <w:szCs w:val="16"/>
                <w:lang w:val="en-US" w:eastAsia="fr-FR"/>
              </w:rPr>
            </w:pPr>
          </w:p>
        </w:tc>
        <w:tc>
          <w:tcPr>
            <w:tcW w:w="2566" w:type="dxa"/>
            <w:tcBorders>
              <w:top w:val="nil"/>
              <w:left w:val="nil"/>
              <w:bottom w:val="nil"/>
              <w:right w:val="nil"/>
            </w:tcBorders>
            <w:shd w:val="clear" w:color="auto" w:fill="auto"/>
            <w:noWrap/>
            <w:vAlign w:val="bottom"/>
            <w:hideMark/>
          </w:tcPr>
          <w:p w14:paraId="3EACF46C" w14:textId="77777777" w:rsidR="006F3D35" w:rsidRPr="00367C0B" w:rsidRDefault="006F3D35">
            <w:pPr>
              <w:spacing w:after="0" w:line="240" w:lineRule="auto"/>
              <w:jc w:val="left"/>
              <w:rPr>
                <w:rFonts w:eastAsia="Times New Roman" w:cs="Times New Roman"/>
                <w:sz w:val="16"/>
                <w:szCs w:val="16"/>
                <w:lang w:val="en-US" w:eastAsia="fr-FR"/>
              </w:rPr>
            </w:pPr>
          </w:p>
        </w:tc>
        <w:tc>
          <w:tcPr>
            <w:tcW w:w="1253" w:type="dxa"/>
            <w:tcBorders>
              <w:top w:val="nil"/>
              <w:left w:val="nil"/>
              <w:bottom w:val="nil"/>
              <w:right w:val="nil"/>
            </w:tcBorders>
            <w:shd w:val="clear" w:color="auto" w:fill="auto"/>
            <w:noWrap/>
            <w:vAlign w:val="bottom"/>
            <w:hideMark/>
          </w:tcPr>
          <w:p w14:paraId="0C29A07D" w14:textId="77777777" w:rsidR="006F3D35" w:rsidRPr="00367C0B" w:rsidRDefault="006F3D35">
            <w:pPr>
              <w:spacing w:after="0" w:line="240" w:lineRule="auto"/>
              <w:jc w:val="left"/>
              <w:rPr>
                <w:rFonts w:eastAsia="Times New Roman" w:cs="Times New Roman"/>
                <w:sz w:val="16"/>
                <w:szCs w:val="16"/>
                <w:lang w:val="en-US" w:eastAsia="fr-FR"/>
              </w:rPr>
            </w:pPr>
          </w:p>
        </w:tc>
        <w:tc>
          <w:tcPr>
            <w:tcW w:w="1522" w:type="dxa"/>
            <w:tcBorders>
              <w:top w:val="nil"/>
              <w:left w:val="nil"/>
              <w:bottom w:val="nil"/>
              <w:right w:val="nil"/>
            </w:tcBorders>
            <w:shd w:val="clear" w:color="auto" w:fill="auto"/>
            <w:noWrap/>
            <w:vAlign w:val="bottom"/>
            <w:hideMark/>
          </w:tcPr>
          <w:p w14:paraId="33FE994D" w14:textId="77777777" w:rsidR="006F3D35" w:rsidRPr="00367C0B" w:rsidRDefault="006F3D35">
            <w:pPr>
              <w:spacing w:after="0" w:line="240" w:lineRule="auto"/>
              <w:jc w:val="left"/>
              <w:rPr>
                <w:rFonts w:eastAsia="Times New Roman" w:cs="Times New Roman"/>
                <w:sz w:val="16"/>
                <w:szCs w:val="16"/>
                <w:lang w:val="en-US" w:eastAsia="fr-FR"/>
              </w:rPr>
            </w:pPr>
          </w:p>
        </w:tc>
        <w:tc>
          <w:tcPr>
            <w:tcW w:w="1414" w:type="dxa"/>
            <w:tcBorders>
              <w:top w:val="nil"/>
              <w:left w:val="nil"/>
              <w:bottom w:val="nil"/>
              <w:right w:val="nil"/>
            </w:tcBorders>
            <w:shd w:val="clear" w:color="auto" w:fill="auto"/>
            <w:noWrap/>
            <w:vAlign w:val="bottom"/>
            <w:hideMark/>
          </w:tcPr>
          <w:p w14:paraId="494BFA29" w14:textId="77777777" w:rsidR="006F3D35" w:rsidRPr="00367C0B" w:rsidRDefault="006F3D35">
            <w:pPr>
              <w:spacing w:after="0" w:line="240" w:lineRule="auto"/>
              <w:jc w:val="left"/>
              <w:rPr>
                <w:rFonts w:eastAsia="Times New Roman" w:cs="Times New Roman"/>
                <w:sz w:val="16"/>
                <w:szCs w:val="16"/>
                <w:lang w:val="en-US" w:eastAsia="fr-FR"/>
              </w:rPr>
            </w:pPr>
          </w:p>
        </w:tc>
      </w:tr>
      <w:tr w:rsidR="006F3D35" w:rsidRPr="00FA7359" w14:paraId="01C55C3C" w14:textId="77777777">
        <w:trPr>
          <w:gridAfter w:val="4"/>
          <w:wAfter w:w="6755" w:type="dxa"/>
          <w:trHeight w:val="320"/>
        </w:trPr>
        <w:tc>
          <w:tcPr>
            <w:tcW w:w="2778" w:type="dxa"/>
            <w:tcBorders>
              <w:top w:val="single" w:sz="4" w:space="0" w:color="auto"/>
              <w:left w:val="single" w:sz="4" w:space="0" w:color="auto"/>
              <w:bottom w:val="single" w:sz="4" w:space="0" w:color="auto"/>
              <w:right w:val="single" w:sz="4" w:space="0" w:color="auto"/>
            </w:tcBorders>
            <w:shd w:val="clear" w:color="000000" w:fill="AEAAAA"/>
            <w:noWrap/>
            <w:vAlign w:val="center"/>
            <w:hideMark/>
          </w:tcPr>
          <w:p w14:paraId="6D4FEA37" w14:textId="77777777" w:rsidR="006F3D35" w:rsidRPr="00A6423B" w:rsidRDefault="006F3D35" w:rsidP="00052061">
            <w:pPr>
              <w:spacing w:after="0" w:line="240" w:lineRule="auto"/>
              <w:jc w:val="center"/>
              <w:rPr>
                <w:rFonts w:eastAsia="Times New Roman" w:cs="Calibri"/>
                <w:b/>
                <w:bCs/>
                <w:color w:val="000000"/>
                <w:sz w:val="18"/>
                <w:szCs w:val="18"/>
                <w:lang w:val="en-US" w:eastAsia="fr-FR"/>
              </w:rPr>
            </w:pPr>
            <w:r w:rsidRPr="00A6423B">
              <w:rPr>
                <w:rFonts w:eastAsia="Times New Roman" w:cs="Calibri"/>
                <w:b/>
                <w:bCs/>
                <w:color w:val="000000"/>
                <w:sz w:val="18"/>
                <w:szCs w:val="18"/>
                <w:lang w:val="en-US" w:eastAsia="fr-FR"/>
              </w:rPr>
              <w:t>SSP2-4.5 - 2040</w:t>
            </w:r>
          </w:p>
        </w:tc>
        <w:tc>
          <w:tcPr>
            <w:tcW w:w="6805" w:type="dxa"/>
            <w:gridSpan w:val="5"/>
            <w:tcBorders>
              <w:top w:val="single" w:sz="4" w:space="0" w:color="auto"/>
              <w:left w:val="nil"/>
              <w:bottom w:val="single" w:sz="4" w:space="0" w:color="auto"/>
              <w:right w:val="single" w:sz="4" w:space="0" w:color="000000"/>
            </w:tcBorders>
            <w:shd w:val="clear" w:color="000000" w:fill="B4C6E7"/>
            <w:noWrap/>
            <w:vAlign w:val="center"/>
            <w:hideMark/>
          </w:tcPr>
          <w:p w14:paraId="2DD93B51" w14:textId="77777777" w:rsidR="006F3D35" w:rsidRPr="00A6423B" w:rsidRDefault="006F3D35">
            <w:pPr>
              <w:spacing w:after="0" w:line="240" w:lineRule="auto"/>
              <w:jc w:val="left"/>
              <w:rPr>
                <w:rFonts w:eastAsia="Times New Roman" w:cs="Calibri"/>
                <w:b/>
                <w:bCs/>
                <w:color w:val="000000"/>
                <w:sz w:val="18"/>
                <w:szCs w:val="18"/>
                <w:lang w:val="en-US" w:eastAsia="fr-FR"/>
              </w:rPr>
            </w:pPr>
            <w:r w:rsidRPr="00A6423B">
              <w:rPr>
                <w:rFonts w:eastAsia="Times New Roman" w:cs="Calibri"/>
                <w:b/>
                <w:bCs/>
                <w:color w:val="000000"/>
                <w:sz w:val="18"/>
                <w:szCs w:val="18"/>
                <w:lang w:val="en-US" w:eastAsia="fr-FR"/>
              </w:rPr>
              <w:t>Exposure level per taxonomy related hazard</w:t>
            </w:r>
          </w:p>
        </w:tc>
      </w:tr>
      <w:tr w:rsidR="007F24CA" w:rsidRPr="00367C0B" w14:paraId="53420ABA" w14:textId="77777777">
        <w:trPr>
          <w:gridAfter w:val="4"/>
          <w:wAfter w:w="6755" w:type="dxa"/>
          <w:trHeight w:val="320"/>
        </w:trPr>
        <w:tc>
          <w:tcPr>
            <w:tcW w:w="2778" w:type="dxa"/>
            <w:tcBorders>
              <w:top w:val="nil"/>
              <w:left w:val="single" w:sz="4" w:space="0" w:color="auto"/>
              <w:bottom w:val="single" w:sz="4" w:space="0" w:color="auto"/>
              <w:right w:val="single" w:sz="4" w:space="0" w:color="auto"/>
            </w:tcBorders>
            <w:shd w:val="clear" w:color="000000" w:fill="E7E6E6"/>
            <w:noWrap/>
            <w:vAlign w:val="center"/>
            <w:hideMark/>
          </w:tcPr>
          <w:p w14:paraId="0B701A0E" w14:textId="10E16FDA" w:rsidR="007F24CA" w:rsidRPr="00A6423B" w:rsidRDefault="007F24CA" w:rsidP="007F24CA">
            <w:pPr>
              <w:spacing w:after="0" w:line="240" w:lineRule="auto"/>
              <w:jc w:val="left"/>
              <w:rPr>
                <w:rFonts w:eastAsia="Times New Roman" w:cs="Calibri"/>
                <w:b/>
                <w:bCs/>
                <w:color w:val="000000"/>
                <w:sz w:val="18"/>
                <w:szCs w:val="18"/>
                <w:lang w:val="en-US" w:eastAsia="fr-FR"/>
              </w:rPr>
            </w:pPr>
            <w:r w:rsidRPr="00A6423B">
              <w:rPr>
                <w:rFonts w:eastAsia="Times New Roman" w:cs="Calibri"/>
                <w:b/>
                <w:bCs/>
                <w:color w:val="000000"/>
                <w:sz w:val="18"/>
                <w:szCs w:val="18"/>
                <w:lang w:val="en-US" w:eastAsia="fr-FR"/>
              </w:rPr>
              <w:t>Site Name</w:t>
            </w:r>
          </w:p>
        </w:tc>
        <w:tc>
          <w:tcPr>
            <w:tcW w:w="1361" w:type="dxa"/>
            <w:tcBorders>
              <w:top w:val="nil"/>
              <w:left w:val="nil"/>
              <w:bottom w:val="single" w:sz="4" w:space="0" w:color="auto"/>
              <w:right w:val="single" w:sz="4" w:space="0" w:color="auto"/>
            </w:tcBorders>
            <w:shd w:val="clear" w:color="000000" w:fill="D9E1F2"/>
            <w:noWrap/>
            <w:vAlign w:val="center"/>
            <w:hideMark/>
          </w:tcPr>
          <w:p w14:paraId="66A43DAA" w14:textId="04A5B000" w:rsidR="007F24CA" w:rsidRPr="00A6423B" w:rsidRDefault="007F24CA" w:rsidP="007F24CA">
            <w:pPr>
              <w:spacing w:after="0" w:line="240" w:lineRule="auto"/>
              <w:jc w:val="left"/>
              <w:rPr>
                <w:rFonts w:eastAsia="Times New Roman" w:cs="Calibri"/>
                <w:b/>
                <w:bCs/>
                <w:color w:val="000000"/>
                <w:sz w:val="18"/>
                <w:szCs w:val="18"/>
                <w:lang w:val="en-US" w:eastAsia="fr-FR"/>
              </w:rPr>
            </w:pPr>
            <w:r w:rsidRPr="00A6423B">
              <w:rPr>
                <w:rFonts w:eastAsia="Times New Roman" w:cs="Calibri"/>
                <w:b/>
                <w:bCs/>
                <w:color w:val="000000"/>
                <w:sz w:val="18"/>
                <w:szCs w:val="18"/>
                <w:lang w:val="en-US" w:eastAsia="fr-FR"/>
              </w:rPr>
              <w:t>Flood</w:t>
            </w:r>
            <w:r w:rsidRPr="007F24CA">
              <w:rPr>
                <w:rFonts w:eastAsia="Times New Roman" w:cs="Calibri"/>
                <w:b/>
                <w:bCs/>
                <w:color w:val="000000"/>
                <w:sz w:val="18"/>
                <w:szCs w:val="18"/>
                <w:vertAlign w:val="superscript"/>
                <w:lang w:val="en-US" w:eastAsia="fr-FR"/>
              </w:rPr>
              <w:t>1</w:t>
            </w:r>
          </w:p>
        </w:tc>
        <w:tc>
          <w:tcPr>
            <w:tcW w:w="1361" w:type="dxa"/>
            <w:tcBorders>
              <w:top w:val="nil"/>
              <w:left w:val="nil"/>
              <w:bottom w:val="single" w:sz="4" w:space="0" w:color="auto"/>
              <w:right w:val="single" w:sz="4" w:space="0" w:color="auto"/>
            </w:tcBorders>
            <w:shd w:val="clear" w:color="000000" w:fill="D9E1F2"/>
            <w:noWrap/>
            <w:vAlign w:val="center"/>
            <w:hideMark/>
          </w:tcPr>
          <w:p w14:paraId="45DE8488" w14:textId="31C11322" w:rsidR="007F24CA" w:rsidRPr="00A6423B" w:rsidRDefault="007F24CA" w:rsidP="007F24CA">
            <w:pPr>
              <w:spacing w:after="0" w:line="240" w:lineRule="auto"/>
              <w:jc w:val="left"/>
              <w:rPr>
                <w:rFonts w:eastAsia="Times New Roman" w:cs="Calibri"/>
                <w:b/>
                <w:bCs/>
                <w:color w:val="000000"/>
                <w:sz w:val="18"/>
                <w:szCs w:val="18"/>
                <w:lang w:val="en-US" w:eastAsia="fr-FR"/>
              </w:rPr>
            </w:pPr>
            <w:r>
              <w:rPr>
                <w:rFonts w:eastAsia="Times New Roman" w:cs="Calibri"/>
                <w:b/>
                <w:bCs/>
                <w:color w:val="000000"/>
                <w:sz w:val="18"/>
                <w:szCs w:val="18"/>
                <w:lang w:val="en-US" w:eastAsia="fr-FR"/>
              </w:rPr>
              <w:t>Temperature</w:t>
            </w:r>
          </w:p>
        </w:tc>
        <w:tc>
          <w:tcPr>
            <w:tcW w:w="1361" w:type="dxa"/>
            <w:tcBorders>
              <w:top w:val="nil"/>
              <w:left w:val="nil"/>
              <w:bottom w:val="single" w:sz="4" w:space="0" w:color="auto"/>
              <w:right w:val="single" w:sz="4" w:space="0" w:color="auto"/>
            </w:tcBorders>
            <w:shd w:val="clear" w:color="000000" w:fill="D9E1F2"/>
            <w:noWrap/>
            <w:vAlign w:val="center"/>
            <w:hideMark/>
          </w:tcPr>
          <w:p w14:paraId="048F218A" w14:textId="5ED71001" w:rsidR="007F24CA" w:rsidRPr="00A6423B" w:rsidRDefault="007F24CA" w:rsidP="007F24CA">
            <w:pPr>
              <w:spacing w:after="0" w:line="240" w:lineRule="auto"/>
              <w:jc w:val="left"/>
              <w:rPr>
                <w:rFonts w:eastAsia="Times New Roman" w:cs="Calibri"/>
                <w:b/>
                <w:bCs/>
                <w:color w:val="000000"/>
                <w:sz w:val="18"/>
                <w:szCs w:val="18"/>
                <w:lang w:val="en-US" w:eastAsia="fr-FR"/>
              </w:rPr>
            </w:pPr>
            <w:r>
              <w:rPr>
                <w:rFonts w:eastAsia="Times New Roman" w:cs="Calibri"/>
                <w:b/>
                <w:bCs/>
                <w:color w:val="000000"/>
                <w:sz w:val="18"/>
                <w:szCs w:val="18"/>
                <w:lang w:val="en-US" w:eastAsia="fr-FR"/>
              </w:rPr>
              <w:t>Heat</w:t>
            </w:r>
          </w:p>
        </w:tc>
        <w:tc>
          <w:tcPr>
            <w:tcW w:w="1361" w:type="dxa"/>
            <w:tcBorders>
              <w:top w:val="nil"/>
              <w:left w:val="nil"/>
              <w:bottom w:val="single" w:sz="4" w:space="0" w:color="auto"/>
              <w:right w:val="single" w:sz="4" w:space="0" w:color="auto"/>
            </w:tcBorders>
            <w:shd w:val="clear" w:color="000000" w:fill="D9E1F2"/>
            <w:noWrap/>
            <w:vAlign w:val="center"/>
            <w:hideMark/>
          </w:tcPr>
          <w:p w14:paraId="02064D3B" w14:textId="0B39C3E7" w:rsidR="007F24CA" w:rsidRPr="00A6423B" w:rsidRDefault="007F24CA" w:rsidP="007F24CA">
            <w:pPr>
              <w:spacing w:after="0" w:line="240" w:lineRule="auto"/>
              <w:jc w:val="left"/>
              <w:rPr>
                <w:rFonts w:eastAsia="Times New Roman" w:cs="Calibri"/>
                <w:b/>
                <w:bCs/>
                <w:color w:val="000000"/>
                <w:sz w:val="18"/>
                <w:szCs w:val="18"/>
                <w:lang w:val="en-US" w:eastAsia="fr-FR"/>
              </w:rPr>
            </w:pPr>
            <w:r>
              <w:rPr>
                <w:rFonts w:eastAsia="Times New Roman" w:cs="Calibri"/>
                <w:b/>
                <w:bCs/>
                <w:color w:val="000000"/>
                <w:sz w:val="18"/>
                <w:szCs w:val="18"/>
                <w:lang w:val="en-US" w:eastAsia="fr-FR"/>
              </w:rPr>
              <w:t>Storm</w:t>
            </w:r>
          </w:p>
        </w:tc>
        <w:tc>
          <w:tcPr>
            <w:tcW w:w="1361" w:type="dxa"/>
            <w:tcBorders>
              <w:top w:val="nil"/>
              <w:left w:val="nil"/>
              <w:bottom w:val="single" w:sz="4" w:space="0" w:color="auto"/>
              <w:right w:val="single" w:sz="4" w:space="0" w:color="auto"/>
            </w:tcBorders>
            <w:shd w:val="clear" w:color="000000" w:fill="D9E1F2"/>
            <w:noWrap/>
            <w:vAlign w:val="center"/>
            <w:hideMark/>
          </w:tcPr>
          <w:p w14:paraId="46CD7659" w14:textId="7272CA12" w:rsidR="007F24CA" w:rsidRPr="00A6423B" w:rsidRDefault="007F24CA" w:rsidP="007F24CA">
            <w:pPr>
              <w:spacing w:after="0" w:line="240" w:lineRule="auto"/>
              <w:jc w:val="left"/>
              <w:rPr>
                <w:rFonts w:eastAsia="Times New Roman" w:cs="Calibri"/>
                <w:b/>
                <w:bCs/>
                <w:color w:val="000000"/>
                <w:sz w:val="18"/>
                <w:szCs w:val="18"/>
                <w:lang w:val="en-US" w:eastAsia="fr-FR"/>
              </w:rPr>
            </w:pPr>
            <w:r>
              <w:rPr>
                <w:rFonts w:eastAsia="Times New Roman" w:cs="Calibri"/>
                <w:b/>
                <w:bCs/>
                <w:color w:val="000000"/>
                <w:sz w:val="18"/>
                <w:szCs w:val="18"/>
                <w:lang w:val="en-US" w:eastAsia="fr-FR"/>
              </w:rPr>
              <w:t>Extreme wind</w:t>
            </w:r>
          </w:p>
        </w:tc>
      </w:tr>
      <w:tr w:rsidR="003800C2" w:rsidRPr="00367C0B" w14:paraId="4FCF27D7" w14:textId="77777777" w:rsidTr="00EE557A">
        <w:trPr>
          <w:gridAfter w:val="4"/>
          <w:wAfter w:w="6755" w:type="dxa"/>
          <w:trHeight w:val="320"/>
        </w:trPr>
        <w:tc>
          <w:tcPr>
            <w:tcW w:w="2778" w:type="dxa"/>
            <w:tcBorders>
              <w:top w:val="nil"/>
              <w:left w:val="single" w:sz="4" w:space="0" w:color="auto"/>
              <w:bottom w:val="single" w:sz="4" w:space="0" w:color="auto"/>
              <w:right w:val="single" w:sz="4" w:space="0" w:color="auto"/>
            </w:tcBorders>
            <w:shd w:val="clear" w:color="auto" w:fill="auto"/>
            <w:noWrap/>
            <w:hideMark/>
          </w:tcPr>
          <w:p w14:paraId="27A25C9C" w14:textId="11F3B828" w:rsidR="003800C2" w:rsidRPr="00A6423B" w:rsidRDefault="003800C2" w:rsidP="003800C2">
            <w:pPr>
              <w:spacing w:after="0" w:line="240" w:lineRule="auto"/>
              <w:jc w:val="left"/>
              <w:rPr>
                <w:rFonts w:eastAsia="Times New Roman" w:cs="Calibri"/>
                <w:color w:val="000000"/>
                <w:sz w:val="18"/>
                <w:szCs w:val="18"/>
                <w:lang w:val="en-US" w:eastAsia="fr-FR"/>
              </w:rPr>
            </w:pPr>
            <w:r w:rsidRPr="00367C0B">
              <w:rPr>
                <w:lang w:val="en-US"/>
              </w:rPr>
              <w:t>Sangachal Terminal</w:t>
            </w:r>
          </w:p>
        </w:tc>
        <w:tc>
          <w:tcPr>
            <w:tcW w:w="1361" w:type="dxa"/>
            <w:tcBorders>
              <w:top w:val="nil"/>
              <w:left w:val="nil"/>
              <w:bottom w:val="single" w:sz="4" w:space="0" w:color="auto"/>
              <w:right w:val="single" w:sz="4" w:space="0" w:color="auto"/>
            </w:tcBorders>
            <w:shd w:val="thinDiagStripe" w:color="000000" w:fill="auto"/>
            <w:noWrap/>
          </w:tcPr>
          <w:p w14:paraId="1AC79AC0" w14:textId="04AE5FCD" w:rsidR="003800C2" w:rsidRPr="00A6423B" w:rsidRDefault="003800C2" w:rsidP="003800C2">
            <w:pPr>
              <w:spacing w:after="0" w:line="240" w:lineRule="auto"/>
              <w:jc w:val="right"/>
              <w:rPr>
                <w:rFonts w:eastAsia="Times New Roman" w:cs="Calibri"/>
                <w:color w:val="000000"/>
                <w:sz w:val="18"/>
                <w:szCs w:val="18"/>
                <w:lang w:val="en-US" w:eastAsia="fr-FR"/>
              </w:rPr>
            </w:pPr>
          </w:p>
        </w:tc>
        <w:tc>
          <w:tcPr>
            <w:tcW w:w="1361" w:type="dxa"/>
            <w:tcBorders>
              <w:top w:val="single" w:sz="4" w:space="0" w:color="auto"/>
              <w:left w:val="single" w:sz="4" w:space="0" w:color="auto"/>
              <w:bottom w:val="single" w:sz="4" w:space="0" w:color="auto"/>
              <w:right w:val="single" w:sz="4" w:space="0" w:color="auto"/>
            </w:tcBorders>
            <w:shd w:val="clear" w:color="000000" w:fill="FDC07C"/>
            <w:noWrap/>
            <w:hideMark/>
          </w:tcPr>
          <w:p w14:paraId="76887590" w14:textId="389B6E85" w:rsidR="003800C2" w:rsidRPr="00A6423B" w:rsidRDefault="003800C2" w:rsidP="003800C2">
            <w:pPr>
              <w:spacing w:after="0" w:line="240" w:lineRule="auto"/>
              <w:jc w:val="right"/>
              <w:rPr>
                <w:rFonts w:eastAsia="Times New Roman" w:cs="Calibri"/>
                <w:color w:val="000000"/>
                <w:sz w:val="18"/>
                <w:szCs w:val="18"/>
                <w:lang w:val="en-US" w:eastAsia="fr-FR"/>
              </w:rPr>
            </w:pPr>
            <w:r w:rsidRPr="00367C0B">
              <w:rPr>
                <w:lang w:val="en-US"/>
              </w:rPr>
              <w:t>3</w:t>
            </w:r>
          </w:p>
        </w:tc>
        <w:tc>
          <w:tcPr>
            <w:tcW w:w="1361" w:type="dxa"/>
            <w:tcBorders>
              <w:top w:val="single" w:sz="4" w:space="0" w:color="auto"/>
              <w:left w:val="single" w:sz="4" w:space="0" w:color="auto"/>
              <w:bottom w:val="single" w:sz="4" w:space="0" w:color="auto"/>
              <w:right w:val="single" w:sz="4" w:space="0" w:color="auto"/>
            </w:tcBorders>
            <w:shd w:val="clear" w:color="auto" w:fill="FDC07C"/>
            <w:noWrap/>
            <w:hideMark/>
          </w:tcPr>
          <w:p w14:paraId="6C130FE5" w14:textId="1929E7DA" w:rsidR="003800C2" w:rsidRPr="00A6423B" w:rsidRDefault="003800C2" w:rsidP="003800C2">
            <w:pPr>
              <w:spacing w:after="0" w:line="240" w:lineRule="auto"/>
              <w:jc w:val="right"/>
              <w:rPr>
                <w:rFonts w:eastAsia="Times New Roman" w:cs="Calibri"/>
                <w:color w:val="000000"/>
                <w:sz w:val="18"/>
                <w:szCs w:val="18"/>
                <w:lang w:val="en-US" w:eastAsia="fr-FR"/>
              </w:rPr>
            </w:pPr>
            <w:r w:rsidRPr="00367C0B">
              <w:rPr>
                <w:lang w:val="en-US"/>
              </w:rPr>
              <w:t>3</w:t>
            </w:r>
          </w:p>
        </w:tc>
        <w:tc>
          <w:tcPr>
            <w:tcW w:w="1361" w:type="dxa"/>
            <w:tcBorders>
              <w:top w:val="single" w:sz="4" w:space="0" w:color="auto"/>
              <w:left w:val="single" w:sz="4" w:space="0" w:color="auto"/>
              <w:bottom w:val="single" w:sz="4" w:space="0" w:color="auto"/>
              <w:right w:val="single" w:sz="4" w:space="0" w:color="auto"/>
            </w:tcBorders>
            <w:shd w:val="clear" w:color="auto" w:fill="F8696B"/>
            <w:noWrap/>
            <w:hideMark/>
          </w:tcPr>
          <w:p w14:paraId="3255A453" w14:textId="4165F8E4" w:rsidR="003800C2" w:rsidRPr="00A6423B" w:rsidRDefault="003800C2" w:rsidP="003800C2">
            <w:pPr>
              <w:spacing w:after="0" w:line="240" w:lineRule="auto"/>
              <w:jc w:val="right"/>
              <w:rPr>
                <w:rFonts w:eastAsia="Times New Roman" w:cs="Calibri"/>
                <w:color w:val="000000"/>
                <w:sz w:val="18"/>
                <w:szCs w:val="18"/>
                <w:lang w:val="en-US" w:eastAsia="fr-FR"/>
              </w:rPr>
            </w:pPr>
            <w:r w:rsidRPr="00367C0B">
              <w:rPr>
                <w:lang w:val="en-US"/>
              </w:rPr>
              <w:t>4</w:t>
            </w:r>
          </w:p>
        </w:tc>
        <w:tc>
          <w:tcPr>
            <w:tcW w:w="1361" w:type="dxa"/>
            <w:tcBorders>
              <w:top w:val="single" w:sz="4" w:space="0" w:color="auto"/>
              <w:left w:val="single" w:sz="4" w:space="0" w:color="auto"/>
              <w:bottom w:val="single" w:sz="4" w:space="0" w:color="auto"/>
              <w:right w:val="single" w:sz="4" w:space="0" w:color="auto"/>
            </w:tcBorders>
            <w:shd w:val="clear" w:color="auto" w:fill="FDC07C"/>
            <w:noWrap/>
            <w:hideMark/>
          </w:tcPr>
          <w:p w14:paraId="1A8DDFCB" w14:textId="1BCA4286" w:rsidR="003800C2" w:rsidRPr="00A6423B" w:rsidRDefault="003800C2" w:rsidP="003800C2">
            <w:pPr>
              <w:spacing w:after="0" w:line="240" w:lineRule="auto"/>
              <w:jc w:val="right"/>
              <w:rPr>
                <w:rFonts w:eastAsia="Times New Roman" w:cs="Calibri"/>
                <w:color w:val="000000"/>
                <w:sz w:val="18"/>
                <w:szCs w:val="18"/>
                <w:lang w:val="en-US" w:eastAsia="fr-FR"/>
              </w:rPr>
            </w:pPr>
            <w:r w:rsidRPr="00367C0B">
              <w:rPr>
                <w:lang w:val="en-US"/>
              </w:rPr>
              <w:t>3</w:t>
            </w:r>
          </w:p>
        </w:tc>
      </w:tr>
      <w:tr w:rsidR="003800C2" w:rsidRPr="00367C0B" w14:paraId="0C953C51" w14:textId="77777777" w:rsidTr="00EE557A">
        <w:trPr>
          <w:gridAfter w:val="4"/>
          <w:wAfter w:w="6755" w:type="dxa"/>
          <w:trHeight w:val="320"/>
        </w:trPr>
        <w:tc>
          <w:tcPr>
            <w:tcW w:w="2778" w:type="dxa"/>
            <w:tcBorders>
              <w:top w:val="nil"/>
              <w:left w:val="single" w:sz="4" w:space="0" w:color="auto"/>
              <w:bottom w:val="single" w:sz="4" w:space="0" w:color="auto"/>
              <w:right w:val="single" w:sz="4" w:space="0" w:color="auto"/>
            </w:tcBorders>
            <w:shd w:val="clear" w:color="auto" w:fill="auto"/>
            <w:noWrap/>
            <w:hideMark/>
          </w:tcPr>
          <w:p w14:paraId="59384CAE" w14:textId="7F262B27" w:rsidR="003800C2" w:rsidRPr="00A6423B" w:rsidRDefault="003800C2" w:rsidP="003800C2">
            <w:pPr>
              <w:spacing w:after="0" w:line="240" w:lineRule="auto"/>
              <w:jc w:val="left"/>
              <w:rPr>
                <w:rFonts w:eastAsia="Times New Roman" w:cs="Calibri"/>
                <w:color w:val="000000"/>
                <w:sz w:val="18"/>
                <w:szCs w:val="18"/>
                <w:lang w:val="en-US" w:eastAsia="fr-FR"/>
              </w:rPr>
            </w:pPr>
            <w:proofErr w:type="spellStart"/>
            <w:r w:rsidRPr="00367C0B">
              <w:rPr>
                <w:lang w:val="en-US"/>
              </w:rPr>
              <w:t>Dubendi</w:t>
            </w:r>
            <w:proofErr w:type="spellEnd"/>
            <w:r w:rsidRPr="00367C0B">
              <w:rPr>
                <w:lang w:val="en-US"/>
              </w:rPr>
              <w:t xml:space="preserve"> Terminal</w:t>
            </w:r>
          </w:p>
        </w:tc>
        <w:tc>
          <w:tcPr>
            <w:tcW w:w="1361" w:type="dxa"/>
            <w:tcBorders>
              <w:top w:val="nil"/>
              <w:left w:val="nil"/>
              <w:bottom w:val="single" w:sz="4" w:space="0" w:color="auto"/>
              <w:right w:val="single" w:sz="4" w:space="0" w:color="auto"/>
            </w:tcBorders>
            <w:shd w:val="thinDiagStripe" w:color="000000" w:fill="auto"/>
            <w:noWrap/>
          </w:tcPr>
          <w:p w14:paraId="5FE2866D" w14:textId="309DE73B" w:rsidR="003800C2" w:rsidRPr="00A6423B" w:rsidRDefault="003800C2" w:rsidP="003800C2">
            <w:pPr>
              <w:spacing w:after="0" w:line="240" w:lineRule="auto"/>
              <w:jc w:val="right"/>
              <w:rPr>
                <w:rFonts w:eastAsia="Times New Roman" w:cs="Calibri"/>
                <w:color w:val="000000"/>
                <w:sz w:val="18"/>
                <w:szCs w:val="18"/>
                <w:lang w:val="en-US" w:eastAsia="fr-FR"/>
              </w:rPr>
            </w:pPr>
          </w:p>
        </w:tc>
        <w:tc>
          <w:tcPr>
            <w:tcW w:w="1361" w:type="dxa"/>
            <w:tcBorders>
              <w:top w:val="single" w:sz="4" w:space="0" w:color="auto"/>
              <w:left w:val="single" w:sz="4" w:space="0" w:color="auto"/>
              <w:bottom w:val="single" w:sz="4" w:space="0" w:color="auto"/>
              <w:right w:val="single" w:sz="4" w:space="0" w:color="auto"/>
            </w:tcBorders>
            <w:shd w:val="clear" w:color="000000" w:fill="FDC07C"/>
            <w:noWrap/>
            <w:hideMark/>
          </w:tcPr>
          <w:p w14:paraId="104BEDED" w14:textId="390D76FE" w:rsidR="003800C2" w:rsidRPr="00A6423B" w:rsidRDefault="003800C2" w:rsidP="003800C2">
            <w:pPr>
              <w:spacing w:after="0" w:line="240" w:lineRule="auto"/>
              <w:jc w:val="right"/>
              <w:rPr>
                <w:rFonts w:eastAsia="Times New Roman" w:cs="Calibri"/>
                <w:color w:val="000000"/>
                <w:sz w:val="18"/>
                <w:szCs w:val="18"/>
                <w:lang w:val="en-US" w:eastAsia="fr-FR"/>
              </w:rPr>
            </w:pPr>
            <w:r w:rsidRPr="00367C0B">
              <w:rPr>
                <w:lang w:val="en-US"/>
              </w:rPr>
              <w:t>3</w:t>
            </w:r>
          </w:p>
        </w:tc>
        <w:tc>
          <w:tcPr>
            <w:tcW w:w="1361" w:type="dxa"/>
            <w:tcBorders>
              <w:top w:val="single" w:sz="4" w:space="0" w:color="auto"/>
              <w:left w:val="single" w:sz="4" w:space="0" w:color="auto"/>
              <w:bottom w:val="single" w:sz="4" w:space="0" w:color="auto"/>
              <w:right w:val="single" w:sz="4" w:space="0" w:color="auto"/>
            </w:tcBorders>
            <w:shd w:val="clear" w:color="auto" w:fill="FDC07C"/>
            <w:noWrap/>
            <w:hideMark/>
          </w:tcPr>
          <w:p w14:paraId="4BF346E8" w14:textId="4F9D21FC" w:rsidR="003800C2" w:rsidRPr="00A6423B" w:rsidRDefault="003800C2" w:rsidP="003800C2">
            <w:pPr>
              <w:spacing w:after="0" w:line="240" w:lineRule="auto"/>
              <w:jc w:val="right"/>
              <w:rPr>
                <w:rFonts w:eastAsia="Times New Roman" w:cs="Calibri"/>
                <w:color w:val="000000"/>
                <w:sz w:val="18"/>
                <w:szCs w:val="18"/>
                <w:lang w:val="en-US" w:eastAsia="fr-FR"/>
              </w:rPr>
            </w:pPr>
            <w:r w:rsidRPr="00367C0B">
              <w:rPr>
                <w:lang w:val="en-US"/>
              </w:rPr>
              <w:t>3</w:t>
            </w:r>
          </w:p>
        </w:tc>
        <w:tc>
          <w:tcPr>
            <w:tcW w:w="1361" w:type="dxa"/>
            <w:tcBorders>
              <w:top w:val="single" w:sz="4" w:space="0" w:color="auto"/>
              <w:left w:val="single" w:sz="4" w:space="0" w:color="auto"/>
              <w:bottom w:val="single" w:sz="4" w:space="0" w:color="auto"/>
              <w:right w:val="single" w:sz="4" w:space="0" w:color="auto"/>
            </w:tcBorders>
            <w:shd w:val="clear" w:color="auto" w:fill="F8696B"/>
            <w:noWrap/>
            <w:hideMark/>
          </w:tcPr>
          <w:p w14:paraId="4EF419C2" w14:textId="2312936E" w:rsidR="003800C2" w:rsidRPr="00A6423B" w:rsidRDefault="003800C2" w:rsidP="003800C2">
            <w:pPr>
              <w:spacing w:after="0" w:line="240" w:lineRule="auto"/>
              <w:jc w:val="right"/>
              <w:rPr>
                <w:rFonts w:eastAsia="Times New Roman" w:cs="Calibri"/>
                <w:color w:val="000000"/>
                <w:sz w:val="18"/>
                <w:szCs w:val="18"/>
                <w:lang w:val="en-US" w:eastAsia="fr-FR"/>
              </w:rPr>
            </w:pPr>
            <w:r w:rsidRPr="00367C0B">
              <w:rPr>
                <w:lang w:val="en-US"/>
              </w:rPr>
              <w:t>4</w:t>
            </w:r>
          </w:p>
        </w:tc>
        <w:tc>
          <w:tcPr>
            <w:tcW w:w="1361" w:type="dxa"/>
            <w:tcBorders>
              <w:top w:val="single" w:sz="4" w:space="0" w:color="auto"/>
              <w:left w:val="single" w:sz="4" w:space="0" w:color="auto"/>
              <w:bottom w:val="single" w:sz="4" w:space="0" w:color="auto"/>
              <w:right w:val="single" w:sz="4" w:space="0" w:color="auto"/>
            </w:tcBorders>
            <w:shd w:val="clear" w:color="auto" w:fill="FDC07C"/>
            <w:noWrap/>
            <w:hideMark/>
          </w:tcPr>
          <w:p w14:paraId="058CFB66" w14:textId="3B96A144" w:rsidR="003800C2" w:rsidRPr="00A6423B" w:rsidRDefault="003800C2" w:rsidP="003800C2">
            <w:pPr>
              <w:spacing w:after="0" w:line="240" w:lineRule="auto"/>
              <w:jc w:val="right"/>
              <w:rPr>
                <w:rFonts w:eastAsia="Times New Roman" w:cs="Calibri"/>
                <w:color w:val="000000"/>
                <w:sz w:val="18"/>
                <w:szCs w:val="18"/>
                <w:lang w:val="en-US" w:eastAsia="fr-FR"/>
              </w:rPr>
            </w:pPr>
            <w:r w:rsidRPr="00367C0B">
              <w:rPr>
                <w:lang w:val="en-US"/>
              </w:rPr>
              <w:t>3</w:t>
            </w:r>
          </w:p>
        </w:tc>
      </w:tr>
      <w:tr w:rsidR="003800C2" w:rsidRPr="00367C0B" w14:paraId="24530657" w14:textId="77777777" w:rsidTr="00EE557A">
        <w:trPr>
          <w:gridAfter w:val="4"/>
          <w:wAfter w:w="6755" w:type="dxa"/>
          <w:trHeight w:val="320"/>
        </w:trPr>
        <w:tc>
          <w:tcPr>
            <w:tcW w:w="2778" w:type="dxa"/>
            <w:tcBorders>
              <w:top w:val="nil"/>
              <w:left w:val="single" w:sz="4" w:space="0" w:color="auto"/>
              <w:bottom w:val="single" w:sz="4" w:space="0" w:color="auto"/>
              <w:right w:val="single" w:sz="4" w:space="0" w:color="auto"/>
            </w:tcBorders>
            <w:shd w:val="clear" w:color="auto" w:fill="auto"/>
            <w:noWrap/>
            <w:hideMark/>
          </w:tcPr>
          <w:p w14:paraId="5437B51C" w14:textId="6FF9ED8F" w:rsidR="003800C2" w:rsidRPr="00A6423B" w:rsidRDefault="003800C2" w:rsidP="003800C2">
            <w:pPr>
              <w:spacing w:after="0" w:line="240" w:lineRule="auto"/>
              <w:jc w:val="left"/>
              <w:rPr>
                <w:rFonts w:eastAsia="Times New Roman" w:cs="Calibri"/>
                <w:color w:val="000000"/>
                <w:sz w:val="18"/>
                <w:szCs w:val="18"/>
                <w:lang w:val="en-US" w:eastAsia="fr-FR"/>
              </w:rPr>
            </w:pPr>
            <w:proofErr w:type="spellStart"/>
            <w:r w:rsidRPr="00367C0B">
              <w:rPr>
                <w:lang w:val="en-US"/>
              </w:rPr>
              <w:t>Zygh</w:t>
            </w:r>
            <w:proofErr w:type="spellEnd"/>
            <w:r w:rsidRPr="00367C0B">
              <w:rPr>
                <w:lang w:val="en-US"/>
              </w:rPr>
              <w:t xml:space="preserve"> Shipyard</w:t>
            </w:r>
          </w:p>
        </w:tc>
        <w:tc>
          <w:tcPr>
            <w:tcW w:w="1361" w:type="dxa"/>
            <w:tcBorders>
              <w:top w:val="nil"/>
              <w:left w:val="nil"/>
              <w:bottom w:val="single" w:sz="4" w:space="0" w:color="auto"/>
              <w:right w:val="single" w:sz="4" w:space="0" w:color="auto"/>
            </w:tcBorders>
            <w:shd w:val="thinDiagStripe" w:color="000000" w:fill="auto"/>
            <w:noWrap/>
          </w:tcPr>
          <w:p w14:paraId="782BCA29" w14:textId="34BC9F45" w:rsidR="003800C2" w:rsidRPr="00A6423B" w:rsidRDefault="003800C2" w:rsidP="003800C2">
            <w:pPr>
              <w:spacing w:after="0" w:line="240" w:lineRule="auto"/>
              <w:jc w:val="right"/>
              <w:rPr>
                <w:rFonts w:eastAsia="Times New Roman" w:cs="Calibri"/>
                <w:color w:val="000000"/>
                <w:sz w:val="18"/>
                <w:szCs w:val="18"/>
                <w:lang w:val="en-US" w:eastAsia="fr-FR"/>
              </w:rPr>
            </w:pPr>
          </w:p>
        </w:tc>
        <w:tc>
          <w:tcPr>
            <w:tcW w:w="1361" w:type="dxa"/>
            <w:tcBorders>
              <w:top w:val="single" w:sz="4" w:space="0" w:color="auto"/>
              <w:left w:val="single" w:sz="4" w:space="0" w:color="auto"/>
              <w:bottom w:val="single" w:sz="4" w:space="0" w:color="auto"/>
              <w:right w:val="single" w:sz="4" w:space="0" w:color="auto"/>
            </w:tcBorders>
            <w:shd w:val="clear" w:color="000000" w:fill="FDC07C"/>
            <w:noWrap/>
            <w:hideMark/>
          </w:tcPr>
          <w:p w14:paraId="42F782AD" w14:textId="7C6B222A" w:rsidR="003800C2" w:rsidRPr="00A6423B" w:rsidRDefault="003800C2" w:rsidP="003800C2">
            <w:pPr>
              <w:spacing w:after="0" w:line="240" w:lineRule="auto"/>
              <w:jc w:val="right"/>
              <w:rPr>
                <w:rFonts w:eastAsia="Times New Roman" w:cs="Calibri"/>
                <w:color w:val="000000"/>
                <w:sz w:val="18"/>
                <w:szCs w:val="18"/>
                <w:lang w:val="en-US" w:eastAsia="fr-FR"/>
              </w:rPr>
            </w:pPr>
            <w:r w:rsidRPr="00367C0B">
              <w:rPr>
                <w:lang w:val="en-US"/>
              </w:rPr>
              <w:t>3</w:t>
            </w:r>
          </w:p>
        </w:tc>
        <w:tc>
          <w:tcPr>
            <w:tcW w:w="1361" w:type="dxa"/>
            <w:tcBorders>
              <w:top w:val="single" w:sz="4" w:space="0" w:color="auto"/>
              <w:left w:val="single" w:sz="4" w:space="0" w:color="auto"/>
              <w:bottom w:val="single" w:sz="4" w:space="0" w:color="auto"/>
              <w:right w:val="single" w:sz="4" w:space="0" w:color="auto"/>
            </w:tcBorders>
            <w:shd w:val="clear" w:color="auto" w:fill="FDC07C"/>
            <w:noWrap/>
            <w:hideMark/>
          </w:tcPr>
          <w:p w14:paraId="2C5D0363" w14:textId="71C2D0E8" w:rsidR="003800C2" w:rsidRPr="00A6423B" w:rsidRDefault="003800C2" w:rsidP="003800C2">
            <w:pPr>
              <w:spacing w:after="0" w:line="240" w:lineRule="auto"/>
              <w:jc w:val="right"/>
              <w:rPr>
                <w:rFonts w:eastAsia="Times New Roman" w:cs="Calibri"/>
                <w:color w:val="000000"/>
                <w:sz w:val="18"/>
                <w:szCs w:val="18"/>
                <w:lang w:val="en-US" w:eastAsia="fr-FR"/>
              </w:rPr>
            </w:pPr>
            <w:r w:rsidRPr="00367C0B">
              <w:rPr>
                <w:lang w:val="en-US"/>
              </w:rPr>
              <w:t>3</w:t>
            </w:r>
          </w:p>
        </w:tc>
        <w:tc>
          <w:tcPr>
            <w:tcW w:w="1361" w:type="dxa"/>
            <w:tcBorders>
              <w:top w:val="single" w:sz="4" w:space="0" w:color="auto"/>
              <w:left w:val="single" w:sz="4" w:space="0" w:color="auto"/>
              <w:bottom w:val="single" w:sz="4" w:space="0" w:color="auto"/>
              <w:right w:val="single" w:sz="4" w:space="0" w:color="auto"/>
            </w:tcBorders>
            <w:shd w:val="clear" w:color="auto" w:fill="F8696B"/>
            <w:noWrap/>
            <w:hideMark/>
          </w:tcPr>
          <w:p w14:paraId="0757ACF5" w14:textId="690B3FB9" w:rsidR="003800C2" w:rsidRPr="00A6423B" w:rsidRDefault="003800C2" w:rsidP="003800C2">
            <w:pPr>
              <w:spacing w:after="0" w:line="240" w:lineRule="auto"/>
              <w:jc w:val="right"/>
              <w:rPr>
                <w:rFonts w:eastAsia="Times New Roman" w:cs="Calibri"/>
                <w:color w:val="000000"/>
                <w:sz w:val="18"/>
                <w:szCs w:val="18"/>
                <w:lang w:val="en-US" w:eastAsia="fr-FR"/>
              </w:rPr>
            </w:pPr>
            <w:r w:rsidRPr="00367C0B">
              <w:rPr>
                <w:lang w:val="en-US"/>
              </w:rPr>
              <w:t>4</w:t>
            </w:r>
          </w:p>
        </w:tc>
        <w:tc>
          <w:tcPr>
            <w:tcW w:w="1361" w:type="dxa"/>
            <w:tcBorders>
              <w:top w:val="single" w:sz="4" w:space="0" w:color="auto"/>
              <w:left w:val="single" w:sz="4" w:space="0" w:color="auto"/>
              <w:bottom w:val="single" w:sz="4" w:space="0" w:color="auto"/>
              <w:right w:val="single" w:sz="4" w:space="0" w:color="auto"/>
            </w:tcBorders>
            <w:shd w:val="clear" w:color="auto" w:fill="FDC07C"/>
            <w:noWrap/>
            <w:hideMark/>
          </w:tcPr>
          <w:p w14:paraId="4992EB20" w14:textId="4BE36342" w:rsidR="003800C2" w:rsidRPr="00A6423B" w:rsidRDefault="003800C2" w:rsidP="003800C2">
            <w:pPr>
              <w:spacing w:after="0" w:line="240" w:lineRule="auto"/>
              <w:jc w:val="right"/>
              <w:rPr>
                <w:rFonts w:eastAsia="Times New Roman" w:cs="Calibri"/>
                <w:color w:val="000000"/>
                <w:sz w:val="18"/>
                <w:szCs w:val="18"/>
                <w:lang w:val="en-US" w:eastAsia="fr-FR"/>
              </w:rPr>
            </w:pPr>
            <w:r w:rsidRPr="00367C0B">
              <w:rPr>
                <w:lang w:val="en-US"/>
              </w:rPr>
              <w:t>3</w:t>
            </w:r>
          </w:p>
        </w:tc>
      </w:tr>
      <w:tr w:rsidR="003800C2" w:rsidRPr="00367C0B" w14:paraId="12282740" w14:textId="77777777" w:rsidTr="00EE557A">
        <w:trPr>
          <w:gridAfter w:val="4"/>
          <w:wAfter w:w="6755" w:type="dxa"/>
          <w:trHeight w:val="320"/>
        </w:trPr>
        <w:tc>
          <w:tcPr>
            <w:tcW w:w="2778" w:type="dxa"/>
            <w:tcBorders>
              <w:top w:val="nil"/>
              <w:left w:val="single" w:sz="4" w:space="0" w:color="auto"/>
              <w:bottom w:val="single" w:sz="4" w:space="0" w:color="auto"/>
              <w:right w:val="single" w:sz="4" w:space="0" w:color="auto"/>
            </w:tcBorders>
            <w:shd w:val="clear" w:color="auto" w:fill="auto"/>
            <w:noWrap/>
            <w:hideMark/>
          </w:tcPr>
          <w:p w14:paraId="2026F7AC" w14:textId="4738A36B" w:rsidR="003800C2" w:rsidRPr="00A6423B" w:rsidRDefault="003800C2" w:rsidP="003800C2">
            <w:pPr>
              <w:spacing w:after="0" w:line="240" w:lineRule="auto"/>
              <w:jc w:val="left"/>
              <w:rPr>
                <w:rFonts w:eastAsia="Times New Roman" w:cs="Calibri"/>
                <w:color w:val="000000"/>
                <w:sz w:val="18"/>
                <w:szCs w:val="18"/>
                <w:lang w:val="en-US" w:eastAsia="fr-FR"/>
              </w:rPr>
            </w:pPr>
            <w:r w:rsidRPr="00367C0B">
              <w:rPr>
                <w:lang w:val="en-US"/>
              </w:rPr>
              <w:t>Aktau port</w:t>
            </w:r>
          </w:p>
        </w:tc>
        <w:tc>
          <w:tcPr>
            <w:tcW w:w="1361" w:type="dxa"/>
            <w:tcBorders>
              <w:top w:val="nil"/>
              <w:left w:val="nil"/>
              <w:bottom w:val="single" w:sz="4" w:space="0" w:color="auto"/>
              <w:right w:val="single" w:sz="4" w:space="0" w:color="auto"/>
            </w:tcBorders>
            <w:shd w:val="thinDiagStripe" w:color="000000" w:fill="auto"/>
            <w:noWrap/>
          </w:tcPr>
          <w:p w14:paraId="11F84094" w14:textId="4336F5EE" w:rsidR="003800C2" w:rsidRPr="00A6423B" w:rsidRDefault="003800C2" w:rsidP="003800C2">
            <w:pPr>
              <w:spacing w:after="0" w:line="240" w:lineRule="auto"/>
              <w:jc w:val="right"/>
              <w:rPr>
                <w:rFonts w:eastAsia="Times New Roman" w:cs="Calibri"/>
                <w:color w:val="000000"/>
                <w:sz w:val="18"/>
                <w:szCs w:val="18"/>
                <w:lang w:val="en-US" w:eastAsia="fr-FR"/>
              </w:rPr>
            </w:pPr>
          </w:p>
        </w:tc>
        <w:tc>
          <w:tcPr>
            <w:tcW w:w="1361" w:type="dxa"/>
            <w:tcBorders>
              <w:top w:val="single" w:sz="4" w:space="0" w:color="auto"/>
              <w:left w:val="single" w:sz="4" w:space="0" w:color="auto"/>
              <w:bottom w:val="single" w:sz="4" w:space="0" w:color="auto"/>
              <w:right w:val="single" w:sz="4" w:space="0" w:color="auto"/>
            </w:tcBorders>
            <w:shd w:val="clear" w:color="000000" w:fill="FDC07C"/>
            <w:noWrap/>
            <w:hideMark/>
          </w:tcPr>
          <w:p w14:paraId="7BD21EFD" w14:textId="242552B9" w:rsidR="003800C2" w:rsidRPr="00A6423B" w:rsidRDefault="003800C2" w:rsidP="003800C2">
            <w:pPr>
              <w:spacing w:after="0" w:line="240" w:lineRule="auto"/>
              <w:jc w:val="right"/>
              <w:rPr>
                <w:rFonts w:eastAsia="Times New Roman" w:cs="Calibri"/>
                <w:color w:val="000000"/>
                <w:sz w:val="18"/>
                <w:szCs w:val="18"/>
                <w:lang w:val="en-US" w:eastAsia="fr-FR"/>
              </w:rPr>
            </w:pPr>
            <w:r w:rsidRPr="00367C0B">
              <w:rPr>
                <w:lang w:val="en-US"/>
              </w:rPr>
              <w:t>3</w:t>
            </w:r>
          </w:p>
        </w:tc>
        <w:tc>
          <w:tcPr>
            <w:tcW w:w="1361" w:type="dxa"/>
            <w:tcBorders>
              <w:top w:val="single" w:sz="4" w:space="0" w:color="auto"/>
              <w:left w:val="single" w:sz="4" w:space="0" w:color="auto"/>
              <w:bottom w:val="single" w:sz="4" w:space="0" w:color="auto"/>
              <w:right w:val="single" w:sz="4" w:space="0" w:color="auto"/>
            </w:tcBorders>
            <w:shd w:val="clear" w:color="auto" w:fill="FDC07C"/>
            <w:noWrap/>
            <w:hideMark/>
          </w:tcPr>
          <w:p w14:paraId="46FBDD13" w14:textId="17031A3F" w:rsidR="003800C2" w:rsidRPr="00A6423B" w:rsidRDefault="003800C2" w:rsidP="003800C2">
            <w:pPr>
              <w:spacing w:after="0" w:line="240" w:lineRule="auto"/>
              <w:jc w:val="right"/>
              <w:rPr>
                <w:rFonts w:eastAsia="Times New Roman" w:cs="Calibri"/>
                <w:color w:val="000000"/>
                <w:sz w:val="18"/>
                <w:szCs w:val="18"/>
                <w:lang w:val="en-US" w:eastAsia="fr-FR"/>
              </w:rPr>
            </w:pPr>
            <w:r w:rsidRPr="00367C0B">
              <w:rPr>
                <w:lang w:val="en-US"/>
              </w:rPr>
              <w:t>3</w:t>
            </w:r>
          </w:p>
        </w:tc>
        <w:tc>
          <w:tcPr>
            <w:tcW w:w="1361" w:type="dxa"/>
            <w:tcBorders>
              <w:top w:val="single" w:sz="4" w:space="0" w:color="auto"/>
              <w:left w:val="single" w:sz="4" w:space="0" w:color="auto"/>
              <w:bottom w:val="single" w:sz="4" w:space="0" w:color="auto"/>
              <w:right w:val="single" w:sz="4" w:space="0" w:color="auto"/>
            </w:tcBorders>
            <w:shd w:val="clear" w:color="auto" w:fill="F8696B"/>
            <w:noWrap/>
            <w:hideMark/>
          </w:tcPr>
          <w:p w14:paraId="475D03D5" w14:textId="00275C8B" w:rsidR="003800C2" w:rsidRPr="00A6423B" w:rsidRDefault="003800C2" w:rsidP="003800C2">
            <w:pPr>
              <w:spacing w:after="0" w:line="240" w:lineRule="auto"/>
              <w:jc w:val="right"/>
              <w:rPr>
                <w:rFonts w:eastAsia="Times New Roman" w:cs="Calibri"/>
                <w:color w:val="000000"/>
                <w:sz w:val="18"/>
                <w:szCs w:val="18"/>
                <w:lang w:val="en-US" w:eastAsia="fr-FR"/>
              </w:rPr>
            </w:pPr>
            <w:r w:rsidRPr="00367C0B">
              <w:rPr>
                <w:lang w:val="en-US"/>
              </w:rPr>
              <w:t>4</w:t>
            </w:r>
          </w:p>
        </w:tc>
        <w:tc>
          <w:tcPr>
            <w:tcW w:w="1361" w:type="dxa"/>
            <w:tcBorders>
              <w:top w:val="single" w:sz="4" w:space="0" w:color="auto"/>
              <w:left w:val="single" w:sz="4" w:space="0" w:color="auto"/>
              <w:bottom w:val="single" w:sz="4" w:space="0" w:color="auto"/>
              <w:right w:val="single" w:sz="4" w:space="0" w:color="auto"/>
            </w:tcBorders>
            <w:shd w:val="clear" w:color="auto" w:fill="FDC07C"/>
            <w:noWrap/>
            <w:hideMark/>
          </w:tcPr>
          <w:p w14:paraId="5668EBBA" w14:textId="42266A2A" w:rsidR="003800C2" w:rsidRPr="00A6423B" w:rsidRDefault="003800C2" w:rsidP="003800C2">
            <w:pPr>
              <w:spacing w:after="0" w:line="240" w:lineRule="auto"/>
              <w:jc w:val="right"/>
              <w:rPr>
                <w:rFonts w:eastAsia="Times New Roman" w:cs="Calibri"/>
                <w:color w:val="000000"/>
                <w:sz w:val="18"/>
                <w:szCs w:val="18"/>
                <w:lang w:val="en-US" w:eastAsia="fr-FR"/>
              </w:rPr>
            </w:pPr>
            <w:r w:rsidRPr="00367C0B">
              <w:rPr>
                <w:lang w:val="en-US"/>
              </w:rPr>
              <w:t>3</w:t>
            </w:r>
          </w:p>
        </w:tc>
      </w:tr>
      <w:tr w:rsidR="003800C2" w:rsidRPr="00367C0B" w14:paraId="4A6253CB" w14:textId="77777777" w:rsidTr="00EE557A">
        <w:trPr>
          <w:gridAfter w:val="4"/>
          <w:wAfter w:w="6755" w:type="dxa"/>
          <w:trHeight w:val="330"/>
        </w:trPr>
        <w:tc>
          <w:tcPr>
            <w:tcW w:w="2778" w:type="dxa"/>
            <w:tcBorders>
              <w:top w:val="nil"/>
              <w:left w:val="single" w:sz="4" w:space="0" w:color="auto"/>
              <w:bottom w:val="single" w:sz="4" w:space="0" w:color="auto"/>
              <w:right w:val="single" w:sz="4" w:space="0" w:color="auto"/>
            </w:tcBorders>
            <w:shd w:val="clear" w:color="auto" w:fill="auto"/>
            <w:noWrap/>
            <w:hideMark/>
          </w:tcPr>
          <w:p w14:paraId="29766C36" w14:textId="068B4A4C" w:rsidR="003800C2" w:rsidRPr="00A6423B" w:rsidRDefault="003800C2" w:rsidP="003800C2">
            <w:pPr>
              <w:spacing w:after="0" w:line="240" w:lineRule="auto"/>
              <w:jc w:val="left"/>
              <w:rPr>
                <w:rFonts w:eastAsia="Times New Roman" w:cs="Calibri"/>
                <w:color w:val="000000"/>
                <w:sz w:val="18"/>
                <w:szCs w:val="18"/>
                <w:lang w:val="en-US" w:eastAsia="fr-FR"/>
              </w:rPr>
            </w:pPr>
            <w:r w:rsidRPr="00367C0B">
              <w:rPr>
                <w:rFonts w:eastAsia="Times New Roman" w:cs="Calibri"/>
                <w:color w:val="000000"/>
                <w:lang w:val="en-US" w:eastAsia="fr-FR"/>
              </w:rPr>
              <w:t>Turkmenistan Port</w:t>
            </w:r>
          </w:p>
        </w:tc>
        <w:tc>
          <w:tcPr>
            <w:tcW w:w="1361" w:type="dxa"/>
            <w:tcBorders>
              <w:top w:val="nil"/>
              <w:left w:val="nil"/>
              <w:bottom w:val="single" w:sz="4" w:space="0" w:color="auto"/>
              <w:right w:val="single" w:sz="4" w:space="0" w:color="auto"/>
            </w:tcBorders>
            <w:shd w:val="thinDiagStripe" w:color="000000" w:fill="auto"/>
            <w:noWrap/>
          </w:tcPr>
          <w:p w14:paraId="3F2222AB" w14:textId="2E857976" w:rsidR="003800C2" w:rsidRPr="00A6423B" w:rsidRDefault="003800C2" w:rsidP="003800C2">
            <w:pPr>
              <w:spacing w:after="0" w:line="240" w:lineRule="auto"/>
              <w:jc w:val="right"/>
              <w:rPr>
                <w:rFonts w:eastAsia="Times New Roman" w:cs="Calibri"/>
                <w:color w:val="000000"/>
                <w:sz w:val="18"/>
                <w:szCs w:val="18"/>
                <w:lang w:val="en-US" w:eastAsia="fr-FR"/>
              </w:rPr>
            </w:pPr>
          </w:p>
        </w:tc>
        <w:tc>
          <w:tcPr>
            <w:tcW w:w="1361" w:type="dxa"/>
            <w:tcBorders>
              <w:top w:val="single" w:sz="4" w:space="0" w:color="auto"/>
              <w:left w:val="single" w:sz="4" w:space="0" w:color="auto"/>
              <w:bottom w:val="single" w:sz="4" w:space="0" w:color="auto"/>
              <w:right w:val="single" w:sz="4" w:space="0" w:color="auto"/>
            </w:tcBorders>
            <w:shd w:val="clear" w:color="000000" w:fill="FDC07C"/>
            <w:noWrap/>
            <w:hideMark/>
          </w:tcPr>
          <w:p w14:paraId="1B98C5CD" w14:textId="2C356E89" w:rsidR="003800C2" w:rsidRPr="00A6423B" w:rsidRDefault="003800C2" w:rsidP="003800C2">
            <w:pPr>
              <w:spacing w:after="0" w:line="240" w:lineRule="auto"/>
              <w:jc w:val="right"/>
              <w:rPr>
                <w:rFonts w:eastAsia="Times New Roman" w:cs="Calibri"/>
                <w:color w:val="000000"/>
                <w:sz w:val="18"/>
                <w:szCs w:val="18"/>
                <w:lang w:val="en-US" w:eastAsia="fr-FR"/>
              </w:rPr>
            </w:pPr>
            <w:r w:rsidRPr="00367C0B">
              <w:rPr>
                <w:lang w:val="en-US"/>
              </w:rPr>
              <w:t>3</w:t>
            </w:r>
          </w:p>
        </w:tc>
        <w:tc>
          <w:tcPr>
            <w:tcW w:w="1361" w:type="dxa"/>
            <w:tcBorders>
              <w:top w:val="single" w:sz="4" w:space="0" w:color="auto"/>
              <w:left w:val="single" w:sz="4" w:space="0" w:color="auto"/>
              <w:bottom w:val="single" w:sz="4" w:space="0" w:color="auto"/>
              <w:right w:val="single" w:sz="4" w:space="0" w:color="auto"/>
            </w:tcBorders>
            <w:shd w:val="clear" w:color="auto" w:fill="FDC07C"/>
            <w:noWrap/>
            <w:hideMark/>
          </w:tcPr>
          <w:p w14:paraId="4EE90E7B" w14:textId="1FD786C4" w:rsidR="003800C2" w:rsidRPr="00A6423B" w:rsidRDefault="003800C2" w:rsidP="003800C2">
            <w:pPr>
              <w:spacing w:after="0" w:line="240" w:lineRule="auto"/>
              <w:jc w:val="right"/>
              <w:rPr>
                <w:rFonts w:eastAsia="Times New Roman" w:cs="Calibri"/>
                <w:color w:val="000000"/>
                <w:sz w:val="18"/>
                <w:szCs w:val="18"/>
                <w:lang w:val="en-US" w:eastAsia="fr-FR"/>
              </w:rPr>
            </w:pPr>
            <w:r w:rsidRPr="00367C0B">
              <w:rPr>
                <w:lang w:val="en-US"/>
              </w:rPr>
              <w:t>3</w:t>
            </w:r>
          </w:p>
        </w:tc>
        <w:tc>
          <w:tcPr>
            <w:tcW w:w="1361" w:type="dxa"/>
            <w:tcBorders>
              <w:top w:val="single" w:sz="4" w:space="0" w:color="auto"/>
              <w:left w:val="single" w:sz="4" w:space="0" w:color="auto"/>
              <w:bottom w:val="single" w:sz="4" w:space="0" w:color="auto"/>
              <w:right w:val="single" w:sz="4" w:space="0" w:color="auto"/>
            </w:tcBorders>
            <w:shd w:val="clear" w:color="000000" w:fill="F8696B"/>
            <w:noWrap/>
            <w:hideMark/>
          </w:tcPr>
          <w:p w14:paraId="5DDD69AF" w14:textId="542FB79E" w:rsidR="003800C2" w:rsidRPr="00A6423B" w:rsidRDefault="003800C2" w:rsidP="003800C2">
            <w:pPr>
              <w:spacing w:after="0" w:line="240" w:lineRule="auto"/>
              <w:jc w:val="right"/>
              <w:rPr>
                <w:rFonts w:eastAsia="Times New Roman" w:cs="Calibri"/>
                <w:color w:val="000000"/>
                <w:sz w:val="18"/>
                <w:szCs w:val="18"/>
                <w:lang w:val="en-US" w:eastAsia="fr-FR"/>
              </w:rPr>
            </w:pPr>
            <w:r w:rsidRPr="00367C0B">
              <w:rPr>
                <w:lang w:val="en-US"/>
              </w:rPr>
              <w:t>4</w:t>
            </w:r>
          </w:p>
        </w:tc>
        <w:tc>
          <w:tcPr>
            <w:tcW w:w="1361" w:type="dxa"/>
            <w:tcBorders>
              <w:top w:val="single" w:sz="4" w:space="0" w:color="auto"/>
              <w:left w:val="single" w:sz="4" w:space="0" w:color="auto"/>
              <w:bottom w:val="single" w:sz="4" w:space="0" w:color="auto"/>
              <w:right w:val="single" w:sz="4" w:space="0" w:color="auto"/>
            </w:tcBorders>
            <w:shd w:val="clear" w:color="auto" w:fill="FDC07C"/>
            <w:noWrap/>
            <w:hideMark/>
          </w:tcPr>
          <w:p w14:paraId="122C5916" w14:textId="423595F8" w:rsidR="003800C2" w:rsidRPr="00A6423B" w:rsidRDefault="003800C2" w:rsidP="003800C2">
            <w:pPr>
              <w:spacing w:after="0" w:line="240" w:lineRule="auto"/>
              <w:jc w:val="right"/>
              <w:rPr>
                <w:rFonts w:eastAsia="Times New Roman" w:cs="Calibri"/>
                <w:color w:val="000000"/>
                <w:sz w:val="18"/>
                <w:szCs w:val="18"/>
                <w:lang w:val="en-US" w:eastAsia="fr-FR"/>
              </w:rPr>
            </w:pPr>
            <w:r w:rsidRPr="00367C0B">
              <w:rPr>
                <w:lang w:val="en-US"/>
              </w:rPr>
              <w:t>3</w:t>
            </w:r>
          </w:p>
        </w:tc>
      </w:tr>
      <w:tr w:rsidR="007F24CA" w:rsidRPr="00367C0B" w14:paraId="0D9D1D67" w14:textId="77777777">
        <w:trPr>
          <w:trHeight w:val="57"/>
        </w:trPr>
        <w:tc>
          <w:tcPr>
            <w:tcW w:w="2778" w:type="dxa"/>
            <w:tcBorders>
              <w:top w:val="nil"/>
              <w:left w:val="nil"/>
              <w:bottom w:val="nil"/>
              <w:right w:val="nil"/>
            </w:tcBorders>
            <w:shd w:val="clear" w:color="auto" w:fill="auto"/>
            <w:noWrap/>
            <w:vAlign w:val="center"/>
            <w:hideMark/>
          </w:tcPr>
          <w:p w14:paraId="739E46D4" w14:textId="77777777" w:rsidR="007F24CA" w:rsidRPr="00A6423B" w:rsidRDefault="007F24CA" w:rsidP="007F24CA">
            <w:pPr>
              <w:spacing w:after="0" w:line="240" w:lineRule="auto"/>
              <w:jc w:val="left"/>
              <w:rPr>
                <w:rFonts w:eastAsia="Times New Roman" w:cs="Calibri"/>
                <w:color w:val="000000"/>
                <w:sz w:val="18"/>
                <w:szCs w:val="18"/>
                <w:lang w:val="en-US" w:eastAsia="fr-FR"/>
              </w:rPr>
            </w:pPr>
          </w:p>
        </w:tc>
        <w:tc>
          <w:tcPr>
            <w:tcW w:w="6805" w:type="dxa"/>
            <w:gridSpan w:val="5"/>
            <w:tcBorders>
              <w:top w:val="nil"/>
              <w:left w:val="nil"/>
              <w:bottom w:val="nil"/>
              <w:right w:val="nil"/>
            </w:tcBorders>
            <w:shd w:val="clear" w:color="auto" w:fill="auto"/>
            <w:noWrap/>
            <w:vAlign w:val="bottom"/>
            <w:hideMark/>
          </w:tcPr>
          <w:p w14:paraId="1A101B2B" w14:textId="77777777" w:rsidR="007F24CA" w:rsidRPr="00A6423B" w:rsidRDefault="007F24CA" w:rsidP="007F24CA">
            <w:pPr>
              <w:spacing w:after="0" w:line="240" w:lineRule="auto"/>
              <w:jc w:val="left"/>
              <w:rPr>
                <w:rFonts w:eastAsia="Times New Roman" w:cs="Times New Roman"/>
                <w:sz w:val="16"/>
                <w:szCs w:val="16"/>
                <w:lang w:val="en-US" w:eastAsia="fr-FR"/>
              </w:rPr>
            </w:pPr>
          </w:p>
        </w:tc>
        <w:tc>
          <w:tcPr>
            <w:tcW w:w="2566" w:type="dxa"/>
            <w:tcBorders>
              <w:top w:val="nil"/>
              <w:left w:val="nil"/>
              <w:bottom w:val="nil"/>
              <w:right w:val="nil"/>
            </w:tcBorders>
            <w:shd w:val="clear" w:color="auto" w:fill="auto"/>
            <w:noWrap/>
            <w:vAlign w:val="bottom"/>
            <w:hideMark/>
          </w:tcPr>
          <w:p w14:paraId="76EF06AD" w14:textId="77777777" w:rsidR="007F24CA" w:rsidRPr="00367C0B" w:rsidRDefault="007F24CA" w:rsidP="007F24CA">
            <w:pPr>
              <w:spacing w:after="0" w:line="240" w:lineRule="auto"/>
              <w:jc w:val="left"/>
              <w:rPr>
                <w:rFonts w:eastAsia="Times New Roman" w:cs="Times New Roman"/>
                <w:sz w:val="16"/>
                <w:szCs w:val="16"/>
                <w:lang w:val="en-US" w:eastAsia="fr-FR"/>
              </w:rPr>
            </w:pPr>
          </w:p>
        </w:tc>
        <w:tc>
          <w:tcPr>
            <w:tcW w:w="1253" w:type="dxa"/>
            <w:tcBorders>
              <w:top w:val="nil"/>
              <w:left w:val="nil"/>
              <w:bottom w:val="nil"/>
              <w:right w:val="nil"/>
            </w:tcBorders>
            <w:shd w:val="clear" w:color="auto" w:fill="auto"/>
            <w:noWrap/>
            <w:vAlign w:val="bottom"/>
            <w:hideMark/>
          </w:tcPr>
          <w:p w14:paraId="4AE014AE" w14:textId="77777777" w:rsidR="007F24CA" w:rsidRPr="00367C0B" w:rsidRDefault="007F24CA" w:rsidP="007F24CA">
            <w:pPr>
              <w:spacing w:after="0" w:line="240" w:lineRule="auto"/>
              <w:jc w:val="left"/>
              <w:rPr>
                <w:rFonts w:eastAsia="Times New Roman" w:cs="Times New Roman"/>
                <w:sz w:val="16"/>
                <w:szCs w:val="16"/>
                <w:lang w:val="en-US" w:eastAsia="fr-FR"/>
              </w:rPr>
            </w:pPr>
          </w:p>
        </w:tc>
        <w:tc>
          <w:tcPr>
            <w:tcW w:w="1522" w:type="dxa"/>
            <w:tcBorders>
              <w:top w:val="nil"/>
              <w:left w:val="nil"/>
              <w:bottom w:val="nil"/>
              <w:right w:val="nil"/>
            </w:tcBorders>
            <w:shd w:val="clear" w:color="auto" w:fill="auto"/>
            <w:noWrap/>
            <w:vAlign w:val="bottom"/>
            <w:hideMark/>
          </w:tcPr>
          <w:p w14:paraId="11863E8A" w14:textId="77777777" w:rsidR="007F24CA" w:rsidRPr="00367C0B" w:rsidRDefault="007F24CA" w:rsidP="007F24CA">
            <w:pPr>
              <w:spacing w:after="0" w:line="240" w:lineRule="auto"/>
              <w:jc w:val="left"/>
              <w:rPr>
                <w:rFonts w:eastAsia="Times New Roman" w:cs="Times New Roman"/>
                <w:sz w:val="16"/>
                <w:szCs w:val="16"/>
                <w:lang w:val="en-US" w:eastAsia="fr-FR"/>
              </w:rPr>
            </w:pPr>
          </w:p>
        </w:tc>
        <w:tc>
          <w:tcPr>
            <w:tcW w:w="1414" w:type="dxa"/>
            <w:tcBorders>
              <w:top w:val="nil"/>
              <w:left w:val="nil"/>
              <w:bottom w:val="nil"/>
              <w:right w:val="nil"/>
            </w:tcBorders>
            <w:shd w:val="clear" w:color="auto" w:fill="auto"/>
            <w:noWrap/>
            <w:vAlign w:val="bottom"/>
            <w:hideMark/>
          </w:tcPr>
          <w:p w14:paraId="6619FA1D" w14:textId="77777777" w:rsidR="007F24CA" w:rsidRPr="00367C0B" w:rsidRDefault="007F24CA" w:rsidP="007F24CA">
            <w:pPr>
              <w:spacing w:after="0" w:line="240" w:lineRule="auto"/>
              <w:jc w:val="left"/>
              <w:rPr>
                <w:rFonts w:eastAsia="Times New Roman" w:cs="Times New Roman"/>
                <w:sz w:val="16"/>
                <w:szCs w:val="16"/>
                <w:lang w:val="en-US" w:eastAsia="fr-FR"/>
              </w:rPr>
            </w:pPr>
          </w:p>
        </w:tc>
      </w:tr>
      <w:tr w:rsidR="007F24CA" w:rsidRPr="00FA7359" w14:paraId="2E59F533" w14:textId="77777777">
        <w:trPr>
          <w:gridAfter w:val="4"/>
          <w:wAfter w:w="6755" w:type="dxa"/>
          <w:trHeight w:val="320"/>
        </w:trPr>
        <w:tc>
          <w:tcPr>
            <w:tcW w:w="2778" w:type="dxa"/>
            <w:tcBorders>
              <w:top w:val="single" w:sz="4" w:space="0" w:color="auto"/>
              <w:left w:val="single" w:sz="4" w:space="0" w:color="auto"/>
              <w:bottom w:val="single" w:sz="4" w:space="0" w:color="auto"/>
              <w:right w:val="single" w:sz="4" w:space="0" w:color="auto"/>
            </w:tcBorders>
            <w:shd w:val="clear" w:color="000000" w:fill="AEAAAA"/>
            <w:noWrap/>
            <w:vAlign w:val="center"/>
            <w:hideMark/>
          </w:tcPr>
          <w:p w14:paraId="5F7DBD5A" w14:textId="77777777" w:rsidR="007F24CA" w:rsidRPr="00A6423B" w:rsidRDefault="007F24CA" w:rsidP="007F24CA">
            <w:pPr>
              <w:spacing w:after="0" w:line="240" w:lineRule="auto"/>
              <w:jc w:val="center"/>
              <w:rPr>
                <w:rFonts w:eastAsia="Times New Roman" w:cs="Calibri"/>
                <w:b/>
                <w:bCs/>
                <w:color w:val="000000"/>
                <w:sz w:val="18"/>
                <w:szCs w:val="18"/>
                <w:lang w:val="en-US" w:eastAsia="fr-FR"/>
              </w:rPr>
            </w:pPr>
            <w:r w:rsidRPr="00A6423B">
              <w:rPr>
                <w:rFonts w:eastAsia="Times New Roman" w:cs="Calibri"/>
                <w:b/>
                <w:bCs/>
                <w:color w:val="000000"/>
                <w:sz w:val="18"/>
                <w:szCs w:val="18"/>
                <w:lang w:val="en-US" w:eastAsia="fr-FR"/>
              </w:rPr>
              <w:t>SSP2-4.5 - 2050</w:t>
            </w:r>
          </w:p>
        </w:tc>
        <w:tc>
          <w:tcPr>
            <w:tcW w:w="6805" w:type="dxa"/>
            <w:gridSpan w:val="5"/>
            <w:tcBorders>
              <w:top w:val="single" w:sz="4" w:space="0" w:color="auto"/>
              <w:left w:val="nil"/>
              <w:bottom w:val="single" w:sz="4" w:space="0" w:color="auto"/>
              <w:right w:val="single" w:sz="4" w:space="0" w:color="000000"/>
            </w:tcBorders>
            <w:shd w:val="clear" w:color="000000" w:fill="B4C6E7"/>
            <w:noWrap/>
            <w:vAlign w:val="center"/>
            <w:hideMark/>
          </w:tcPr>
          <w:p w14:paraId="75D603BA" w14:textId="77777777" w:rsidR="007F24CA" w:rsidRPr="00A6423B" w:rsidRDefault="007F24CA" w:rsidP="007F24CA">
            <w:pPr>
              <w:spacing w:after="0" w:line="240" w:lineRule="auto"/>
              <w:jc w:val="left"/>
              <w:rPr>
                <w:rFonts w:eastAsia="Times New Roman" w:cs="Calibri"/>
                <w:b/>
                <w:bCs/>
                <w:color w:val="000000"/>
                <w:sz w:val="18"/>
                <w:szCs w:val="18"/>
                <w:lang w:val="en-US" w:eastAsia="fr-FR"/>
              </w:rPr>
            </w:pPr>
            <w:r w:rsidRPr="00A6423B">
              <w:rPr>
                <w:rFonts w:eastAsia="Times New Roman" w:cs="Calibri"/>
                <w:b/>
                <w:bCs/>
                <w:color w:val="000000"/>
                <w:sz w:val="18"/>
                <w:szCs w:val="18"/>
                <w:lang w:val="en-US" w:eastAsia="fr-FR"/>
              </w:rPr>
              <w:t>Exposure level per taxonomy related hazard</w:t>
            </w:r>
          </w:p>
        </w:tc>
      </w:tr>
      <w:tr w:rsidR="007F24CA" w:rsidRPr="00367C0B" w14:paraId="515BB684" w14:textId="77777777">
        <w:trPr>
          <w:gridAfter w:val="4"/>
          <w:wAfter w:w="6755" w:type="dxa"/>
          <w:trHeight w:val="320"/>
        </w:trPr>
        <w:tc>
          <w:tcPr>
            <w:tcW w:w="2778" w:type="dxa"/>
            <w:tcBorders>
              <w:top w:val="nil"/>
              <w:left w:val="single" w:sz="4" w:space="0" w:color="auto"/>
              <w:bottom w:val="single" w:sz="4" w:space="0" w:color="auto"/>
              <w:right w:val="single" w:sz="4" w:space="0" w:color="auto"/>
            </w:tcBorders>
            <w:shd w:val="clear" w:color="000000" w:fill="E7E6E6"/>
            <w:noWrap/>
            <w:vAlign w:val="center"/>
            <w:hideMark/>
          </w:tcPr>
          <w:p w14:paraId="4C207E78" w14:textId="1E2106C6" w:rsidR="007F24CA" w:rsidRPr="00A6423B" w:rsidRDefault="007F24CA" w:rsidP="007F24CA">
            <w:pPr>
              <w:spacing w:after="0" w:line="240" w:lineRule="auto"/>
              <w:jc w:val="left"/>
              <w:rPr>
                <w:rFonts w:eastAsia="Times New Roman" w:cs="Calibri"/>
                <w:b/>
                <w:bCs/>
                <w:color w:val="000000"/>
                <w:sz w:val="18"/>
                <w:szCs w:val="18"/>
                <w:lang w:val="en-US" w:eastAsia="fr-FR"/>
              </w:rPr>
            </w:pPr>
            <w:r w:rsidRPr="00A6423B">
              <w:rPr>
                <w:rFonts w:eastAsia="Times New Roman" w:cs="Calibri"/>
                <w:b/>
                <w:bCs/>
                <w:color w:val="000000"/>
                <w:sz w:val="18"/>
                <w:szCs w:val="18"/>
                <w:lang w:val="en-US" w:eastAsia="fr-FR"/>
              </w:rPr>
              <w:t>Site Name</w:t>
            </w:r>
          </w:p>
        </w:tc>
        <w:tc>
          <w:tcPr>
            <w:tcW w:w="1361" w:type="dxa"/>
            <w:tcBorders>
              <w:top w:val="nil"/>
              <w:left w:val="nil"/>
              <w:bottom w:val="single" w:sz="4" w:space="0" w:color="auto"/>
              <w:right w:val="single" w:sz="4" w:space="0" w:color="auto"/>
            </w:tcBorders>
            <w:shd w:val="clear" w:color="000000" w:fill="D9E1F2"/>
            <w:noWrap/>
            <w:vAlign w:val="center"/>
            <w:hideMark/>
          </w:tcPr>
          <w:p w14:paraId="15A08C60" w14:textId="4B6EACFB" w:rsidR="007F24CA" w:rsidRPr="00A6423B" w:rsidRDefault="007F24CA" w:rsidP="007F24CA">
            <w:pPr>
              <w:spacing w:after="0" w:line="240" w:lineRule="auto"/>
              <w:jc w:val="left"/>
              <w:rPr>
                <w:rFonts w:eastAsia="Times New Roman" w:cs="Calibri"/>
                <w:b/>
                <w:bCs/>
                <w:color w:val="000000"/>
                <w:sz w:val="18"/>
                <w:szCs w:val="18"/>
                <w:lang w:val="en-US" w:eastAsia="fr-FR"/>
              </w:rPr>
            </w:pPr>
            <w:r w:rsidRPr="00A6423B">
              <w:rPr>
                <w:rFonts w:eastAsia="Times New Roman" w:cs="Calibri"/>
                <w:b/>
                <w:bCs/>
                <w:color w:val="000000"/>
                <w:sz w:val="18"/>
                <w:szCs w:val="18"/>
                <w:lang w:val="en-US" w:eastAsia="fr-FR"/>
              </w:rPr>
              <w:t>Flood</w:t>
            </w:r>
          </w:p>
        </w:tc>
        <w:tc>
          <w:tcPr>
            <w:tcW w:w="1361" w:type="dxa"/>
            <w:tcBorders>
              <w:top w:val="nil"/>
              <w:left w:val="nil"/>
              <w:bottom w:val="single" w:sz="4" w:space="0" w:color="auto"/>
              <w:right w:val="single" w:sz="4" w:space="0" w:color="auto"/>
            </w:tcBorders>
            <w:shd w:val="clear" w:color="000000" w:fill="D9E1F2"/>
            <w:noWrap/>
            <w:vAlign w:val="center"/>
            <w:hideMark/>
          </w:tcPr>
          <w:p w14:paraId="4B35FCFD" w14:textId="3E46EF55" w:rsidR="007F24CA" w:rsidRPr="00A6423B" w:rsidRDefault="007F24CA" w:rsidP="007F24CA">
            <w:pPr>
              <w:spacing w:after="0" w:line="240" w:lineRule="auto"/>
              <w:jc w:val="left"/>
              <w:rPr>
                <w:rFonts w:eastAsia="Times New Roman" w:cs="Calibri"/>
                <w:b/>
                <w:bCs/>
                <w:color w:val="000000"/>
                <w:sz w:val="18"/>
                <w:szCs w:val="18"/>
                <w:lang w:val="en-US" w:eastAsia="fr-FR"/>
              </w:rPr>
            </w:pPr>
            <w:r>
              <w:rPr>
                <w:rFonts w:eastAsia="Times New Roman" w:cs="Calibri"/>
                <w:b/>
                <w:bCs/>
                <w:color w:val="000000"/>
                <w:sz w:val="18"/>
                <w:szCs w:val="18"/>
                <w:lang w:val="en-US" w:eastAsia="fr-FR"/>
              </w:rPr>
              <w:t>Temperature</w:t>
            </w:r>
          </w:p>
        </w:tc>
        <w:tc>
          <w:tcPr>
            <w:tcW w:w="1361" w:type="dxa"/>
            <w:tcBorders>
              <w:top w:val="nil"/>
              <w:left w:val="nil"/>
              <w:bottom w:val="single" w:sz="4" w:space="0" w:color="auto"/>
              <w:right w:val="single" w:sz="4" w:space="0" w:color="auto"/>
            </w:tcBorders>
            <w:shd w:val="clear" w:color="000000" w:fill="D9E1F2"/>
            <w:noWrap/>
            <w:vAlign w:val="center"/>
            <w:hideMark/>
          </w:tcPr>
          <w:p w14:paraId="71376600" w14:textId="557202CA" w:rsidR="007F24CA" w:rsidRPr="00A6423B" w:rsidRDefault="007F24CA" w:rsidP="007F24CA">
            <w:pPr>
              <w:spacing w:after="0" w:line="240" w:lineRule="auto"/>
              <w:jc w:val="left"/>
              <w:rPr>
                <w:rFonts w:eastAsia="Times New Roman" w:cs="Calibri"/>
                <w:b/>
                <w:bCs/>
                <w:color w:val="000000"/>
                <w:sz w:val="18"/>
                <w:szCs w:val="18"/>
                <w:lang w:val="en-US" w:eastAsia="fr-FR"/>
              </w:rPr>
            </w:pPr>
            <w:r>
              <w:rPr>
                <w:rFonts w:eastAsia="Times New Roman" w:cs="Calibri"/>
                <w:b/>
                <w:bCs/>
                <w:color w:val="000000"/>
                <w:sz w:val="18"/>
                <w:szCs w:val="18"/>
                <w:lang w:val="en-US" w:eastAsia="fr-FR"/>
              </w:rPr>
              <w:t>Heat</w:t>
            </w:r>
          </w:p>
        </w:tc>
        <w:tc>
          <w:tcPr>
            <w:tcW w:w="1361" w:type="dxa"/>
            <w:tcBorders>
              <w:top w:val="nil"/>
              <w:left w:val="nil"/>
              <w:bottom w:val="single" w:sz="4" w:space="0" w:color="auto"/>
              <w:right w:val="single" w:sz="4" w:space="0" w:color="auto"/>
            </w:tcBorders>
            <w:shd w:val="clear" w:color="000000" w:fill="D9E1F2"/>
            <w:noWrap/>
            <w:vAlign w:val="center"/>
            <w:hideMark/>
          </w:tcPr>
          <w:p w14:paraId="75510402" w14:textId="22A756BD" w:rsidR="007F24CA" w:rsidRPr="00A6423B" w:rsidRDefault="007F24CA" w:rsidP="007F24CA">
            <w:pPr>
              <w:spacing w:after="0" w:line="240" w:lineRule="auto"/>
              <w:jc w:val="left"/>
              <w:rPr>
                <w:rFonts w:eastAsia="Times New Roman" w:cs="Calibri"/>
                <w:b/>
                <w:bCs/>
                <w:color w:val="000000"/>
                <w:sz w:val="18"/>
                <w:szCs w:val="18"/>
                <w:lang w:val="en-US" w:eastAsia="fr-FR"/>
              </w:rPr>
            </w:pPr>
            <w:r>
              <w:rPr>
                <w:rFonts w:eastAsia="Times New Roman" w:cs="Calibri"/>
                <w:b/>
                <w:bCs/>
                <w:color w:val="000000"/>
                <w:sz w:val="18"/>
                <w:szCs w:val="18"/>
                <w:lang w:val="en-US" w:eastAsia="fr-FR"/>
              </w:rPr>
              <w:t>Storm</w:t>
            </w:r>
          </w:p>
        </w:tc>
        <w:tc>
          <w:tcPr>
            <w:tcW w:w="1361" w:type="dxa"/>
            <w:tcBorders>
              <w:top w:val="nil"/>
              <w:left w:val="nil"/>
              <w:bottom w:val="single" w:sz="4" w:space="0" w:color="auto"/>
              <w:right w:val="single" w:sz="4" w:space="0" w:color="auto"/>
            </w:tcBorders>
            <w:shd w:val="clear" w:color="000000" w:fill="D9E1F2"/>
            <w:noWrap/>
            <w:vAlign w:val="center"/>
            <w:hideMark/>
          </w:tcPr>
          <w:p w14:paraId="4013C43A" w14:textId="7EAE8B7B" w:rsidR="007F24CA" w:rsidRPr="00A6423B" w:rsidRDefault="007F24CA" w:rsidP="007F24CA">
            <w:pPr>
              <w:spacing w:after="0" w:line="240" w:lineRule="auto"/>
              <w:jc w:val="left"/>
              <w:rPr>
                <w:rFonts w:eastAsia="Times New Roman" w:cs="Calibri"/>
                <w:b/>
                <w:bCs/>
                <w:color w:val="000000"/>
                <w:sz w:val="18"/>
                <w:szCs w:val="18"/>
                <w:lang w:val="en-US" w:eastAsia="fr-FR"/>
              </w:rPr>
            </w:pPr>
            <w:r>
              <w:rPr>
                <w:rFonts w:eastAsia="Times New Roman" w:cs="Calibri"/>
                <w:b/>
                <w:bCs/>
                <w:color w:val="000000"/>
                <w:sz w:val="18"/>
                <w:szCs w:val="18"/>
                <w:lang w:val="en-US" w:eastAsia="fr-FR"/>
              </w:rPr>
              <w:t>Extreme wind</w:t>
            </w:r>
          </w:p>
        </w:tc>
      </w:tr>
      <w:tr w:rsidR="007F24CA" w:rsidRPr="00367C0B" w14:paraId="334B8006" w14:textId="77777777" w:rsidTr="00362DF1">
        <w:trPr>
          <w:gridAfter w:val="4"/>
          <w:wAfter w:w="6755" w:type="dxa"/>
          <w:trHeight w:val="320"/>
        </w:trPr>
        <w:tc>
          <w:tcPr>
            <w:tcW w:w="2778" w:type="dxa"/>
            <w:tcBorders>
              <w:top w:val="nil"/>
              <w:left w:val="single" w:sz="4" w:space="0" w:color="auto"/>
              <w:bottom w:val="single" w:sz="4" w:space="0" w:color="auto"/>
              <w:right w:val="single" w:sz="4" w:space="0" w:color="auto"/>
            </w:tcBorders>
            <w:shd w:val="clear" w:color="auto" w:fill="auto"/>
            <w:noWrap/>
            <w:hideMark/>
          </w:tcPr>
          <w:p w14:paraId="4675D0CD" w14:textId="26FFC194" w:rsidR="007F24CA" w:rsidRPr="00A6423B" w:rsidRDefault="007F24CA" w:rsidP="007F24CA">
            <w:pPr>
              <w:spacing w:after="0" w:line="240" w:lineRule="auto"/>
              <w:jc w:val="left"/>
              <w:rPr>
                <w:rFonts w:eastAsia="Times New Roman" w:cs="Calibri"/>
                <w:color w:val="000000"/>
                <w:sz w:val="18"/>
                <w:szCs w:val="18"/>
                <w:lang w:val="en-US" w:eastAsia="fr-FR"/>
              </w:rPr>
            </w:pPr>
            <w:r w:rsidRPr="00367C0B">
              <w:rPr>
                <w:lang w:val="en-US"/>
              </w:rPr>
              <w:t>Sangachal Terminal</w:t>
            </w:r>
          </w:p>
        </w:tc>
        <w:tc>
          <w:tcPr>
            <w:tcW w:w="1361" w:type="dxa"/>
            <w:tcBorders>
              <w:top w:val="single" w:sz="4" w:space="0" w:color="auto"/>
              <w:left w:val="single" w:sz="4" w:space="0" w:color="auto"/>
              <w:bottom w:val="single" w:sz="4" w:space="0" w:color="auto"/>
              <w:right w:val="single" w:sz="4" w:space="0" w:color="auto"/>
            </w:tcBorders>
            <w:shd w:val="clear" w:color="auto" w:fill="D8DF81"/>
            <w:noWrap/>
            <w:hideMark/>
          </w:tcPr>
          <w:p w14:paraId="30D82310" w14:textId="15E32622" w:rsidR="007F24CA" w:rsidRPr="00A6423B" w:rsidRDefault="007F24CA" w:rsidP="007F24CA">
            <w:pPr>
              <w:spacing w:after="0" w:line="240" w:lineRule="auto"/>
              <w:jc w:val="right"/>
              <w:rPr>
                <w:rFonts w:eastAsia="Times New Roman" w:cs="Calibri"/>
                <w:color w:val="000000"/>
                <w:sz w:val="18"/>
                <w:szCs w:val="18"/>
                <w:lang w:val="en-US" w:eastAsia="fr-FR"/>
              </w:rPr>
            </w:pPr>
            <w:r w:rsidRPr="00367C0B">
              <w:rPr>
                <w:lang w:val="en-US"/>
              </w:rPr>
              <w:t>1</w:t>
            </w:r>
          </w:p>
        </w:tc>
        <w:tc>
          <w:tcPr>
            <w:tcW w:w="1361" w:type="dxa"/>
            <w:tcBorders>
              <w:top w:val="single" w:sz="4" w:space="0" w:color="auto"/>
              <w:left w:val="single" w:sz="4" w:space="0" w:color="auto"/>
              <w:bottom w:val="single" w:sz="4" w:space="0" w:color="auto"/>
              <w:right w:val="single" w:sz="4" w:space="0" w:color="auto"/>
            </w:tcBorders>
            <w:shd w:val="clear" w:color="auto" w:fill="FDC07C"/>
            <w:noWrap/>
            <w:hideMark/>
          </w:tcPr>
          <w:p w14:paraId="6EC5E770" w14:textId="55119ECF" w:rsidR="007F24CA" w:rsidRPr="00A6423B" w:rsidRDefault="007F24CA" w:rsidP="007F24CA">
            <w:pPr>
              <w:spacing w:after="0" w:line="240" w:lineRule="auto"/>
              <w:jc w:val="right"/>
              <w:rPr>
                <w:rFonts w:eastAsia="Times New Roman" w:cs="Calibri"/>
                <w:color w:val="000000"/>
                <w:sz w:val="18"/>
                <w:szCs w:val="18"/>
                <w:lang w:val="en-US" w:eastAsia="fr-FR"/>
              </w:rPr>
            </w:pPr>
            <w:r w:rsidRPr="00367C0B">
              <w:rPr>
                <w:lang w:val="en-US"/>
              </w:rPr>
              <w:t>3</w:t>
            </w:r>
          </w:p>
        </w:tc>
        <w:tc>
          <w:tcPr>
            <w:tcW w:w="1361" w:type="dxa"/>
            <w:tcBorders>
              <w:top w:val="single" w:sz="4" w:space="0" w:color="auto"/>
              <w:left w:val="single" w:sz="4" w:space="0" w:color="auto"/>
              <w:bottom w:val="single" w:sz="4" w:space="0" w:color="auto"/>
              <w:right w:val="single" w:sz="4" w:space="0" w:color="auto"/>
            </w:tcBorders>
            <w:shd w:val="clear" w:color="auto" w:fill="FDC07C"/>
            <w:noWrap/>
            <w:hideMark/>
          </w:tcPr>
          <w:p w14:paraId="394CB098" w14:textId="2FAC931A" w:rsidR="007F24CA" w:rsidRPr="00A6423B" w:rsidRDefault="007F24CA" w:rsidP="007F24CA">
            <w:pPr>
              <w:spacing w:after="0" w:line="240" w:lineRule="auto"/>
              <w:jc w:val="right"/>
              <w:rPr>
                <w:rFonts w:eastAsia="Times New Roman" w:cs="Calibri"/>
                <w:color w:val="000000"/>
                <w:sz w:val="18"/>
                <w:szCs w:val="18"/>
                <w:lang w:val="en-US" w:eastAsia="fr-FR"/>
              </w:rPr>
            </w:pPr>
            <w:r w:rsidRPr="00367C0B">
              <w:rPr>
                <w:lang w:val="en-US"/>
              </w:rPr>
              <w:t>3</w:t>
            </w:r>
          </w:p>
        </w:tc>
        <w:tc>
          <w:tcPr>
            <w:tcW w:w="1361" w:type="dxa"/>
            <w:tcBorders>
              <w:top w:val="single" w:sz="4" w:space="0" w:color="auto"/>
              <w:left w:val="single" w:sz="4" w:space="0" w:color="auto"/>
              <w:bottom w:val="single" w:sz="4" w:space="0" w:color="auto"/>
              <w:right w:val="single" w:sz="4" w:space="0" w:color="auto"/>
            </w:tcBorders>
            <w:shd w:val="clear" w:color="auto" w:fill="F8696B"/>
            <w:noWrap/>
            <w:hideMark/>
          </w:tcPr>
          <w:p w14:paraId="4E1F8944" w14:textId="621A5D95" w:rsidR="00362DF1" w:rsidRPr="00367C0B" w:rsidRDefault="00362DF1" w:rsidP="00362DF1">
            <w:pPr>
              <w:spacing w:after="0" w:line="240" w:lineRule="auto"/>
              <w:jc w:val="right"/>
              <w:rPr>
                <w:lang w:val="en-US"/>
              </w:rPr>
            </w:pPr>
            <w:r w:rsidRPr="00367C0B">
              <w:rPr>
                <w:lang w:val="en-US"/>
              </w:rPr>
              <w:t>4</w:t>
            </w:r>
          </w:p>
        </w:tc>
        <w:tc>
          <w:tcPr>
            <w:tcW w:w="1361" w:type="dxa"/>
            <w:tcBorders>
              <w:top w:val="single" w:sz="4" w:space="0" w:color="auto"/>
              <w:left w:val="single" w:sz="4" w:space="0" w:color="auto"/>
              <w:bottom w:val="single" w:sz="4" w:space="0" w:color="auto"/>
              <w:right w:val="single" w:sz="4" w:space="0" w:color="auto"/>
            </w:tcBorders>
            <w:shd w:val="clear" w:color="auto" w:fill="FDC07C"/>
            <w:noWrap/>
            <w:hideMark/>
          </w:tcPr>
          <w:p w14:paraId="2AE1CB93" w14:textId="4E769C1D" w:rsidR="007F24CA" w:rsidRPr="00A6423B" w:rsidRDefault="007F24CA" w:rsidP="007F24CA">
            <w:pPr>
              <w:spacing w:after="0" w:line="240" w:lineRule="auto"/>
              <w:jc w:val="right"/>
              <w:rPr>
                <w:rFonts w:eastAsia="Times New Roman" w:cs="Calibri"/>
                <w:color w:val="000000"/>
                <w:sz w:val="18"/>
                <w:szCs w:val="18"/>
                <w:lang w:val="en-US" w:eastAsia="fr-FR"/>
              </w:rPr>
            </w:pPr>
            <w:r w:rsidRPr="00367C0B">
              <w:rPr>
                <w:lang w:val="en-US"/>
              </w:rPr>
              <w:t>3</w:t>
            </w:r>
          </w:p>
        </w:tc>
      </w:tr>
      <w:tr w:rsidR="007F24CA" w:rsidRPr="00367C0B" w14:paraId="68302721" w14:textId="77777777" w:rsidTr="00EE557A">
        <w:trPr>
          <w:gridAfter w:val="4"/>
          <w:wAfter w:w="6755" w:type="dxa"/>
          <w:trHeight w:val="320"/>
        </w:trPr>
        <w:tc>
          <w:tcPr>
            <w:tcW w:w="2778" w:type="dxa"/>
            <w:tcBorders>
              <w:top w:val="nil"/>
              <w:left w:val="single" w:sz="4" w:space="0" w:color="auto"/>
              <w:bottom w:val="single" w:sz="4" w:space="0" w:color="auto"/>
              <w:right w:val="single" w:sz="4" w:space="0" w:color="auto"/>
            </w:tcBorders>
            <w:shd w:val="clear" w:color="auto" w:fill="auto"/>
            <w:noWrap/>
            <w:hideMark/>
          </w:tcPr>
          <w:p w14:paraId="727B33CD" w14:textId="0E1B7A2A" w:rsidR="007F24CA" w:rsidRPr="00A6423B" w:rsidRDefault="007F24CA" w:rsidP="007F24CA">
            <w:pPr>
              <w:spacing w:after="0" w:line="240" w:lineRule="auto"/>
              <w:jc w:val="left"/>
              <w:rPr>
                <w:rFonts w:eastAsia="Times New Roman" w:cs="Calibri"/>
                <w:color w:val="000000"/>
                <w:sz w:val="18"/>
                <w:szCs w:val="18"/>
                <w:lang w:val="en-US" w:eastAsia="fr-FR"/>
              </w:rPr>
            </w:pPr>
            <w:proofErr w:type="spellStart"/>
            <w:r w:rsidRPr="00367C0B">
              <w:rPr>
                <w:lang w:val="en-US"/>
              </w:rPr>
              <w:t>Dubendi</w:t>
            </w:r>
            <w:proofErr w:type="spellEnd"/>
            <w:r w:rsidRPr="00367C0B">
              <w:rPr>
                <w:lang w:val="en-US"/>
              </w:rPr>
              <w:t xml:space="preserve"> Terminal</w:t>
            </w:r>
          </w:p>
        </w:tc>
        <w:tc>
          <w:tcPr>
            <w:tcW w:w="1361" w:type="dxa"/>
            <w:tcBorders>
              <w:top w:val="single" w:sz="4" w:space="0" w:color="auto"/>
              <w:left w:val="single" w:sz="4" w:space="0" w:color="auto"/>
              <w:bottom w:val="single" w:sz="4" w:space="0" w:color="auto"/>
              <w:right w:val="single" w:sz="4" w:space="0" w:color="auto"/>
            </w:tcBorders>
            <w:shd w:val="clear" w:color="auto" w:fill="D8DF81"/>
            <w:noWrap/>
            <w:hideMark/>
          </w:tcPr>
          <w:p w14:paraId="7B7F4691" w14:textId="237C8416" w:rsidR="007F24CA" w:rsidRPr="00A6423B" w:rsidRDefault="007F24CA" w:rsidP="007F24CA">
            <w:pPr>
              <w:spacing w:after="0" w:line="240" w:lineRule="auto"/>
              <w:jc w:val="right"/>
              <w:rPr>
                <w:rFonts w:eastAsia="Times New Roman" w:cs="Calibri"/>
                <w:color w:val="000000"/>
                <w:sz w:val="18"/>
                <w:szCs w:val="18"/>
                <w:lang w:val="en-US" w:eastAsia="fr-FR"/>
              </w:rPr>
            </w:pPr>
            <w:r w:rsidRPr="00367C0B">
              <w:rPr>
                <w:lang w:val="en-US"/>
              </w:rPr>
              <w:t>1</w:t>
            </w:r>
          </w:p>
        </w:tc>
        <w:tc>
          <w:tcPr>
            <w:tcW w:w="1361" w:type="dxa"/>
            <w:tcBorders>
              <w:top w:val="single" w:sz="4" w:space="0" w:color="auto"/>
              <w:left w:val="single" w:sz="4" w:space="0" w:color="auto"/>
              <w:bottom w:val="single" w:sz="4" w:space="0" w:color="auto"/>
              <w:right w:val="single" w:sz="4" w:space="0" w:color="auto"/>
            </w:tcBorders>
            <w:shd w:val="clear" w:color="auto" w:fill="FDC07C"/>
            <w:noWrap/>
            <w:hideMark/>
          </w:tcPr>
          <w:p w14:paraId="5CC315B2" w14:textId="180E1C9A" w:rsidR="007F24CA" w:rsidRPr="00A6423B" w:rsidRDefault="007F24CA" w:rsidP="007F24CA">
            <w:pPr>
              <w:spacing w:after="0" w:line="240" w:lineRule="auto"/>
              <w:jc w:val="right"/>
              <w:rPr>
                <w:rFonts w:eastAsia="Times New Roman" w:cs="Calibri"/>
                <w:color w:val="000000"/>
                <w:sz w:val="18"/>
                <w:szCs w:val="18"/>
                <w:lang w:val="en-US" w:eastAsia="fr-FR"/>
              </w:rPr>
            </w:pPr>
            <w:r w:rsidRPr="00367C0B">
              <w:rPr>
                <w:lang w:val="en-US"/>
              </w:rPr>
              <w:t>3</w:t>
            </w:r>
          </w:p>
        </w:tc>
        <w:tc>
          <w:tcPr>
            <w:tcW w:w="1361" w:type="dxa"/>
            <w:tcBorders>
              <w:top w:val="single" w:sz="4" w:space="0" w:color="auto"/>
              <w:left w:val="single" w:sz="4" w:space="0" w:color="auto"/>
              <w:bottom w:val="single" w:sz="4" w:space="0" w:color="auto"/>
              <w:right w:val="single" w:sz="4" w:space="0" w:color="auto"/>
            </w:tcBorders>
            <w:shd w:val="clear" w:color="auto" w:fill="FDC07C"/>
            <w:noWrap/>
            <w:hideMark/>
          </w:tcPr>
          <w:p w14:paraId="43243298" w14:textId="7A4EF1EB" w:rsidR="007F24CA" w:rsidRPr="00A6423B" w:rsidRDefault="007F24CA" w:rsidP="007F24CA">
            <w:pPr>
              <w:spacing w:after="0" w:line="240" w:lineRule="auto"/>
              <w:jc w:val="right"/>
              <w:rPr>
                <w:rFonts w:eastAsia="Times New Roman" w:cs="Calibri"/>
                <w:color w:val="000000"/>
                <w:sz w:val="18"/>
                <w:szCs w:val="18"/>
                <w:lang w:val="en-US" w:eastAsia="fr-FR"/>
              </w:rPr>
            </w:pPr>
            <w:r w:rsidRPr="00367C0B">
              <w:rPr>
                <w:lang w:val="en-US"/>
              </w:rPr>
              <w:t>3</w:t>
            </w:r>
          </w:p>
        </w:tc>
        <w:tc>
          <w:tcPr>
            <w:tcW w:w="1361" w:type="dxa"/>
            <w:tcBorders>
              <w:top w:val="single" w:sz="4" w:space="0" w:color="auto"/>
              <w:left w:val="single" w:sz="4" w:space="0" w:color="auto"/>
              <w:bottom w:val="single" w:sz="4" w:space="0" w:color="auto"/>
              <w:right w:val="single" w:sz="4" w:space="0" w:color="auto"/>
            </w:tcBorders>
            <w:shd w:val="clear" w:color="auto" w:fill="F8696B"/>
            <w:noWrap/>
            <w:hideMark/>
          </w:tcPr>
          <w:p w14:paraId="5EB5BE65" w14:textId="41269F41" w:rsidR="007F24CA" w:rsidRPr="00A6423B" w:rsidRDefault="007F24CA" w:rsidP="007F24CA">
            <w:pPr>
              <w:spacing w:after="0" w:line="240" w:lineRule="auto"/>
              <w:jc w:val="right"/>
              <w:rPr>
                <w:rFonts w:eastAsia="Times New Roman" w:cs="Calibri"/>
                <w:color w:val="000000"/>
                <w:sz w:val="18"/>
                <w:szCs w:val="18"/>
                <w:lang w:val="en-US" w:eastAsia="fr-FR"/>
              </w:rPr>
            </w:pPr>
            <w:r w:rsidRPr="00367C0B">
              <w:rPr>
                <w:lang w:val="en-US"/>
              </w:rPr>
              <w:t>4</w:t>
            </w:r>
          </w:p>
        </w:tc>
        <w:tc>
          <w:tcPr>
            <w:tcW w:w="1361" w:type="dxa"/>
            <w:tcBorders>
              <w:top w:val="single" w:sz="4" w:space="0" w:color="auto"/>
              <w:left w:val="single" w:sz="4" w:space="0" w:color="auto"/>
              <w:bottom w:val="single" w:sz="4" w:space="0" w:color="auto"/>
              <w:right w:val="single" w:sz="4" w:space="0" w:color="auto"/>
            </w:tcBorders>
            <w:shd w:val="clear" w:color="auto" w:fill="FDC07C"/>
            <w:noWrap/>
            <w:hideMark/>
          </w:tcPr>
          <w:p w14:paraId="7D5605F9" w14:textId="19A677FA" w:rsidR="007F24CA" w:rsidRPr="00A6423B" w:rsidRDefault="007F24CA" w:rsidP="007F24CA">
            <w:pPr>
              <w:spacing w:after="0" w:line="240" w:lineRule="auto"/>
              <w:jc w:val="right"/>
              <w:rPr>
                <w:rFonts w:eastAsia="Times New Roman" w:cs="Calibri"/>
                <w:color w:val="000000"/>
                <w:sz w:val="18"/>
                <w:szCs w:val="18"/>
                <w:lang w:val="en-US" w:eastAsia="fr-FR"/>
              </w:rPr>
            </w:pPr>
            <w:r w:rsidRPr="00367C0B">
              <w:rPr>
                <w:lang w:val="en-US"/>
              </w:rPr>
              <w:t>3</w:t>
            </w:r>
          </w:p>
        </w:tc>
      </w:tr>
      <w:tr w:rsidR="007F24CA" w:rsidRPr="00367C0B" w14:paraId="0D3E66A9" w14:textId="77777777" w:rsidTr="00EE557A">
        <w:trPr>
          <w:gridAfter w:val="4"/>
          <w:wAfter w:w="6755" w:type="dxa"/>
          <w:trHeight w:val="320"/>
        </w:trPr>
        <w:tc>
          <w:tcPr>
            <w:tcW w:w="2778" w:type="dxa"/>
            <w:tcBorders>
              <w:top w:val="nil"/>
              <w:left w:val="single" w:sz="4" w:space="0" w:color="auto"/>
              <w:bottom w:val="single" w:sz="4" w:space="0" w:color="auto"/>
              <w:right w:val="single" w:sz="4" w:space="0" w:color="auto"/>
            </w:tcBorders>
            <w:shd w:val="clear" w:color="auto" w:fill="auto"/>
            <w:noWrap/>
            <w:hideMark/>
          </w:tcPr>
          <w:p w14:paraId="1A59F8A1" w14:textId="43F33C91" w:rsidR="007F24CA" w:rsidRPr="00A6423B" w:rsidRDefault="007F24CA" w:rsidP="007F24CA">
            <w:pPr>
              <w:spacing w:after="0" w:line="240" w:lineRule="auto"/>
              <w:jc w:val="left"/>
              <w:rPr>
                <w:rFonts w:eastAsia="Times New Roman" w:cs="Calibri"/>
                <w:color w:val="000000"/>
                <w:sz w:val="18"/>
                <w:szCs w:val="18"/>
                <w:lang w:val="en-US" w:eastAsia="fr-FR"/>
              </w:rPr>
            </w:pPr>
            <w:proofErr w:type="spellStart"/>
            <w:r w:rsidRPr="00367C0B">
              <w:rPr>
                <w:lang w:val="en-US"/>
              </w:rPr>
              <w:t>Zygh</w:t>
            </w:r>
            <w:proofErr w:type="spellEnd"/>
            <w:r w:rsidRPr="00367C0B">
              <w:rPr>
                <w:lang w:val="en-US"/>
              </w:rPr>
              <w:t xml:space="preserve"> Shipyard</w:t>
            </w:r>
          </w:p>
        </w:tc>
        <w:tc>
          <w:tcPr>
            <w:tcW w:w="1361" w:type="dxa"/>
            <w:tcBorders>
              <w:top w:val="single" w:sz="4" w:space="0" w:color="auto"/>
              <w:left w:val="single" w:sz="4" w:space="0" w:color="auto"/>
              <w:bottom w:val="single" w:sz="4" w:space="0" w:color="auto"/>
              <w:right w:val="single" w:sz="4" w:space="0" w:color="auto"/>
            </w:tcBorders>
            <w:shd w:val="clear" w:color="auto" w:fill="D8DF81"/>
            <w:noWrap/>
            <w:hideMark/>
          </w:tcPr>
          <w:p w14:paraId="08A3F196" w14:textId="477BD5D1" w:rsidR="007F24CA" w:rsidRPr="00A6423B" w:rsidRDefault="007F24CA" w:rsidP="007F24CA">
            <w:pPr>
              <w:spacing w:after="0" w:line="240" w:lineRule="auto"/>
              <w:jc w:val="right"/>
              <w:rPr>
                <w:rFonts w:eastAsia="Times New Roman" w:cs="Calibri"/>
                <w:color w:val="000000"/>
                <w:sz w:val="18"/>
                <w:szCs w:val="18"/>
                <w:lang w:val="en-US" w:eastAsia="fr-FR"/>
              </w:rPr>
            </w:pPr>
            <w:r w:rsidRPr="00367C0B">
              <w:rPr>
                <w:lang w:val="en-US"/>
              </w:rPr>
              <w:t>2</w:t>
            </w:r>
          </w:p>
        </w:tc>
        <w:tc>
          <w:tcPr>
            <w:tcW w:w="1361" w:type="dxa"/>
            <w:tcBorders>
              <w:top w:val="single" w:sz="4" w:space="0" w:color="auto"/>
              <w:left w:val="single" w:sz="4" w:space="0" w:color="auto"/>
              <w:bottom w:val="single" w:sz="4" w:space="0" w:color="auto"/>
              <w:right w:val="single" w:sz="4" w:space="0" w:color="auto"/>
            </w:tcBorders>
            <w:shd w:val="clear" w:color="auto" w:fill="FDC07C"/>
            <w:noWrap/>
            <w:hideMark/>
          </w:tcPr>
          <w:p w14:paraId="1477CAB5" w14:textId="0268F1FB" w:rsidR="007F24CA" w:rsidRPr="00A6423B" w:rsidRDefault="007F24CA" w:rsidP="007F24CA">
            <w:pPr>
              <w:spacing w:after="0" w:line="240" w:lineRule="auto"/>
              <w:jc w:val="right"/>
              <w:rPr>
                <w:rFonts w:eastAsia="Times New Roman" w:cs="Calibri"/>
                <w:color w:val="000000"/>
                <w:sz w:val="18"/>
                <w:szCs w:val="18"/>
                <w:lang w:val="en-US" w:eastAsia="fr-FR"/>
              </w:rPr>
            </w:pPr>
            <w:r w:rsidRPr="00367C0B">
              <w:rPr>
                <w:lang w:val="en-US"/>
              </w:rPr>
              <w:t>3</w:t>
            </w:r>
          </w:p>
        </w:tc>
        <w:tc>
          <w:tcPr>
            <w:tcW w:w="1361" w:type="dxa"/>
            <w:tcBorders>
              <w:top w:val="single" w:sz="4" w:space="0" w:color="auto"/>
              <w:left w:val="single" w:sz="4" w:space="0" w:color="auto"/>
              <w:bottom w:val="single" w:sz="4" w:space="0" w:color="auto"/>
              <w:right w:val="single" w:sz="4" w:space="0" w:color="auto"/>
            </w:tcBorders>
            <w:shd w:val="clear" w:color="auto" w:fill="FDC07C"/>
            <w:noWrap/>
            <w:hideMark/>
          </w:tcPr>
          <w:p w14:paraId="52A8329B" w14:textId="1F9A055A" w:rsidR="007F24CA" w:rsidRPr="00A6423B" w:rsidRDefault="007F24CA" w:rsidP="007F24CA">
            <w:pPr>
              <w:spacing w:after="0" w:line="240" w:lineRule="auto"/>
              <w:jc w:val="right"/>
              <w:rPr>
                <w:rFonts w:eastAsia="Times New Roman" w:cs="Calibri"/>
                <w:color w:val="000000"/>
                <w:sz w:val="18"/>
                <w:szCs w:val="18"/>
                <w:lang w:val="en-US" w:eastAsia="fr-FR"/>
              </w:rPr>
            </w:pPr>
            <w:r w:rsidRPr="00367C0B">
              <w:rPr>
                <w:lang w:val="en-US"/>
              </w:rPr>
              <w:t>3</w:t>
            </w:r>
          </w:p>
        </w:tc>
        <w:tc>
          <w:tcPr>
            <w:tcW w:w="1361" w:type="dxa"/>
            <w:tcBorders>
              <w:top w:val="single" w:sz="4" w:space="0" w:color="auto"/>
              <w:left w:val="single" w:sz="4" w:space="0" w:color="auto"/>
              <w:bottom w:val="single" w:sz="4" w:space="0" w:color="auto"/>
              <w:right w:val="single" w:sz="4" w:space="0" w:color="auto"/>
            </w:tcBorders>
            <w:shd w:val="clear" w:color="auto" w:fill="F8696B"/>
            <w:noWrap/>
            <w:hideMark/>
          </w:tcPr>
          <w:p w14:paraId="19AA4EA2" w14:textId="16E5ABB4" w:rsidR="007F24CA" w:rsidRPr="00A6423B" w:rsidRDefault="007F24CA" w:rsidP="007F24CA">
            <w:pPr>
              <w:spacing w:after="0" w:line="240" w:lineRule="auto"/>
              <w:jc w:val="right"/>
              <w:rPr>
                <w:rFonts w:eastAsia="Times New Roman" w:cs="Calibri"/>
                <w:color w:val="000000"/>
                <w:sz w:val="18"/>
                <w:szCs w:val="18"/>
                <w:lang w:val="en-US" w:eastAsia="fr-FR"/>
              </w:rPr>
            </w:pPr>
            <w:r w:rsidRPr="00367C0B">
              <w:rPr>
                <w:lang w:val="en-US"/>
              </w:rPr>
              <w:t>4</w:t>
            </w:r>
          </w:p>
        </w:tc>
        <w:tc>
          <w:tcPr>
            <w:tcW w:w="1361" w:type="dxa"/>
            <w:tcBorders>
              <w:top w:val="single" w:sz="4" w:space="0" w:color="auto"/>
              <w:left w:val="single" w:sz="4" w:space="0" w:color="auto"/>
              <w:bottom w:val="single" w:sz="4" w:space="0" w:color="auto"/>
              <w:right w:val="single" w:sz="4" w:space="0" w:color="auto"/>
            </w:tcBorders>
            <w:shd w:val="clear" w:color="auto" w:fill="FDC07C"/>
            <w:noWrap/>
            <w:hideMark/>
          </w:tcPr>
          <w:p w14:paraId="35976D07" w14:textId="7BBA496B" w:rsidR="007F24CA" w:rsidRPr="00A6423B" w:rsidRDefault="007F24CA" w:rsidP="007F24CA">
            <w:pPr>
              <w:spacing w:after="0" w:line="240" w:lineRule="auto"/>
              <w:jc w:val="right"/>
              <w:rPr>
                <w:rFonts w:eastAsia="Times New Roman" w:cs="Calibri"/>
                <w:color w:val="000000"/>
                <w:sz w:val="18"/>
                <w:szCs w:val="18"/>
                <w:lang w:val="en-US" w:eastAsia="fr-FR"/>
              </w:rPr>
            </w:pPr>
            <w:r w:rsidRPr="00367C0B">
              <w:rPr>
                <w:lang w:val="en-US"/>
              </w:rPr>
              <w:t>3</w:t>
            </w:r>
          </w:p>
        </w:tc>
      </w:tr>
      <w:tr w:rsidR="007F24CA" w:rsidRPr="00367C0B" w14:paraId="5A2AF5D2" w14:textId="77777777" w:rsidTr="00362DF1">
        <w:trPr>
          <w:gridAfter w:val="4"/>
          <w:wAfter w:w="6755" w:type="dxa"/>
          <w:trHeight w:val="320"/>
        </w:trPr>
        <w:tc>
          <w:tcPr>
            <w:tcW w:w="2778" w:type="dxa"/>
            <w:tcBorders>
              <w:top w:val="nil"/>
              <w:left w:val="single" w:sz="4" w:space="0" w:color="auto"/>
              <w:bottom w:val="single" w:sz="4" w:space="0" w:color="auto"/>
              <w:right w:val="single" w:sz="4" w:space="0" w:color="auto"/>
            </w:tcBorders>
            <w:shd w:val="clear" w:color="auto" w:fill="auto"/>
            <w:noWrap/>
            <w:hideMark/>
          </w:tcPr>
          <w:p w14:paraId="2DF50EF4" w14:textId="68B579AA" w:rsidR="007F24CA" w:rsidRPr="00A6423B" w:rsidRDefault="007F24CA" w:rsidP="007F24CA">
            <w:pPr>
              <w:spacing w:after="0" w:line="240" w:lineRule="auto"/>
              <w:jc w:val="left"/>
              <w:rPr>
                <w:rFonts w:eastAsia="Times New Roman" w:cs="Calibri"/>
                <w:color w:val="000000"/>
                <w:sz w:val="18"/>
                <w:szCs w:val="18"/>
                <w:lang w:val="en-US" w:eastAsia="fr-FR"/>
              </w:rPr>
            </w:pPr>
            <w:r w:rsidRPr="00367C0B">
              <w:rPr>
                <w:lang w:val="en-US"/>
              </w:rPr>
              <w:t>Aktau port</w:t>
            </w:r>
          </w:p>
        </w:tc>
        <w:tc>
          <w:tcPr>
            <w:tcW w:w="1361" w:type="dxa"/>
            <w:tcBorders>
              <w:top w:val="single" w:sz="4" w:space="0" w:color="auto"/>
              <w:left w:val="single" w:sz="4" w:space="0" w:color="auto"/>
              <w:bottom w:val="single" w:sz="4" w:space="0" w:color="auto"/>
              <w:right w:val="single" w:sz="4" w:space="0" w:color="auto"/>
            </w:tcBorders>
            <w:shd w:val="clear" w:color="auto" w:fill="D8DF81"/>
            <w:noWrap/>
            <w:hideMark/>
          </w:tcPr>
          <w:p w14:paraId="2D4B6AE7" w14:textId="22522ED0" w:rsidR="007F24CA" w:rsidRPr="00A6423B" w:rsidRDefault="007F24CA" w:rsidP="007F24CA">
            <w:pPr>
              <w:spacing w:after="0" w:line="240" w:lineRule="auto"/>
              <w:jc w:val="right"/>
              <w:rPr>
                <w:rFonts w:eastAsia="Times New Roman" w:cs="Calibri"/>
                <w:color w:val="000000"/>
                <w:sz w:val="18"/>
                <w:szCs w:val="18"/>
                <w:lang w:val="en-US" w:eastAsia="fr-FR"/>
              </w:rPr>
            </w:pPr>
            <w:r w:rsidRPr="00367C0B">
              <w:rPr>
                <w:lang w:val="en-US"/>
              </w:rPr>
              <w:t>1</w:t>
            </w:r>
          </w:p>
        </w:tc>
        <w:tc>
          <w:tcPr>
            <w:tcW w:w="1361" w:type="dxa"/>
            <w:tcBorders>
              <w:top w:val="single" w:sz="4" w:space="0" w:color="auto"/>
              <w:left w:val="single" w:sz="4" w:space="0" w:color="auto"/>
              <w:bottom w:val="single" w:sz="4" w:space="0" w:color="auto"/>
              <w:right w:val="single" w:sz="4" w:space="0" w:color="auto"/>
            </w:tcBorders>
            <w:shd w:val="clear" w:color="auto" w:fill="FDC07C"/>
            <w:noWrap/>
            <w:hideMark/>
          </w:tcPr>
          <w:p w14:paraId="4150E59A" w14:textId="718564E9" w:rsidR="007F24CA" w:rsidRPr="00A6423B" w:rsidRDefault="007F24CA" w:rsidP="007F24CA">
            <w:pPr>
              <w:spacing w:after="0" w:line="240" w:lineRule="auto"/>
              <w:jc w:val="right"/>
              <w:rPr>
                <w:rFonts w:eastAsia="Times New Roman" w:cs="Calibri"/>
                <w:color w:val="000000"/>
                <w:sz w:val="18"/>
                <w:szCs w:val="18"/>
                <w:lang w:val="en-US" w:eastAsia="fr-FR"/>
              </w:rPr>
            </w:pPr>
            <w:r w:rsidRPr="00367C0B">
              <w:rPr>
                <w:lang w:val="en-US"/>
              </w:rPr>
              <w:t>3</w:t>
            </w:r>
          </w:p>
        </w:tc>
        <w:tc>
          <w:tcPr>
            <w:tcW w:w="1361" w:type="dxa"/>
            <w:tcBorders>
              <w:top w:val="single" w:sz="4" w:space="0" w:color="auto"/>
              <w:left w:val="single" w:sz="4" w:space="0" w:color="auto"/>
              <w:bottom w:val="single" w:sz="4" w:space="0" w:color="auto"/>
              <w:right w:val="single" w:sz="4" w:space="0" w:color="auto"/>
            </w:tcBorders>
            <w:shd w:val="clear" w:color="auto" w:fill="FDC07C"/>
            <w:noWrap/>
            <w:hideMark/>
          </w:tcPr>
          <w:p w14:paraId="57851BF0" w14:textId="4CC1EBF7" w:rsidR="007F24CA" w:rsidRPr="00A6423B" w:rsidRDefault="007F24CA" w:rsidP="007F24CA">
            <w:pPr>
              <w:spacing w:after="0" w:line="240" w:lineRule="auto"/>
              <w:jc w:val="right"/>
              <w:rPr>
                <w:rFonts w:eastAsia="Times New Roman" w:cs="Calibri"/>
                <w:color w:val="000000"/>
                <w:sz w:val="18"/>
                <w:szCs w:val="18"/>
                <w:lang w:val="en-US" w:eastAsia="fr-FR"/>
              </w:rPr>
            </w:pPr>
            <w:r w:rsidRPr="00367C0B">
              <w:rPr>
                <w:lang w:val="en-US"/>
              </w:rPr>
              <w:t>3</w:t>
            </w:r>
          </w:p>
        </w:tc>
        <w:tc>
          <w:tcPr>
            <w:tcW w:w="1361" w:type="dxa"/>
            <w:tcBorders>
              <w:top w:val="single" w:sz="4" w:space="0" w:color="auto"/>
              <w:left w:val="single" w:sz="4" w:space="0" w:color="auto"/>
              <w:bottom w:val="single" w:sz="4" w:space="0" w:color="auto"/>
              <w:right w:val="single" w:sz="4" w:space="0" w:color="auto"/>
            </w:tcBorders>
            <w:shd w:val="clear" w:color="auto" w:fill="F8696B"/>
            <w:noWrap/>
            <w:hideMark/>
          </w:tcPr>
          <w:p w14:paraId="288D9B9C" w14:textId="100079E6" w:rsidR="007F24CA" w:rsidRPr="00A6423B" w:rsidRDefault="00362DF1" w:rsidP="007F24CA">
            <w:pPr>
              <w:spacing w:after="0" w:line="240" w:lineRule="auto"/>
              <w:jc w:val="right"/>
              <w:rPr>
                <w:rFonts w:eastAsia="Times New Roman" w:cs="Calibri"/>
                <w:color w:val="000000"/>
                <w:sz w:val="18"/>
                <w:szCs w:val="18"/>
                <w:lang w:val="en-US" w:eastAsia="fr-FR"/>
              </w:rPr>
            </w:pPr>
            <w:r>
              <w:rPr>
                <w:rFonts w:eastAsia="Times New Roman" w:cs="Calibri"/>
                <w:color w:val="000000"/>
                <w:sz w:val="18"/>
                <w:szCs w:val="18"/>
                <w:lang w:val="en-US" w:eastAsia="fr-FR"/>
              </w:rPr>
              <w:t>4</w:t>
            </w:r>
          </w:p>
        </w:tc>
        <w:tc>
          <w:tcPr>
            <w:tcW w:w="1361" w:type="dxa"/>
            <w:tcBorders>
              <w:top w:val="single" w:sz="4" w:space="0" w:color="auto"/>
              <w:left w:val="single" w:sz="4" w:space="0" w:color="auto"/>
              <w:bottom w:val="single" w:sz="4" w:space="0" w:color="auto"/>
              <w:right w:val="single" w:sz="4" w:space="0" w:color="auto"/>
            </w:tcBorders>
            <w:shd w:val="clear" w:color="auto" w:fill="FDC07C"/>
            <w:noWrap/>
            <w:hideMark/>
          </w:tcPr>
          <w:p w14:paraId="5B9765D8" w14:textId="125A953D" w:rsidR="007F24CA" w:rsidRPr="00A6423B" w:rsidRDefault="007F24CA" w:rsidP="007F24CA">
            <w:pPr>
              <w:spacing w:after="0" w:line="240" w:lineRule="auto"/>
              <w:jc w:val="right"/>
              <w:rPr>
                <w:rFonts w:eastAsia="Times New Roman" w:cs="Calibri"/>
                <w:color w:val="000000"/>
                <w:sz w:val="18"/>
                <w:szCs w:val="18"/>
                <w:lang w:val="en-US" w:eastAsia="fr-FR"/>
              </w:rPr>
            </w:pPr>
            <w:r w:rsidRPr="00367C0B">
              <w:rPr>
                <w:lang w:val="en-US"/>
              </w:rPr>
              <w:t>3</w:t>
            </w:r>
          </w:p>
        </w:tc>
      </w:tr>
      <w:tr w:rsidR="007F24CA" w:rsidRPr="00367C0B" w14:paraId="432E800B" w14:textId="77777777" w:rsidTr="000869E0">
        <w:trPr>
          <w:gridAfter w:val="4"/>
          <w:wAfter w:w="6755" w:type="dxa"/>
          <w:trHeight w:val="320"/>
        </w:trPr>
        <w:tc>
          <w:tcPr>
            <w:tcW w:w="2778" w:type="dxa"/>
            <w:tcBorders>
              <w:top w:val="nil"/>
              <w:left w:val="single" w:sz="4" w:space="0" w:color="auto"/>
              <w:bottom w:val="single" w:sz="4" w:space="0" w:color="auto"/>
              <w:right w:val="single" w:sz="4" w:space="0" w:color="auto"/>
            </w:tcBorders>
            <w:shd w:val="clear" w:color="auto" w:fill="auto"/>
            <w:noWrap/>
            <w:hideMark/>
          </w:tcPr>
          <w:p w14:paraId="3D2557C6" w14:textId="25A2656E" w:rsidR="007F24CA" w:rsidRPr="00A6423B" w:rsidRDefault="007F24CA" w:rsidP="007F24CA">
            <w:pPr>
              <w:spacing w:after="0" w:line="240" w:lineRule="auto"/>
              <w:jc w:val="left"/>
              <w:rPr>
                <w:rFonts w:eastAsia="Times New Roman" w:cs="Calibri"/>
                <w:color w:val="000000"/>
                <w:sz w:val="18"/>
                <w:szCs w:val="18"/>
                <w:lang w:val="en-US" w:eastAsia="fr-FR"/>
              </w:rPr>
            </w:pPr>
            <w:r w:rsidRPr="00367C0B">
              <w:rPr>
                <w:rFonts w:eastAsia="Times New Roman" w:cs="Calibri"/>
                <w:color w:val="000000"/>
                <w:lang w:val="en-US" w:eastAsia="fr-FR"/>
              </w:rPr>
              <w:t>Turkmenistan Port</w:t>
            </w:r>
          </w:p>
        </w:tc>
        <w:tc>
          <w:tcPr>
            <w:tcW w:w="1361" w:type="dxa"/>
            <w:tcBorders>
              <w:top w:val="single" w:sz="4" w:space="0" w:color="auto"/>
              <w:left w:val="single" w:sz="4" w:space="0" w:color="auto"/>
              <w:bottom w:val="single" w:sz="4" w:space="0" w:color="auto"/>
              <w:right w:val="single" w:sz="4" w:space="0" w:color="auto"/>
            </w:tcBorders>
            <w:shd w:val="clear" w:color="auto" w:fill="D8DF81"/>
            <w:noWrap/>
            <w:hideMark/>
          </w:tcPr>
          <w:p w14:paraId="5CA522A4" w14:textId="188FBA29" w:rsidR="007F24CA" w:rsidRPr="00A6423B" w:rsidRDefault="007F24CA" w:rsidP="007F24CA">
            <w:pPr>
              <w:spacing w:after="0" w:line="240" w:lineRule="auto"/>
              <w:jc w:val="right"/>
              <w:rPr>
                <w:rFonts w:eastAsia="Times New Roman" w:cs="Calibri"/>
                <w:color w:val="000000"/>
                <w:sz w:val="18"/>
                <w:szCs w:val="18"/>
                <w:lang w:val="en-US" w:eastAsia="fr-FR"/>
              </w:rPr>
            </w:pPr>
            <w:r w:rsidRPr="00367C0B">
              <w:rPr>
                <w:lang w:val="en-US"/>
              </w:rPr>
              <w:t>1</w:t>
            </w:r>
          </w:p>
        </w:tc>
        <w:tc>
          <w:tcPr>
            <w:tcW w:w="1361" w:type="dxa"/>
            <w:tcBorders>
              <w:top w:val="single" w:sz="4" w:space="0" w:color="auto"/>
              <w:left w:val="single" w:sz="4" w:space="0" w:color="auto"/>
              <w:bottom w:val="single" w:sz="4" w:space="0" w:color="auto"/>
              <w:right w:val="single" w:sz="4" w:space="0" w:color="auto"/>
            </w:tcBorders>
            <w:shd w:val="clear" w:color="auto" w:fill="FDC07C"/>
            <w:noWrap/>
            <w:hideMark/>
          </w:tcPr>
          <w:p w14:paraId="462ED401" w14:textId="69902046" w:rsidR="007F24CA" w:rsidRPr="00A6423B" w:rsidRDefault="007F24CA" w:rsidP="007F24CA">
            <w:pPr>
              <w:spacing w:after="0" w:line="240" w:lineRule="auto"/>
              <w:jc w:val="right"/>
              <w:rPr>
                <w:rFonts w:eastAsia="Times New Roman" w:cs="Calibri"/>
                <w:color w:val="000000"/>
                <w:sz w:val="18"/>
                <w:szCs w:val="18"/>
                <w:lang w:val="en-US" w:eastAsia="fr-FR"/>
              </w:rPr>
            </w:pPr>
            <w:r w:rsidRPr="00367C0B">
              <w:rPr>
                <w:lang w:val="en-US"/>
              </w:rPr>
              <w:t>3</w:t>
            </w:r>
          </w:p>
        </w:tc>
        <w:tc>
          <w:tcPr>
            <w:tcW w:w="1361" w:type="dxa"/>
            <w:tcBorders>
              <w:top w:val="single" w:sz="4" w:space="0" w:color="auto"/>
              <w:left w:val="single" w:sz="4" w:space="0" w:color="auto"/>
              <w:bottom w:val="single" w:sz="4" w:space="0" w:color="auto"/>
              <w:right w:val="single" w:sz="4" w:space="0" w:color="auto"/>
            </w:tcBorders>
            <w:shd w:val="clear" w:color="auto" w:fill="F8696B"/>
            <w:noWrap/>
            <w:hideMark/>
          </w:tcPr>
          <w:p w14:paraId="0D880FD2" w14:textId="67E7FB1E" w:rsidR="007F24CA" w:rsidRPr="00A6423B" w:rsidRDefault="000869E0" w:rsidP="007F24CA">
            <w:pPr>
              <w:spacing w:after="0" w:line="240" w:lineRule="auto"/>
              <w:jc w:val="right"/>
              <w:rPr>
                <w:rFonts w:eastAsia="Times New Roman" w:cs="Calibri"/>
                <w:color w:val="000000"/>
                <w:sz w:val="18"/>
                <w:szCs w:val="18"/>
                <w:lang w:val="en-US" w:eastAsia="fr-FR"/>
              </w:rPr>
            </w:pPr>
            <w:r w:rsidRPr="000869E0">
              <w:rPr>
                <w:rFonts w:eastAsia="Times New Roman" w:cs="Calibri"/>
                <w:color w:val="000000"/>
                <w:lang w:val="en-US" w:eastAsia="fr-FR"/>
              </w:rPr>
              <w:t>4</w:t>
            </w:r>
          </w:p>
        </w:tc>
        <w:tc>
          <w:tcPr>
            <w:tcW w:w="1361" w:type="dxa"/>
            <w:tcBorders>
              <w:top w:val="single" w:sz="4" w:space="0" w:color="auto"/>
              <w:left w:val="single" w:sz="4" w:space="0" w:color="auto"/>
              <w:bottom w:val="single" w:sz="4" w:space="0" w:color="auto"/>
              <w:right w:val="single" w:sz="4" w:space="0" w:color="auto"/>
            </w:tcBorders>
            <w:shd w:val="clear" w:color="auto" w:fill="F8696B"/>
            <w:noWrap/>
            <w:hideMark/>
          </w:tcPr>
          <w:p w14:paraId="37D39C85" w14:textId="0C915873" w:rsidR="007F24CA" w:rsidRPr="00A6423B" w:rsidRDefault="007F24CA" w:rsidP="007F24CA">
            <w:pPr>
              <w:spacing w:after="0" w:line="240" w:lineRule="auto"/>
              <w:jc w:val="right"/>
              <w:rPr>
                <w:rFonts w:eastAsia="Times New Roman" w:cs="Calibri"/>
                <w:color w:val="000000"/>
                <w:sz w:val="18"/>
                <w:szCs w:val="18"/>
                <w:lang w:val="en-US" w:eastAsia="fr-FR"/>
              </w:rPr>
            </w:pPr>
            <w:r w:rsidRPr="00367C0B">
              <w:rPr>
                <w:lang w:val="en-US"/>
              </w:rPr>
              <w:t>4</w:t>
            </w:r>
          </w:p>
        </w:tc>
        <w:tc>
          <w:tcPr>
            <w:tcW w:w="1361" w:type="dxa"/>
            <w:tcBorders>
              <w:top w:val="single" w:sz="4" w:space="0" w:color="auto"/>
              <w:left w:val="single" w:sz="4" w:space="0" w:color="auto"/>
              <w:bottom w:val="single" w:sz="4" w:space="0" w:color="auto"/>
              <w:right w:val="single" w:sz="4" w:space="0" w:color="auto"/>
            </w:tcBorders>
            <w:shd w:val="clear" w:color="auto" w:fill="FDC07C"/>
            <w:noWrap/>
            <w:hideMark/>
          </w:tcPr>
          <w:p w14:paraId="4C285AC1" w14:textId="3B9D4DBE" w:rsidR="007F24CA" w:rsidRPr="00A6423B" w:rsidRDefault="007F24CA" w:rsidP="007F24CA">
            <w:pPr>
              <w:spacing w:after="0" w:line="240" w:lineRule="auto"/>
              <w:jc w:val="right"/>
              <w:rPr>
                <w:rFonts w:eastAsia="Times New Roman" w:cs="Calibri"/>
                <w:color w:val="000000"/>
                <w:sz w:val="18"/>
                <w:szCs w:val="18"/>
                <w:lang w:val="en-US" w:eastAsia="fr-FR"/>
              </w:rPr>
            </w:pPr>
            <w:r w:rsidRPr="00367C0B">
              <w:rPr>
                <w:lang w:val="en-US"/>
              </w:rPr>
              <w:t>3</w:t>
            </w:r>
          </w:p>
        </w:tc>
      </w:tr>
    </w:tbl>
    <w:p w14:paraId="42AAF9D7" w14:textId="77777777" w:rsidR="00052061" w:rsidRDefault="00AD3B94" w:rsidP="007633C5">
      <w:pPr>
        <w:jc w:val="left"/>
        <w:rPr>
          <w:b/>
          <w:bCs/>
          <w:lang w:val="en-US"/>
        </w:rPr>
      </w:pPr>
      <w:r w:rsidRPr="00DE0ED0">
        <w:rPr>
          <w:b/>
          <w:bCs/>
          <w:lang w:val="en-US"/>
        </w:rPr>
        <w:t>Appendix 2.</w:t>
      </w:r>
      <w:r w:rsidR="006F3D35">
        <w:rPr>
          <w:b/>
          <w:bCs/>
          <w:lang w:val="en-US"/>
        </w:rPr>
        <w:t>2</w:t>
      </w:r>
      <w:r w:rsidRPr="00DE0ED0">
        <w:rPr>
          <w:b/>
          <w:bCs/>
          <w:lang w:val="en-US"/>
        </w:rPr>
        <w:t xml:space="preserve"> – exposure level per taxonomy-related hazard</w:t>
      </w:r>
      <w:r w:rsidR="00DE0ED0" w:rsidRPr="00DE0ED0">
        <w:rPr>
          <w:b/>
          <w:bCs/>
          <w:lang w:val="en-US"/>
        </w:rPr>
        <w:t>, SSP</w:t>
      </w:r>
      <w:r w:rsidR="00583527">
        <w:rPr>
          <w:b/>
          <w:bCs/>
          <w:lang w:val="en-US"/>
        </w:rPr>
        <w:t>5</w:t>
      </w:r>
      <w:r w:rsidR="00DE0ED0" w:rsidRPr="00DE0ED0">
        <w:rPr>
          <w:b/>
          <w:bCs/>
          <w:lang w:val="en-US"/>
        </w:rPr>
        <w:t>-</w:t>
      </w:r>
      <w:r w:rsidR="00583527">
        <w:rPr>
          <w:b/>
          <w:bCs/>
          <w:lang w:val="en-US"/>
        </w:rPr>
        <w:t>8</w:t>
      </w:r>
      <w:r w:rsidR="00DE0ED0" w:rsidRPr="00DE0ED0">
        <w:rPr>
          <w:b/>
          <w:bCs/>
          <w:lang w:val="en-US"/>
        </w:rPr>
        <w:t>.5</w:t>
      </w:r>
    </w:p>
    <w:tbl>
      <w:tblPr>
        <w:tblW w:w="16330" w:type="dxa"/>
        <w:tblCellMar>
          <w:left w:w="70" w:type="dxa"/>
          <w:right w:w="70" w:type="dxa"/>
        </w:tblCellMar>
        <w:tblLook w:val="04A0" w:firstRow="1" w:lastRow="0" w:firstColumn="1" w:lastColumn="0" w:noHBand="0" w:noVBand="1"/>
      </w:tblPr>
      <w:tblGrid>
        <w:gridCol w:w="2778"/>
        <w:gridCol w:w="1361"/>
        <w:gridCol w:w="1361"/>
        <w:gridCol w:w="1361"/>
        <w:gridCol w:w="1361"/>
        <w:gridCol w:w="1361"/>
        <w:gridCol w:w="2580"/>
        <w:gridCol w:w="1240"/>
        <w:gridCol w:w="1511"/>
        <w:gridCol w:w="1416"/>
      </w:tblGrid>
      <w:tr w:rsidR="00052061" w:rsidRPr="00FA7359" w14:paraId="7F67B95B" w14:textId="77777777" w:rsidTr="00052061">
        <w:trPr>
          <w:gridAfter w:val="4"/>
          <w:wAfter w:w="6747" w:type="dxa"/>
          <w:trHeight w:val="320"/>
        </w:trPr>
        <w:tc>
          <w:tcPr>
            <w:tcW w:w="2778" w:type="dxa"/>
            <w:tcBorders>
              <w:top w:val="single" w:sz="4" w:space="0" w:color="auto"/>
              <w:left w:val="single" w:sz="4" w:space="0" w:color="auto"/>
              <w:bottom w:val="single" w:sz="4" w:space="0" w:color="auto"/>
              <w:right w:val="single" w:sz="4" w:space="0" w:color="auto"/>
            </w:tcBorders>
            <w:shd w:val="clear" w:color="000000" w:fill="AEAAAA"/>
            <w:noWrap/>
            <w:vAlign w:val="center"/>
            <w:hideMark/>
          </w:tcPr>
          <w:p w14:paraId="6CF17188" w14:textId="77777777" w:rsidR="00052061" w:rsidRPr="00052061" w:rsidRDefault="00052061" w:rsidP="00052061">
            <w:pPr>
              <w:spacing w:after="0" w:line="240" w:lineRule="auto"/>
              <w:jc w:val="center"/>
              <w:rPr>
                <w:rFonts w:eastAsia="Times New Roman" w:cs="Calibri"/>
                <w:b/>
                <w:bCs/>
                <w:color w:val="000000"/>
                <w:sz w:val="18"/>
                <w:szCs w:val="18"/>
                <w:lang w:val="en-US" w:eastAsia="fr-FR"/>
              </w:rPr>
            </w:pPr>
            <w:r w:rsidRPr="00052061">
              <w:rPr>
                <w:rFonts w:eastAsia="Times New Roman" w:cs="Calibri"/>
                <w:b/>
                <w:bCs/>
                <w:color w:val="000000"/>
                <w:sz w:val="18"/>
                <w:szCs w:val="18"/>
                <w:lang w:val="en-US" w:eastAsia="fr-FR"/>
              </w:rPr>
              <w:t>SSP5-8.5 - 2030</w:t>
            </w:r>
          </w:p>
        </w:tc>
        <w:tc>
          <w:tcPr>
            <w:tcW w:w="6805" w:type="dxa"/>
            <w:gridSpan w:val="5"/>
            <w:tcBorders>
              <w:top w:val="single" w:sz="4" w:space="0" w:color="auto"/>
              <w:left w:val="nil"/>
              <w:bottom w:val="single" w:sz="4" w:space="0" w:color="auto"/>
              <w:right w:val="single" w:sz="4" w:space="0" w:color="000000"/>
            </w:tcBorders>
            <w:shd w:val="clear" w:color="000000" w:fill="B4C6E7"/>
            <w:noWrap/>
            <w:vAlign w:val="center"/>
            <w:hideMark/>
          </w:tcPr>
          <w:p w14:paraId="059D5237" w14:textId="09B8BAF9" w:rsidR="00052061" w:rsidRPr="00052061" w:rsidRDefault="00052061" w:rsidP="00052061">
            <w:pPr>
              <w:spacing w:after="0" w:line="240" w:lineRule="auto"/>
              <w:jc w:val="center"/>
              <w:rPr>
                <w:rFonts w:eastAsia="Times New Roman" w:cs="Calibri"/>
                <w:b/>
                <w:bCs/>
                <w:color w:val="000000"/>
                <w:sz w:val="18"/>
                <w:szCs w:val="18"/>
                <w:lang w:val="en-US" w:eastAsia="fr-FR"/>
              </w:rPr>
            </w:pPr>
            <w:r w:rsidRPr="00052061">
              <w:rPr>
                <w:rFonts w:eastAsia="Times New Roman" w:cs="Calibri"/>
                <w:b/>
                <w:bCs/>
                <w:color w:val="000000"/>
                <w:sz w:val="18"/>
                <w:szCs w:val="18"/>
                <w:lang w:val="en-US" w:eastAsia="fr-FR"/>
              </w:rPr>
              <w:t>Exposure level per taxonomy related hazard</w:t>
            </w:r>
          </w:p>
        </w:tc>
      </w:tr>
      <w:tr w:rsidR="007F24CA" w:rsidRPr="00367C0B" w14:paraId="1127AEDD" w14:textId="77777777" w:rsidTr="00052061">
        <w:trPr>
          <w:gridAfter w:val="4"/>
          <w:wAfter w:w="6747" w:type="dxa"/>
          <w:trHeight w:val="320"/>
        </w:trPr>
        <w:tc>
          <w:tcPr>
            <w:tcW w:w="2778" w:type="dxa"/>
            <w:tcBorders>
              <w:top w:val="nil"/>
              <w:left w:val="single" w:sz="4" w:space="0" w:color="auto"/>
              <w:bottom w:val="single" w:sz="4" w:space="0" w:color="auto"/>
              <w:right w:val="single" w:sz="4" w:space="0" w:color="auto"/>
            </w:tcBorders>
            <w:shd w:val="clear" w:color="000000" w:fill="E7E6E6"/>
            <w:noWrap/>
            <w:vAlign w:val="center"/>
            <w:hideMark/>
          </w:tcPr>
          <w:p w14:paraId="493ECCCC" w14:textId="564AC1AB" w:rsidR="007F24CA" w:rsidRPr="00052061" w:rsidRDefault="007F24CA" w:rsidP="007F24CA">
            <w:pPr>
              <w:spacing w:after="0" w:line="240" w:lineRule="auto"/>
              <w:jc w:val="left"/>
              <w:rPr>
                <w:rFonts w:eastAsia="Times New Roman" w:cs="Calibri"/>
                <w:b/>
                <w:bCs/>
                <w:color w:val="000000"/>
                <w:sz w:val="18"/>
                <w:szCs w:val="18"/>
                <w:lang w:val="en-US" w:eastAsia="fr-FR"/>
              </w:rPr>
            </w:pPr>
            <w:r w:rsidRPr="00A6423B">
              <w:rPr>
                <w:rFonts w:eastAsia="Times New Roman" w:cs="Calibri"/>
                <w:b/>
                <w:bCs/>
                <w:color w:val="000000"/>
                <w:sz w:val="18"/>
                <w:szCs w:val="18"/>
                <w:lang w:val="en-US" w:eastAsia="fr-FR"/>
              </w:rPr>
              <w:t>Site Name</w:t>
            </w:r>
          </w:p>
        </w:tc>
        <w:tc>
          <w:tcPr>
            <w:tcW w:w="1361" w:type="dxa"/>
            <w:tcBorders>
              <w:top w:val="nil"/>
              <w:left w:val="nil"/>
              <w:bottom w:val="single" w:sz="4" w:space="0" w:color="auto"/>
              <w:right w:val="single" w:sz="4" w:space="0" w:color="auto"/>
            </w:tcBorders>
            <w:shd w:val="clear" w:color="000000" w:fill="D9E1F2"/>
            <w:noWrap/>
            <w:vAlign w:val="center"/>
            <w:hideMark/>
          </w:tcPr>
          <w:p w14:paraId="094387F4" w14:textId="228BDC49" w:rsidR="007F24CA" w:rsidRPr="00052061" w:rsidRDefault="007F24CA" w:rsidP="007F24CA">
            <w:pPr>
              <w:spacing w:after="0" w:line="240" w:lineRule="auto"/>
              <w:jc w:val="left"/>
              <w:rPr>
                <w:rFonts w:eastAsia="Times New Roman" w:cs="Calibri"/>
                <w:b/>
                <w:bCs/>
                <w:color w:val="000000"/>
                <w:sz w:val="18"/>
                <w:szCs w:val="18"/>
                <w:lang w:val="en-US" w:eastAsia="fr-FR"/>
              </w:rPr>
            </w:pPr>
            <w:r w:rsidRPr="00A6423B">
              <w:rPr>
                <w:rFonts w:eastAsia="Times New Roman" w:cs="Calibri"/>
                <w:b/>
                <w:bCs/>
                <w:color w:val="000000"/>
                <w:sz w:val="18"/>
                <w:szCs w:val="18"/>
                <w:lang w:val="en-US" w:eastAsia="fr-FR"/>
              </w:rPr>
              <w:t>Flood</w:t>
            </w:r>
          </w:p>
        </w:tc>
        <w:tc>
          <w:tcPr>
            <w:tcW w:w="1361" w:type="dxa"/>
            <w:tcBorders>
              <w:top w:val="nil"/>
              <w:left w:val="nil"/>
              <w:bottom w:val="single" w:sz="4" w:space="0" w:color="auto"/>
              <w:right w:val="single" w:sz="4" w:space="0" w:color="auto"/>
            </w:tcBorders>
            <w:shd w:val="clear" w:color="000000" w:fill="D9E1F2"/>
            <w:noWrap/>
            <w:vAlign w:val="center"/>
            <w:hideMark/>
          </w:tcPr>
          <w:p w14:paraId="7EC346F2" w14:textId="7D087AD8" w:rsidR="007F24CA" w:rsidRPr="00052061" w:rsidRDefault="007F24CA" w:rsidP="007F24CA">
            <w:pPr>
              <w:spacing w:after="0" w:line="240" w:lineRule="auto"/>
              <w:jc w:val="left"/>
              <w:rPr>
                <w:rFonts w:eastAsia="Times New Roman" w:cs="Calibri"/>
                <w:b/>
                <w:bCs/>
                <w:color w:val="000000"/>
                <w:sz w:val="18"/>
                <w:szCs w:val="18"/>
                <w:lang w:val="en-US" w:eastAsia="fr-FR"/>
              </w:rPr>
            </w:pPr>
            <w:r>
              <w:rPr>
                <w:rFonts w:eastAsia="Times New Roman" w:cs="Calibri"/>
                <w:b/>
                <w:bCs/>
                <w:color w:val="000000"/>
                <w:sz w:val="18"/>
                <w:szCs w:val="18"/>
                <w:lang w:val="en-US" w:eastAsia="fr-FR"/>
              </w:rPr>
              <w:t>Temperature</w:t>
            </w:r>
          </w:p>
        </w:tc>
        <w:tc>
          <w:tcPr>
            <w:tcW w:w="1361" w:type="dxa"/>
            <w:tcBorders>
              <w:top w:val="nil"/>
              <w:left w:val="nil"/>
              <w:bottom w:val="single" w:sz="4" w:space="0" w:color="auto"/>
              <w:right w:val="single" w:sz="4" w:space="0" w:color="auto"/>
            </w:tcBorders>
            <w:shd w:val="clear" w:color="000000" w:fill="D9E1F2"/>
            <w:noWrap/>
            <w:vAlign w:val="center"/>
            <w:hideMark/>
          </w:tcPr>
          <w:p w14:paraId="2485B1AB" w14:textId="2A74E67A" w:rsidR="007F24CA" w:rsidRPr="00052061" w:rsidRDefault="007F24CA" w:rsidP="007F24CA">
            <w:pPr>
              <w:spacing w:after="0" w:line="240" w:lineRule="auto"/>
              <w:jc w:val="left"/>
              <w:rPr>
                <w:rFonts w:eastAsia="Times New Roman" w:cs="Calibri"/>
                <w:b/>
                <w:bCs/>
                <w:color w:val="000000"/>
                <w:sz w:val="18"/>
                <w:szCs w:val="18"/>
                <w:lang w:val="en-US" w:eastAsia="fr-FR"/>
              </w:rPr>
            </w:pPr>
            <w:r>
              <w:rPr>
                <w:rFonts w:eastAsia="Times New Roman" w:cs="Calibri"/>
                <w:b/>
                <w:bCs/>
                <w:color w:val="000000"/>
                <w:sz w:val="18"/>
                <w:szCs w:val="18"/>
                <w:lang w:val="en-US" w:eastAsia="fr-FR"/>
              </w:rPr>
              <w:t>Heat</w:t>
            </w:r>
          </w:p>
        </w:tc>
        <w:tc>
          <w:tcPr>
            <w:tcW w:w="1361" w:type="dxa"/>
            <w:tcBorders>
              <w:top w:val="nil"/>
              <w:left w:val="nil"/>
              <w:bottom w:val="single" w:sz="4" w:space="0" w:color="auto"/>
              <w:right w:val="single" w:sz="4" w:space="0" w:color="auto"/>
            </w:tcBorders>
            <w:shd w:val="clear" w:color="000000" w:fill="D9E1F2"/>
            <w:noWrap/>
            <w:vAlign w:val="center"/>
            <w:hideMark/>
          </w:tcPr>
          <w:p w14:paraId="37FDBB6C" w14:textId="4FAC2198" w:rsidR="007F24CA" w:rsidRPr="00052061" w:rsidRDefault="007F24CA" w:rsidP="007F24CA">
            <w:pPr>
              <w:spacing w:after="0" w:line="240" w:lineRule="auto"/>
              <w:jc w:val="left"/>
              <w:rPr>
                <w:rFonts w:eastAsia="Times New Roman" w:cs="Calibri"/>
                <w:b/>
                <w:bCs/>
                <w:color w:val="000000"/>
                <w:sz w:val="18"/>
                <w:szCs w:val="18"/>
                <w:lang w:val="en-US" w:eastAsia="fr-FR"/>
              </w:rPr>
            </w:pPr>
            <w:r>
              <w:rPr>
                <w:rFonts w:eastAsia="Times New Roman" w:cs="Calibri"/>
                <w:b/>
                <w:bCs/>
                <w:color w:val="000000"/>
                <w:sz w:val="18"/>
                <w:szCs w:val="18"/>
                <w:lang w:val="en-US" w:eastAsia="fr-FR"/>
              </w:rPr>
              <w:t>Storm</w:t>
            </w:r>
          </w:p>
        </w:tc>
        <w:tc>
          <w:tcPr>
            <w:tcW w:w="1361" w:type="dxa"/>
            <w:tcBorders>
              <w:top w:val="nil"/>
              <w:left w:val="nil"/>
              <w:bottom w:val="single" w:sz="4" w:space="0" w:color="auto"/>
              <w:right w:val="single" w:sz="4" w:space="0" w:color="auto"/>
            </w:tcBorders>
            <w:shd w:val="clear" w:color="000000" w:fill="D9E1F2"/>
            <w:noWrap/>
            <w:vAlign w:val="center"/>
            <w:hideMark/>
          </w:tcPr>
          <w:p w14:paraId="1C0BF0F5" w14:textId="04F03A07" w:rsidR="007F24CA" w:rsidRPr="00052061" w:rsidRDefault="007F24CA" w:rsidP="007F24CA">
            <w:pPr>
              <w:spacing w:after="0" w:line="240" w:lineRule="auto"/>
              <w:jc w:val="left"/>
              <w:rPr>
                <w:rFonts w:eastAsia="Times New Roman" w:cs="Calibri"/>
                <w:b/>
                <w:bCs/>
                <w:color w:val="000000"/>
                <w:sz w:val="18"/>
                <w:szCs w:val="18"/>
                <w:lang w:val="en-US" w:eastAsia="fr-FR"/>
              </w:rPr>
            </w:pPr>
            <w:r>
              <w:rPr>
                <w:rFonts w:eastAsia="Times New Roman" w:cs="Calibri"/>
                <w:b/>
                <w:bCs/>
                <w:color w:val="000000"/>
                <w:sz w:val="18"/>
                <w:szCs w:val="18"/>
                <w:lang w:val="en-US" w:eastAsia="fr-FR"/>
              </w:rPr>
              <w:t>Extreme wind</w:t>
            </w:r>
          </w:p>
        </w:tc>
      </w:tr>
      <w:tr w:rsidR="008D060F" w:rsidRPr="00367C0B" w14:paraId="2C0389A8" w14:textId="77777777" w:rsidTr="00EE557A">
        <w:trPr>
          <w:gridAfter w:val="4"/>
          <w:wAfter w:w="6747" w:type="dxa"/>
          <w:trHeight w:val="320"/>
        </w:trPr>
        <w:tc>
          <w:tcPr>
            <w:tcW w:w="2778" w:type="dxa"/>
            <w:tcBorders>
              <w:top w:val="nil"/>
              <w:left w:val="single" w:sz="4" w:space="0" w:color="auto"/>
              <w:bottom w:val="single" w:sz="4" w:space="0" w:color="auto"/>
              <w:right w:val="single" w:sz="4" w:space="0" w:color="auto"/>
            </w:tcBorders>
            <w:shd w:val="clear" w:color="auto" w:fill="auto"/>
            <w:noWrap/>
            <w:hideMark/>
          </w:tcPr>
          <w:p w14:paraId="3A6C0F2E" w14:textId="79F08783" w:rsidR="008D060F" w:rsidRPr="00052061" w:rsidRDefault="008D060F" w:rsidP="008D060F">
            <w:pPr>
              <w:spacing w:after="0" w:line="240" w:lineRule="auto"/>
              <w:jc w:val="left"/>
              <w:rPr>
                <w:rFonts w:eastAsia="Times New Roman" w:cs="Calibri"/>
                <w:color w:val="000000"/>
                <w:sz w:val="18"/>
                <w:szCs w:val="18"/>
                <w:lang w:val="en-US" w:eastAsia="fr-FR"/>
              </w:rPr>
            </w:pPr>
            <w:r w:rsidRPr="00367C0B">
              <w:rPr>
                <w:lang w:val="en-US"/>
              </w:rPr>
              <w:t>Sangachal Terminal</w:t>
            </w:r>
          </w:p>
        </w:tc>
        <w:tc>
          <w:tcPr>
            <w:tcW w:w="1361" w:type="dxa"/>
            <w:tcBorders>
              <w:top w:val="single" w:sz="4" w:space="0" w:color="auto"/>
              <w:left w:val="single" w:sz="4" w:space="0" w:color="auto"/>
              <w:bottom w:val="single" w:sz="4" w:space="0" w:color="auto"/>
              <w:right w:val="single" w:sz="4" w:space="0" w:color="auto"/>
            </w:tcBorders>
            <w:shd w:val="clear" w:color="auto" w:fill="D8DF81"/>
            <w:noWrap/>
            <w:hideMark/>
          </w:tcPr>
          <w:p w14:paraId="5E8F28B5" w14:textId="030BE04B" w:rsidR="008D060F" w:rsidRPr="00052061" w:rsidRDefault="008D060F" w:rsidP="008D060F">
            <w:pPr>
              <w:spacing w:after="0" w:line="240" w:lineRule="auto"/>
              <w:jc w:val="right"/>
              <w:rPr>
                <w:rFonts w:eastAsia="Times New Roman" w:cs="Calibri"/>
                <w:color w:val="000000"/>
                <w:sz w:val="18"/>
                <w:szCs w:val="18"/>
                <w:lang w:val="en-US" w:eastAsia="fr-FR"/>
              </w:rPr>
            </w:pPr>
            <w:r w:rsidRPr="00367C0B">
              <w:rPr>
                <w:lang w:val="en-US"/>
              </w:rPr>
              <w:t>1</w:t>
            </w:r>
          </w:p>
        </w:tc>
        <w:tc>
          <w:tcPr>
            <w:tcW w:w="1361" w:type="dxa"/>
            <w:tcBorders>
              <w:top w:val="single" w:sz="4" w:space="0" w:color="auto"/>
              <w:left w:val="single" w:sz="4" w:space="0" w:color="auto"/>
              <w:bottom w:val="single" w:sz="4" w:space="0" w:color="auto"/>
              <w:right w:val="single" w:sz="4" w:space="0" w:color="auto"/>
            </w:tcBorders>
            <w:shd w:val="clear" w:color="auto" w:fill="FDC07C"/>
            <w:noWrap/>
            <w:hideMark/>
          </w:tcPr>
          <w:p w14:paraId="35198F28" w14:textId="4A6F8C65" w:rsidR="008D060F" w:rsidRPr="00052061" w:rsidRDefault="008D060F" w:rsidP="008D060F">
            <w:pPr>
              <w:spacing w:after="0" w:line="240" w:lineRule="auto"/>
              <w:jc w:val="right"/>
              <w:rPr>
                <w:rFonts w:eastAsia="Times New Roman" w:cs="Calibri"/>
                <w:color w:val="000000"/>
                <w:sz w:val="18"/>
                <w:szCs w:val="18"/>
                <w:lang w:val="en-US" w:eastAsia="fr-FR"/>
              </w:rPr>
            </w:pPr>
            <w:r w:rsidRPr="00367C0B">
              <w:rPr>
                <w:lang w:val="en-US"/>
              </w:rPr>
              <w:t>3</w:t>
            </w:r>
          </w:p>
        </w:tc>
        <w:tc>
          <w:tcPr>
            <w:tcW w:w="1361" w:type="dxa"/>
            <w:tcBorders>
              <w:top w:val="single" w:sz="4" w:space="0" w:color="auto"/>
              <w:left w:val="single" w:sz="4" w:space="0" w:color="auto"/>
              <w:bottom w:val="single" w:sz="4" w:space="0" w:color="auto"/>
              <w:right w:val="single" w:sz="4" w:space="0" w:color="auto"/>
            </w:tcBorders>
            <w:shd w:val="clear" w:color="auto" w:fill="FDC07C"/>
            <w:noWrap/>
            <w:hideMark/>
          </w:tcPr>
          <w:p w14:paraId="3095BE7C" w14:textId="5EDAC617" w:rsidR="008D060F" w:rsidRPr="00052061" w:rsidRDefault="008D060F" w:rsidP="008D060F">
            <w:pPr>
              <w:spacing w:after="0" w:line="240" w:lineRule="auto"/>
              <w:jc w:val="right"/>
              <w:rPr>
                <w:rFonts w:eastAsia="Times New Roman" w:cs="Calibri"/>
                <w:color w:val="000000"/>
                <w:sz w:val="18"/>
                <w:szCs w:val="18"/>
                <w:lang w:val="en-US" w:eastAsia="fr-FR"/>
              </w:rPr>
            </w:pPr>
            <w:r w:rsidRPr="00367C0B">
              <w:rPr>
                <w:lang w:val="en-US"/>
              </w:rPr>
              <w:t>3</w:t>
            </w:r>
          </w:p>
        </w:tc>
        <w:tc>
          <w:tcPr>
            <w:tcW w:w="1361" w:type="dxa"/>
            <w:tcBorders>
              <w:top w:val="single" w:sz="4" w:space="0" w:color="auto"/>
              <w:left w:val="single" w:sz="4" w:space="0" w:color="auto"/>
              <w:bottom w:val="single" w:sz="4" w:space="0" w:color="auto"/>
              <w:right w:val="single" w:sz="4" w:space="0" w:color="auto"/>
            </w:tcBorders>
            <w:shd w:val="clear" w:color="auto" w:fill="F8696B"/>
            <w:noWrap/>
            <w:hideMark/>
          </w:tcPr>
          <w:p w14:paraId="7BB9636D" w14:textId="14C25040" w:rsidR="008D060F" w:rsidRPr="00052061" w:rsidRDefault="008D060F" w:rsidP="008D060F">
            <w:pPr>
              <w:spacing w:after="0" w:line="240" w:lineRule="auto"/>
              <w:jc w:val="right"/>
              <w:rPr>
                <w:rFonts w:eastAsia="Times New Roman" w:cs="Calibri"/>
                <w:color w:val="000000"/>
                <w:sz w:val="18"/>
                <w:szCs w:val="18"/>
                <w:lang w:val="en-US" w:eastAsia="fr-FR"/>
              </w:rPr>
            </w:pPr>
            <w:r w:rsidRPr="00367C0B">
              <w:rPr>
                <w:lang w:val="en-US"/>
              </w:rPr>
              <w:t>4</w:t>
            </w:r>
          </w:p>
        </w:tc>
        <w:tc>
          <w:tcPr>
            <w:tcW w:w="1361" w:type="dxa"/>
            <w:tcBorders>
              <w:top w:val="single" w:sz="4" w:space="0" w:color="auto"/>
              <w:left w:val="single" w:sz="4" w:space="0" w:color="auto"/>
              <w:bottom w:val="single" w:sz="4" w:space="0" w:color="auto"/>
              <w:right w:val="single" w:sz="4" w:space="0" w:color="auto"/>
            </w:tcBorders>
            <w:shd w:val="clear" w:color="auto" w:fill="FDC07C"/>
            <w:noWrap/>
            <w:hideMark/>
          </w:tcPr>
          <w:p w14:paraId="12283846" w14:textId="350C0A27" w:rsidR="008D060F" w:rsidRPr="00052061" w:rsidRDefault="008D060F" w:rsidP="008D060F">
            <w:pPr>
              <w:spacing w:after="0" w:line="240" w:lineRule="auto"/>
              <w:jc w:val="right"/>
              <w:rPr>
                <w:rFonts w:eastAsia="Times New Roman" w:cs="Calibri"/>
                <w:color w:val="000000"/>
                <w:sz w:val="18"/>
                <w:szCs w:val="18"/>
                <w:lang w:val="en-US" w:eastAsia="fr-FR"/>
              </w:rPr>
            </w:pPr>
            <w:r w:rsidRPr="00367C0B">
              <w:rPr>
                <w:lang w:val="en-US"/>
              </w:rPr>
              <w:t>3</w:t>
            </w:r>
          </w:p>
        </w:tc>
      </w:tr>
      <w:tr w:rsidR="008D060F" w:rsidRPr="00367C0B" w14:paraId="1EAF6227" w14:textId="77777777" w:rsidTr="00EE557A">
        <w:trPr>
          <w:gridAfter w:val="4"/>
          <w:wAfter w:w="6747" w:type="dxa"/>
          <w:trHeight w:val="320"/>
        </w:trPr>
        <w:tc>
          <w:tcPr>
            <w:tcW w:w="2778" w:type="dxa"/>
            <w:tcBorders>
              <w:top w:val="nil"/>
              <w:left w:val="single" w:sz="4" w:space="0" w:color="auto"/>
              <w:bottom w:val="single" w:sz="4" w:space="0" w:color="auto"/>
              <w:right w:val="single" w:sz="4" w:space="0" w:color="auto"/>
            </w:tcBorders>
            <w:shd w:val="clear" w:color="auto" w:fill="auto"/>
            <w:noWrap/>
            <w:hideMark/>
          </w:tcPr>
          <w:p w14:paraId="1EC4BCAA" w14:textId="2751EF34" w:rsidR="008D060F" w:rsidRPr="00052061" w:rsidRDefault="008D060F" w:rsidP="008D060F">
            <w:pPr>
              <w:spacing w:after="0" w:line="240" w:lineRule="auto"/>
              <w:jc w:val="left"/>
              <w:rPr>
                <w:rFonts w:eastAsia="Times New Roman" w:cs="Calibri"/>
                <w:color w:val="000000"/>
                <w:sz w:val="18"/>
                <w:szCs w:val="18"/>
                <w:lang w:val="en-US" w:eastAsia="fr-FR"/>
              </w:rPr>
            </w:pPr>
            <w:proofErr w:type="spellStart"/>
            <w:r w:rsidRPr="00367C0B">
              <w:rPr>
                <w:lang w:val="en-US"/>
              </w:rPr>
              <w:t>Dubendi</w:t>
            </w:r>
            <w:proofErr w:type="spellEnd"/>
            <w:r w:rsidRPr="00367C0B">
              <w:rPr>
                <w:lang w:val="en-US"/>
              </w:rPr>
              <w:t xml:space="preserve"> Terminal</w:t>
            </w:r>
          </w:p>
        </w:tc>
        <w:tc>
          <w:tcPr>
            <w:tcW w:w="1361" w:type="dxa"/>
            <w:tcBorders>
              <w:top w:val="single" w:sz="4" w:space="0" w:color="auto"/>
              <w:left w:val="single" w:sz="4" w:space="0" w:color="auto"/>
              <w:bottom w:val="single" w:sz="4" w:space="0" w:color="auto"/>
              <w:right w:val="single" w:sz="4" w:space="0" w:color="auto"/>
            </w:tcBorders>
            <w:shd w:val="clear" w:color="auto" w:fill="D8DF81"/>
            <w:noWrap/>
            <w:hideMark/>
          </w:tcPr>
          <w:p w14:paraId="7C8675EF" w14:textId="37F41892" w:rsidR="008D060F" w:rsidRPr="00052061" w:rsidRDefault="008D060F" w:rsidP="008D060F">
            <w:pPr>
              <w:spacing w:after="0" w:line="240" w:lineRule="auto"/>
              <w:jc w:val="right"/>
              <w:rPr>
                <w:rFonts w:eastAsia="Times New Roman" w:cs="Calibri"/>
                <w:color w:val="000000"/>
                <w:sz w:val="18"/>
                <w:szCs w:val="18"/>
                <w:lang w:val="en-US" w:eastAsia="fr-FR"/>
              </w:rPr>
            </w:pPr>
            <w:r w:rsidRPr="00367C0B">
              <w:rPr>
                <w:lang w:val="en-US"/>
              </w:rPr>
              <w:t>1</w:t>
            </w:r>
          </w:p>
        </w:tc>
        <w:tc>
          <w:tcPr>
            <w:tcW w:w="1361" w:type="dxa"/>
            <w:tcBorders>
              <w:top w:val="single" w:sz="4" w:space="0" w:color="auto"/>
              <w:left w:val="single" w:sz="4" w:space="0" w:color="auto"/>
              <w:bottom w:val="single" w:sz="4" w:space="0" w:color="auto"/>
              <w:right w:val="single" w:sz="4" w:space="0" w:color="auto"/>
            </w:tcBorders>
            <w:shd w:val="clear" w:color="auto" w:fill="FDC07C"/>
            <w:noWrap/>
            <w:hideMark/>
          </w:tcPr>
          <w:p w14:paraId="4D674A29" w14:textId="29C43F0D" w:rsidR="008D060F" w:rsidRPr="00052061" w:rsidRDefault="008D060F" w:rsidP="008D060F">
            <w:pPr>
              <w:spacing w:after="0" w:line="240" w:lineRule="auto"/>
              <w:jc w:val="right"/>
              <w:rPr>
                <w:rFonts w:eastAsia="Times New Roman" w:cs="Calibri"/>
                <w:color w:val="000000"/>
                <w:sz w:val="18"/>
                <w:szCs w:val="18"/>
                <w:lang w:val="en-US" w:eastAsia="fr-FR"/>
              </w:rPr>
            </w:pPr>
            <w:r w:rsidRPr="00367C0B">
              <w:rPr>
                <w:lang w:val="en-US"/>
              </w:rPr>
              <w:t>3</w:t>
            </w:r>
          </w:p>
        </w:tc>
        <w:tc>
          <w:tcPr>
            <w:tcW w:w="1361" w:type="dxa"/>
            <w:tcBorders>
              <w:top w:val="single" w:sz="4" w:space="0" w:color="auto"/>
              <w:left w:val="single" w:sz="4" w:space="0" w:color="auto"/>
              <w:bottom w:val="single" w:sz="4" w:space="0" w:color="auto"/>
              <w:right w:val="single" w:sz="4" w:space="0" w:color="auto"/>
            </w:tcBorders>
            <w:shd w:val="clear" w:color="auto" w:fill="FDC07C"/>
            <w:noWrap/>
            <w:hideMark/>
          </w:tcPr>
          <w:p w14:paraId="0E94D5F2" w14:textId="4E690FBF" w:rsidR="008D060F" w:rsidRPr="00052061" w:rsidRDefault="008D060F" w:rsidP="008D060F">
            <w:pPr>
              <w:spacing w:after="0" w:line="240" w:lineRule="auto"/>
              <w:jc w:val="right"/>
              <w:rPr>
                <w:rFonts w:eastAsia="Times New Roman" w:cs="Calibri"/>
                <w:color w:val="000000"/>
                <w:sz w:val="18"/>
                <w:szCs w:val="18"/>
                <w:lang w:val="en-US" w:eastAsia="fr-FR"/>
              </w:rPr>
            </w:pPr>
            <w:r w:rsidRPr="00367C0B">
              <w:rPr>
                <w:lang w:val="en-US"/>
              </w:rPr>
              <w:t>3</w:t>
            </w:r>
          </w:p>
        </w:tc>
        <w:tc>
          <w:tcPr>
            <w:tcW w:w="1361" w:type="dxa"/>
            <w:tcBorders>
              <w:top w:val="single" w:sz="4" w:space="0" w:color="auto"/>
              <w:left w:val="single" w:sz="4" w:space="0" w:color="auto"/>
              <w:bottom w:val="single" w:sz="4" w:space="0" w:color="auto"/>
              <w:right w:val="single" w:sz="4" w:space="0" w:color="auto"/>
            </w:tcBorders>
            <w:shd w:val="clear" w:color="auto" w:fill="F8696B"/>
            <w:noWrap/>
            <w:hideMark/>
          </w:tcPr>
          <w:p w14:paraId="7EE07097" w14:textId="721105B9" w:rsidR="008D060F" w:rsidRPr="00052061" w:rsidRDefault="008D060F" w:rsidP="008D060F">
            <w:pPr>
              <w:spacing w:after="0" w:line="240" w:lineRule="auto"/>
              <w:jc w:val="right"/>
              <w:rPr>
                <w:rFonts w:eastAsia="Times New Roman" w:cs="Calibri"/>
                <w:color w:val="000000"/>
                <w:sz w:val="18"/>
                <w:szCs w:val="18"/>
                <w:lang w:val="en-US" w:eastAsia="fr-FR"/>
              </w:rPr>
            </w:pPr>
            <w:r w:rsidRPr="00367C0B">
              <w:rPr>
                <w:lang w:val="en-US"/>
              </w:rPr>
              <w:t>4</w:t>
            </w:r>
          </w:p>
        </w:tc>
        <w:tc>
          <w:tcPr>
            <w:tcW w:w="1361" w:type="dxa"/>
            <w:tcBorders>
              <w:top w:val="single" w:sz="4" w:space="0" w:color="auto"/>
              <w:left w:val="single" w:sz="4" w:space="0" w:color="auto"/>
              <w:bottom w:val="single" w:sz="4" w:space="0" w:color="auto"/>
              <w:right w:val="single" w:sz="4" w:space="0" w:color="auto"/>
            </w:tcBorders>
            <w:shd w:val="clear" w:color="auto" w:fill="FDC07C"/>
            <w:noWrap/>
            <w:hideMark/>
          </w:tcPr>
          <w:p w14:paraId="034C3C3B" w14:textId="5E353DDB" w:rsidR="008D060F" w:rsidRPr="00052061" w:rsidRDefault="008D060F" w:rsidP="008D060F">
            <w:pPr>
              <w:spacing w:after="0" w:line="240" w:lineRule="auto"/>
              <w:jc w:val="right"/>
              <w:rPr>
                <w:rFonts w:eastAsia="Times New Roman" w:cs="Calibri"/>
                <w:color w:val="000000"/>
                <w:sz w:val="18"/>
                <w:szCs w:val="18"/>
                <w:lang w:val="en-US" w:eastAsia="fr-FR"/>
              </w:rPr>
            </w:pPr>
            <w:r w:rsidRPr="00367C0B">
              <w:rPr>
                <w:lang w:val="en-US"/>
              </w:rPr>
              <w:t>3</w:t>
            </w:r>
          </w:p>
        </w:tc>
      </w:tr>
      <w:tr w:rsidR="008D060F" w:rsidRPr="00367C0B" w14:paraId="0D75C444" w14:textId="77777777" w:rsidTr="00EE557A">
        <w:trPr>
          <w:gridAfter w:val="4"/>
          <w:wAfter w:w="6747" w:type="dxa"/>
          <w:trHeight w:val="320"/>
        </w:trPr>
        <w:tc>
          <w:tcPr>
            <w:tcW w:w="2778" w:type="dxa"/>
            <w:tcBorders>
              <w:top w:val="nil"/>
              <w:left w:val="single" w:sz="4" w:space="0" w:color="auto"/>
              <w:bottom w:val="single" w:sz="4" w:space="0" w:color="auto"/>
              <w:right w:val="single" w:sz="4" w:space="0" w:color="auto"/>
            </w:tcBorders>
            <w:shd w:val="clear" w:color="auto" w:fill="auto"/>
            <w:noWrap/>
            <w:hideMark/>
          </w:tcPr>
          <w:p w14:paraId="495526EB" w14:textId="1FE22918" w:rsidR="008D060F" w:rsidRPr="00052061" w:rsidRDefault="008D060F" w:rsidP="008D060F">
            <w:pPr>
              <w:spacing w:after="0" w:line="240" w:lineRule="auto"/>
              <w:jc w:val="left"/>
              <w:rPr>
                <w:rFonts w:eastAsia="Times New Roman" w:cs="Calibri"/>
                <w:color w:val="000000"/>
                <w:sz w:val="18"/>
                <w:szCs w:val="18"/>
                <w:lang w:val="en-US" w:eastAsia="fr-FR"/>
              </w:rPr>
            </w:pPr>
            <w:proofErr w:type="spellStart"/>
            <w:r w:rsidRPr="00367C0B">
              <w:rPr>
                <w:lang w:val="en-US"/>
              </w:rPr>
              <w:t>Zygh</w:t>
            </w:r>
            <w:proofErr w:type="spellEnd"/>
            <w:r w:rsidRPr="00367C0B">
              <w:rPr>
                <w:lang w:val="en-US"/>
              </w:rPr>
              <w:t xml:space="preserve"> Shipyard</w:t>
            </w:r>
          </w:p>
        </w:tc>
        <w:tc>
          <w:tcPr>
            <w:tcW w:w="1361" w:type="dxa"/>
            <w:tcBorders>
              <w:top w:val="single" w:sz="4" w:space="0" w:color="auto"/>
              <w:left w:val="single" w:sz="4" w:space="0" w:color="auto"/>
              <w:bottom w:val="single" w:sz="4" w:space="0" w:color="auto"/>
              <w:right w:val="single" w:sz="4" w:space="0" w:color="auto"/>
            </w:tcBorders>
            <w:shd w:val="clear" w:color="auto" w:fill="D8DF81"/>
            <w:noWrap/>
            <w:hideMark/>
          </w:tcPr>
          <w:p w14:paraId="62C2F16A" w14:textId="0F5A8BA5" w:rsidR="008D060F" w:rsidRPr="00052061" w:rsidRDefault="008D060F" w:rsidP="008D060F">
            <w:pPr>
              <w:spacing w:after="0" w:line="240" w:lineRule="auto"/>
              <w:jc w:val="right"/>
              <w:rPr>
                <w:rFonts w:eastAsia="Times New Roman" w:cs="Calibri"/>
                <w:color w:val="000000"/>
                <w:sz w:val="18"/>
                <w:szCs w:val="18"/>
                <w:lang w:val="en-US" w:eastAsia="fr-FR"/>
              </w:rPr>
            </w:pPr>
            <w:r w:rsidRPr="00367C0B">
              <w:rPr>
                <w:lang w:val="en-US"/>
              </w:rPr>
              <w:t>2</w:t>
            </w:r>
          </w:p>
        </w:tc>
        <w:tc>
          <w:tcPr>
            <w:tcW w:w="1361" w:type="dxa"/>
            <w:tcBorders>
              <w:top w:val="single" w:sz="4" w:space="0" w:color="auto"/>
              <w:left w:val="single" w:sz="4" w:space="0" w:color="auto"/>
              <w:bottom w:val="single" w:sz="4" w:space="0" w:color="auto"/>
              <w:right w:val="single" w:sz="4" w:space="0" w:color="auto"/>
            </w:tcBorders>
            <w:shd w:val="clear" w:color="auto" w:fill="FDC07C"/>
            <w:noWrap/>
            <w:hideMark/>
          </w:tcPr>
          <w:p w14:paraId="6BB46CDC" w14:textId="24CCD1B0" w:rsidR="008D060F" w:rsidRPr="00052061" w:rsidRDefault="008D060F" w:rsidP="008D060F">
            <w:pPr>
              <w:spacing w:after="0" w:line="240" w:lineRule="auto"/>
              <w:jc w:val="right"/>
              <w:rPr>
                <w:rFonts w:eastAsia="Times New Roman" w:cs="Calibri"/>
                <w:color w:val="000000"/>
                <w:sz w:val="18"/>
                <w:szCs w:val="18"/>
                <w:lang w:val="en-US" w:eastAsia="fr-FR"/>
              </w:rPr>
            </w:pPr>
            <w:r w:rsidRPr="00367C0B">
              <w:rPr>
                <w:lang w:val="en-US"/>
              </w:rPr>
              <w:t>3</w:t>
            </w:r>
          </w:p>
        </w:tc>
        <w:tc>
          <w:tcPr>
            <w:tcW w:w="1361" w:type="dxa"/>
            <w:tcBorders>
              <w:top w:val="single" w:sz="4" w:space="0" w:color="auto"/>
              <w:left w:val="single" w:sz="4" w:space="0" w:color="auto"/>
              <w:bottom w:val="single" w:sz="4" w:space="0" w:color="auto"/>
              <w:right w:val="single" w:sz="4" w:space="0" w:color="auto"/>
            </w:tcBorders>
            <w:shd w:val="clear" w:color="auto" w:fill="FDC07C"/>
            <w:noWrap/>
            <w:hideMark/>
          </w:tcPr>
          <w:p w14:paraId="03C12FB5" w14:textId="5162BB7A" w:rsidR="008D060F" w:rsidRPr="00052061" w:rsidRDefault="008D060F" w:rsidP="008D060F">
            <w:pPr>
              <w:spacing w:after="0" w:line="240" w:lineRule="auto"/>
              <w:jc w:val="right"/>
              <w:rPr>
                <w:rFonts w:eastAsia="Times New Roman" w:cs="Calibri"/>
                <w:color w:val="000000"/>
                <w:sz w:val="18"/>
                <w:szCs w:val="18"/>
                <w:lang w:val="en-US" w:eastAsia="fr-FR"/>
              </w:rPr>
            </w:pPr>
            <w:r w:rsidRPr="00367C0B">
              <w:rPr>
                <w:lang w:val="en-US"/>
              </w:rPr>
              <w:t>3</w:t>
            </w:r>
          </w:p>
        </w:tc>
        <w:tc>
          <w:tcPr>
            <w:tcW w:w="1361" w:type="dxa"/>
            <w:tcBorders>
              <w:top w:val="single" w:sz="4" w:space="0" w:color="auto"/>
              <w:left w:val="single" w:sz="4" w:space="0" w:color="auto"/>
              <w:bottom w:val="single" w:sz="4" w:space="0" w:color="auto"/>
              <w:right w:val="single" w:sz="4" w:space="0" w:color="auto"/>
            </w:tcBorders>
            <w:shd w:val="clear" w:color="auto" w:fill="F8696B"/>
            <w:noWrap/>
            <w:hideMark/>
          </w:tcPr>
          <w:p w14:paraId="254FE8EE" w14:textId="66B6E466" w:rsidR="008D060F" w:rsidRPr="00052061" w:rsidRDefault="008D060F" w:rsidP="008D060F">
            <w:pPr>
              <w:spacing w:after="0" w:line="240" w:lineRule="auto"/>
              <w:jc w:val="right"/>
              <w:rPr>
                <w:rFonts w:eastAsia="Times New Roman" w:cs="Calibri"/>
                <w:color w:val="000000"/>
                <w:sz w:val="18"/>
                <w:szCs w:val="18"/>
                <w:lang w:val="en-US" w:eastAsia="fr-FR"/>
              </w:rPr>
            </w:pPr>
            <w:r w:rsidRPr="00367C0B">
              <w:rPr>
                <w:lang w:val="en-US"/>
              </w:rPr>
              <w:t>4</w:t>
            </w:r>
          </w:p>
        </w:tc>
        <w:tc>
          <w:tcPr>
            <w:tcW w:w="1361" w:type="dxa"/>
            <w:tcBorders>
              <w:top w:val="single" w:sz="4" w:space="0" w:color="auto"/>
              <w:left w:val="single" w:sz="4" w:space="0" w:color="auto"/>
              <w:bottom w:val="single" w:sz="4" w:space="0" w:color="auto"/>
              <w:right w:val="single" w:sz="4" w:space="0" w:color="auto"/>
            </w:tcBorders>
            <w:shd w:val="clear" w:color="auto" w:fill="FDC07C"/>
            <w:noWrap/>
            <w:hideMark/>
          </w:tcPr>
          <w:p w14:paraId="05A7B274" w14:textId="69F31A44" w:rsidR="008D060F" w:rsidRPr="00052061" w:rsidRDefault="008D060F" w:rsidP="008D060F">
            <w:pPr>
              <w:spacing w:after="0" w:line="240" w:lineRule="auto"/>
              <w:jc w:val="right"/>
              <w:rPr>
                <w:rFonts w:eastAsia="Times New Roman" w:cs="Calibri"/>
                <w:color w:val="000000"/>
                <w:sz w:val="18"/>
                <w:szCs w:val="18"/>
                <w:lang w:val="en-US" w:eastAsia="fr-FR"/>
              </w:rPr>
            </w:pPr>
            <w:r w:rsidRPr="00367C0B">
              <w:rPr>
                <w:lang w:val="en-US"/>
              </w:rPr>
              <w:t>3</w:t>
            </w:r>
          </w:p>
        </w:tc>
      </w:tr>
      <w:tr w:rsidR="008D060F" w:rsidRPr="00367C0B" w14:paraId="1C275FF8" w14:textId="77777777" w:rsidTr="00EE557A">
        <w:trPr>
          <w:gridAfter w:val="4"/>
          <w:wAfter w:w="6747" w:type="dxa"/>
          <w:trHeight w:val="320"/>
        </w:trPr>
        <w:tc>
          <w:tcPr>
            <w:tcW w:w="2778" w:type="dxa"/>
            <w:tcBorders>
              <w:top w:val="nil"/>
              <w:left w:val="single" w:sz="4" w:space="0" w:color="auto"/>
              <w:bottom w:val="single" w:sz="4" w:space="0" w:color="auto"/>
              <w:right w:val="single" w:sz="4" w:space="0" w:color="auto"/>
            </w:tcBorders>
            <w:shd w:val="clear" w:color="auto" w:fill="auto"/>
            <w:noWrap/>
            <w:hideMark/>
          </w:tcPr>
          <w:p w14:paraId="79F71A0D" w14:textId="69745696" w:rsidR="008D060F" w:rsidRPr="00052061" w:rsidRDefault="008D060F" w:rsidP="008D060F">
            <w:pPr>
              <w:spacing w:after="0" w:line="240" w:lineRule="auto"/>
              <w:jc w:val="left"/>
              <w:rPr>
                <w:rFonts w:eastAsia="Times New Roman" w:cs="Calibri"/>
                <w:color w:val="000000"/>
                <w:sz w:val="18"/>
                <w:szCs w:val="18"/>
                <w:lang w:val="en-US" w:eastAsia="fr-FR"/>
              </w:rPr>
            </w:pPr>
            <w:r w:rsidRPr="00367C0B">
              <w:rPr>
                <w:lang w:val="en-US"/>
              </w:rPr>
              <w:t>Aktau port</w:t>
            </w:r>
          </w:p>
        </w:tc>
        <w:tc>
          <w:tcPr>
            <w:tcW w:w="1361" w:type="dxa"/>
            <w:tcBorders>
              <w:top w:val="single" w:sz="4" w:space="0" w:color="auto"/>
              <w:left w:val="single" w:sz="4" w:space="0" w:color="auto"/>
              <w:bottom w:val="single" w:sz="4" w:space="0" w:color="auto"/>
              <w:right w:val="single" w:sz="4" w:space="0" w:color="auto"/>
            </w:tcBorders>
            <w:shd w:val="clear" w:color="auto" w:fill="D8DF81"/>
            <w:noWrap/>
            <w:hideMark/>
          </w:tcPr>
          <w:p w14:paraId="17AF4B27" w14:textId="70FBF069" w:rsidR="008D060F" w:rsidRPr="00052061" w:rsidRDefault="008D060F" w:rsidP="008D060F">
            <w:pPr>
              <w:spacing w:after="0" w:line="240" w:lineRule="auto"/>
              <w:jc w:val="right"/>
              <w:rPr>
                <w:rFonts w:eastAsia="Times New Roman" w:cs="Calibri"/>
                <w:color w:val="000000"/>
                <w:sz w:val="18"/>
                <w:szCs w:val="18"/>
                <w:lang w:val="en-US" w:eastAsia="fr-FR"/>
              </w:rPr>
            </w:pPr>
            <w:r w:rsidRPr="00367C0B">
              <w:rPr>
                <w:lang w:val="en-US"/>
              </w:rPr>
              <w:t>1</w:t>
            </w:r>
          </w:p>
        </w:tc>
        <w:tc>
          <w:tcPr>
            <w:tcW w:w="1361" w:type="dxa"/>
            <w:tcBorders>
              <w:top w:val="single" w:sz="4" w:space="0" w:color="auto"/>
              <w:left w:val="single" w:sz="4" w:space="0" w:color="auto"/>
              <w:bottom w:val="single" w:sz="4" w:space="0" w:color="auto"/>
              <w:right w:val="single" w:sz="4" w:space="0" w:color="auto"/>
            </w:tcBorders>
            <w:shd w:val="clear" w:color="auto" w:fill="FDC07C"/>
            <w:noWrap/>
            <w:hideMark/>
          </w:tcPr>
          <w:p w14:paraId="3AE2D655" w14:textId="7E2A0762" w:rsidR="008D060F" w:rsidRPr="00052061" w:rsidRDefault="008D060F" w:rsidP="008D060F">
            <w:pPr>
              <w:spacing w:after="0" w:line="240" w:lineRule="auto"/>
              <w:jc w:val="right"/>
              <w:rPr>
                <w:rFonts w:eastAsia="Times New Roman" w:cs="Calibri"/>
                <w:color w:val="000000"/>
                <w:sz w:val="18"/>
                <w:szCs w:val="18"/>
                <w:lang w:val="en-US" w:eastAsia="fr-FR"/>
              </w:rPr>
            </w:pPr>
            <w:r w:rsidRPr="00367C0B">
              <w:rPr>
                <w:lang w:val="en-US"/>
              </w:rPr>
              <w:t>3</w:t>
            </w:r>
          </w:p>
        </w:tc>
        <w:tc>
          <w:tcPr>
            <w:tcW w:w="1361" w:type="dxa"/>
            <w:tcBorders>
              <w:top w:val="single" w:sz="4" w:space="0" w:color="auto"/>
              <w:left w:val="single" w:sz="4" w:space="0" w:color="auto"/>
              <w:bottom w:val="single" w:sz="4" w:space="0" w:color="auto"/>
              <w:right w:val="single" w:sz="4" w:space="0" w:color="auto"/>
            </w:tcBorders>
            <w:shd w:val="clear" w:color="auto" w:fill="FDC07C"/>
            <w:noWrap/>
            <w:hideMark/>
          </w:tcPr>
          <w:p w14:paraId="2B455971" w14:textId="5F956033" w:rsidR="008D060F" w:rsidRPr="00052061" w:rsidRDefault="008D060F" w:rsidP="008D060F">
            <w:pPr>
              <w:spacing w:after="0" w:line="240" w:lineRule="auto"/>
              <w:jc w:val="right"/>
              <w:rPr>
                <w:rFonts w:eastAsia="Times New Roman" w:cs="Calibri"/>
                <w:color w:val="000000"/>
                <w:sz w:val="18"/>
                <w:szCs w:val="18"/>
                <w:lang w:val="en-US" w:eastAsia="fr-FR"/>
              </w:rPr>
            </w:pPr>
            <w:r w:rsidRPr="00367C0B">
              <w:rPr>
                <w:lang w:val="en-US"/>
              </w:rPr>
              <w:t>3</w:t>
            </w:r>
          </w:p>
        </w:tc>
        <w:tc>
          <w:tcPr>
            <w:tcW w:w="1361" w:type="dxa"/>
            <w:tcBorders>
              <w:top w:val="single" w:sz="4" w:space="0" w:color="auto"/>
              <w:left w:val="single" w:sz="4" w:space="0" w:color="auto"/>
              <w:bottom w:val="single" w:sz="4" w:space="0" w:color="auto"/>
              <w:right w:val="single" w:sz="4" w:space="0" w:color="auto"/>
            </w:tcBorders>
            <w:shd w:val="clear" w:color="auto" w:fill="F8696B"/>
            <w:noWrap/>
            <w:hideMark/>
          </w:tcPr>
          <w:p w14:paraId="1E85005F" w14:textId="72321941" w:rsidR="008D060F" w:rsidRPr="00052061" w:rsidRDefault="008D060F" w:rsidP="008D060F">
            <w:pPr>
              <w:spacing w:after="0" w:line="240" w:lineRule="auto"/>
              <w:jc w:val="right"/>
              <w:rPr>
                <w:rFonts w:eastAsia="Times New Roman" w:cs="Calibri"/>
                <w:color w:val="000000"/>
                <w:sz w:val="18"/>
                <w:szCs w:val="18"/>
                <w:lang w:val="en-US" w:eastAsia="fr-FR"/>
              </w:rPr>
            </w:pPr>
            <w:r w:rsidRPr="00367C0B">
              <w:rPr>
                <w:lang w:val="en-US"/>
              </w:rPr>
              <w:t>4</w:t>
            </w:r>
          </w:p>
        </w:tc>
        <w:tc>
          <w:tcPr>
            <w:tcW w:w="1361" w:type="dxa"/>
            <w:tcBorders>
              <w:top w:val="single" w:sz="4" w:space="0" w:color="auto"/>
              <w:left w:val="single" w:sz="4" w:space="0" w:color="auto"/>
              <w:bottom w:val="single" w:sz="4" w:space="0" w:color="auto"/>
              <w:right w:val="single" w:sz="4" w:space="0" w:color="auto"/>
            </w:tcBorders>
            <w:shd w:val="clear" w:color="auto" w:fill="FDC07C"/>
            <w:noWrap/>
            <w:hideMark/>
          </w:tcPr>
          <w:p w14:paraId="6F6BF874" w14:textId="1EC05F38" w:rsidR="008D060F" w:rsidRPr="00052061" w:rsidRDefault="008D060F" w:rsidP="008D060F">
            <w:pPr>
              <w:spacing w:after="0" w:line="240" w:lineRule="auto"/>
              <w:jc w:val="right"/>
              <w:rPr>
                <w:rFonts w:eastAsia="Times New Roman" w:cs="Calibri"/>
                <w:color w:val="000000"/>
                <w:sz w:val="18"/>
                <w:szCs w:val="18"/>
                <w:lang w:val="en-US" w:eastAsia="fr-FR"/>
              </w:rPr>
            </w:pPr>
            <w:r w:rsidRPr="00367C0B">
              <w:rPr>
                <w:lang w:val="en-US"/>
              </w:rPr>
              <w:t>3</w:t>
            </w:r>
          </w:p>
        </w:tc>
      </w:tr>
      <w:tr w:rsidR="008D060F" w:rsidRPr="00367C0B" w14:paraId="64C1AA0C" w14:textId="77777777" w:rsidTr="00EE557A">
        <w:trPr>
          <w:gridAfter w:val="4"/>
          <w:wAfter w:w="6747" w:type="dxa"/>
          <w:trHeight w:val="320"/>
        </w:trPr>
        <w:tc>
          <w:tcPr>
            <w:tcW w:w="2778" w:type="dxa"/>
            <w:tcBorders>
              <w:top w:val="nil"/>
              <w:left w:val="single" w:sz="4" w:space="0" w:color="auto"/>
              <w:bottom w:val="single" w:sz="4" w:space="0" w:color="auto"/>
              <w:right w:val="single" w:sz="4" w:space="0" w:color="auto"/>
            </w:tcBorders>
            <w:shd w:val="clear" w:color="auto" w:fill="auto"/>
            <w:noWrap/>
            <w:hideMark/>
          </w:tcPr>
          <w:p w14:paraId="2D99813D" w14:textId="5FD5FC5A" w:rsidR="008D060F" w:rsidRPr="00052061" w:rsidRDefault="008D060F" w:rsidP="008D060F">
            <w:pPr>
              <w:spacing w:after="0" w:line="240" w:lineRule="auto"/>
              <w:jc w:val="left"/>
              <w:rPr>
                <w:rFonts w:eastAsia="Times New Roman" w:cs="Calibri"/>
                <w:color w:val="000000"/>
                <w:sz w:val="18"/>
                <w:szCs w:val="18"/>
                <w:lang w:val="en-US" w:eastAsia="fr-FR"/>
              </w:rPr>
            </w:pPr>
            <w:r w:rsidRPr="00367C0B">
              <w:rPr>
                <w:rFonts w:eastAsia="Times New Roman" w:cs="Calibri"/>
                <w:color w:val="000000"/>
                <w:lang w:val="en-US" w:eastAsia="fr-FR"/>
              </w:rPr>
              <w:t>Turkmenistan Port</w:t>
            </w:r>
          </w:p>
        </w:tc>
        <w:tc>
          <w:tcPr>
            <w:tcW w:w="1361" w:type="dxa"/>
            <w:tcBorders>
              <w:top w:val="single" w:sz="4" w:space="0" w:color="auto"/>
              <w:left w:val="single" w:sz="4" w:space="0" w:color="auto"/>
              <w:bottom w:val="single" w:sz="4" w:space="0" w:color="auto"/>
              <w:right w:val="single" w:sz="4" w:space="0" w:color="auto"/>
            </w:tcBorders>
            <w:shd w:val="clear" w:color="auto" w:fill="D8DF81"/>
            <w:noWrap/>
            <w:hideMark/>
          </w:tcPr>
          <w:p w14:paraId="74FFDA52" w14:textId="1F7B9B51" w:rsidR="008D060F" w:rsidRPr="00052061" w:rsidRDefault="008D060F" w:rsidP="008D060F">
            <w:pPr>
              <w:spacing w:after="0" w:line="240" w:lineRule="auto"/>
              <w:jc w:val="right"/>
              <w:rPr>
                <w:rFonts w:eastAsia="Times New Roman" w:cs="Calibri"/>
                <w:color w:val="000000"/>
                <w:sz w:val="18"/>
                <w:szCs w:val="18"/>
                <w:lang w:val="en-US" w:eastAsia="fr-FR"/>
              </w:rPr>
            </w:pPr>
            <w:r w:rsidRPr="00367C0B">
              <w:rPr>
                <w:lang w:val="en-US"/>
              </w:rPr>
              <w:t>1</w:t>
            </w:r>
          </w:p>
        </w:tc>
        <w:tc>
          <w:tcPr>
            <w:tcW w:w="1361" w:type="dxa"/>
            <w:tcBorders>
              <w:top w:val="single" w:sz="4" w:space="0" w:color="auto"/>
              <w:left w:val="single" w:sz="4" w:space="0" w:color="auto"/>
              <w:bottom w:val="single" w:sz="4" w:space="0" w:color="auto"/>
              <w:right w:val="single" w:sz="4" w:space="0" w:color="auto"/>
            </w:tcBorders>
            <w:shd w:val="clear" w:color="auto" w:fill="FDC07C"/>
            <w:noWrap/>
            <w:hideMark/>
          </w:tcPr>
          <w:p w14:paraId="166781D7" w14:textId="440CE2B7" w:rsidR="008D060F" w:rsidRPr="00052061" w:rsidRDefault="008D060F" w:rsidP="008D060F">
            <w:pPr>
              <w:spacing w:after="0" w:line="240" w:lineRule="auto"/>
              <w:jc w:val="right"/>
              <w:rPr>
                <w:rFonts w:eastAsia="Times New Roman" w:cs="Calibri"/>
                <w:color w:val="000000"/>
                <w:sz w:val="18"/>
                <w:szCs w:val="18"/>
                <w:lang w:val="en-US" w:eastAsia="fr-FR"/>
              </w:rPr>
            </w:pPr>
            <w:r w:rsidRPr="00367C0B">
              <w:rPr>
                <w:lang w:val="en-US"/>
              </w:rPr>
              <w:t>3</w:t>
            </w:r>
          </w:p>
        </w:tc>
        <w:tc>
          <w:tcPr>
            <w:tcW w:w="1361" w:type="dxa"/>
            <w:tcBorders>
              <w:top w:val="single" w:sz="4" w:space="0" w:color="auto"/>
              <w:left w:val="single" w:sz="4" w:space="0" w:color="auto"/>
              <w:bottom w:val="single" w:sz="4" w:space="0" w:color="auto"/>
              <w:right w:val="single" w:sz="4" w:space="0" w:color="auto"/>
            </w:tcBorders>
            <w:shd w:val="clear" w:color="auto" w:fill="FDC07C"/>
            <w:noWrap/>
            <w:hideMark/>
          </w:tcPr>
          <w:p w14:paraId="1BECC6EF" w14:textId="0315CFF4" w:rsidR="008D060F" w:rsidRPr="00052061" w:rsidRDefault="008D060F" w:rsidP="008D060F">
            <w:pPr>
              <w:spacing w:after="0" w:line="240" w:lineRule="auto"/>
              <w:jc w:val="right"/>
              <w:rPr>
                <w:rFonts w:eastAsia="Times New Roman" w:cs="Calibri"/>
                <w:color w:val="000000"/>
                <w:sz w:val="18"/>
                <w:szCs w:val="18"/>
                <w:lang w:val="en-US" w:eastAsia="fr-FR"/>
              </w:rPr>
            </w:pPr>
            <w:r w:rsidRPr="00367C0B">
              <w:rPr>
                <w:lang w:val="en-US"/>
              </w:rPr>
              <w:t>3</w:t>
            </w:r>
          </w:p>
        </w:tc>
        <w:tc>
          <w:tcPr>
            <w:tcW w:w="1361" w:type="dxa"/>
            <w:tcBorders>
              <w:top w:val="single" w:sz="4" w:space="0" w:color="auto"/>
              <w:left w:val="single" w:sz="4" w:space="0" w:color="auto"/>
              <w:bottom w:val="single" w:sz="4" w:space="0" w:color="auto"/>
              <w:right w:val="single" w:sz="4" w:space="0" w:color="auto"/>
            </w:tcBorders>
            <w:shd w:val="clear" w:color="000000" w:fill="F8696B"/>
            <w:noWrap/>
            <w:hideMark/>
          </w:tcPr>
          <w:p w14:paraId="659890A5" w14:textId="45770F40" w:rsidR="008D060F" w:rsidRPr="00052061" w:rsidRDefault="008D060F" w:rsidP="008D060F">
            <w:pPr>
              <w:spacing w:after="0" w:line="240" w:lineRule="auto"/>
              <w:jc w:val="right"/>
              <w:rPr>
                <w:rFonts w:eastAsia="Times New Roman" w:cs="Calibri"/>
                <w:color w:val="000000"/>
                <w:sz w:val="18"/>
                <w:szCs w:val="18"/>
                <w:lang w:val="en-US" w:eastAsia="fr-FR"/>
              </w:rPr>
            </w:pPr>
            <w:r w:rsidRPr="00367C0B">
              <w:rPr>
                <w:lang w:val="en-US"/>
              </w:rPr>
              <w:t>4</w:t>
            </w:r>
          </w:p>
        </w:tc>
        <w:tc>
          <w:tcPr>
            <w:tcW w:w="1361" w:type="dxa"/>
            <w:tcBorders>
              <w:top w:val="single" w:sz="4" w:space="0" w:color="auto"/>
              <w:left w:val="single" w:sz="4" w:space="0" w:color="auto"/>
              <w:bottom w:val="single" w:sz="4" w:space="0" w:color="auto"/>
              <w:right w:val="single" w:sz="4" w:space="0" w:color="auto"/>
            </w:tcBorders>
            <w:shd w:val="clear" w:color="auto" w:fill="FDC07C"/>
            <w:noWrap/>
            <w:hideMark/>
          </w:tcPr>
          <w:p w14:paraId="28F1F145" w14:textId="68E713E3" w:rsidR="008D060F" w:rsidRPr="00052061" w:rsidRDefault="008D060F" w:rsidP="008D060F">
            <w:pPr>
              <w:spacing w:after="0" w:line="240" w:lineRule="auto"/>
              <w:jc w:val="right"/>
              <w:rPr>
                <w:rFonts w:eastAsia="Times New Roman" w:cs="Calibri"/>
                <w:color w:val="000000"/>
                <w:sz w:val="18"/>
                <w:szCs w:val="18"/>
                <w:lang w:val="en-US" w:eastAsia="fr-FR"/>
              </w:rPr>
            </w:pPr>
            <w:r w:rsidRPr="00367C0B">
              <w:rPr>
                <w:lang w:val="en-US"/>
              </w:rPr>
              <w:t>3</w:t>
            </w:r>
          </w:p>
        </w:tc>
      </w:tr>
      <w:tr w:rsidR="007F24CA" w:rsidRPr="00367C0B" w14:paraId="0564C10C" w14:textId="77777777" w:rsidTr="00052061">
        <w:trPr>
          <w:trHeight w:val="320"/>
        </w:trPr>
        <w:tc>
          <w:tcPr>
            <w:tcW w:w="2778" w:type="dxa"/>
            <w:tcBorders>
              <w:top w:val="nil"/>
              <w:left w:val="nil"/>
              <w:bottom w:val="nil"/>
              <w:right w:val="nil"/>
            </w:tcBorders>
            <w:shd w:val="clear" w:color="auto" w:fill="auto"/>
            <w:noWrap/>
            <w:vAlign w:val="center"/>
            <w:hideMark/>
          </w:tcPr>
          <w:p w14:paraId="24868DE4" w14:textId="77777777" w:rsidR="007F24CA" w:rsidRPr="00052061" w:rsidRDefault="007F24CA" w:rsidP="007F24CA">
            <w:pPr>
              <w:spacing w:after="0" w:line="240" w:lineRule="auto"/>
              <w:jc w:val="right"/>
              <w:rPr>
                <w:rFonts w:eastAsia="Times New Roman" w:cs="Calibri"/>
                <w:color w:val="000000"/>
                <w:sz w:val="18"/>
                <w:szCs w:val="18"/>
                <w:lang w:val="en-US" w:eastAsia="fr-FR"/>
              </w:rPr>
            </w:pPr>
          </w:p>
        </w:tc>
        <w:tc>
          <w:tcPr>
            <w:tcW w:w="6805" w:type="dxa"/>
            <w:gridSpan w:val="5"/>
            <w:tcBorders>
              <w:top w:val="nil"/>
              <w:left w:val="nil"/>
              <w:bottom w:val="nil"/>
              <w:right w:val="nil"/>
            </w:tcBorders>
            <w:shd w:val="clear" w:color="auto" w:fill="auto"/>
            <w:noWrap/>
            <w:vAlign w:val="center"/>
            <w:hideMark/>
          </w:tcPr>
          <w:p w14:paraId="58FE2910" w14:textId="77777777" w:rsidR="007F24CA" w:rsidRPr="00052061" w:rsidRDefault="007F24CA" w:rsidP="007F24CA">
            <w:pPr>
              <w:spacing w:after="0" w:line="240" w:lineRule="auto"/>
              <w:jc w:val="left"/>
              <w:rPr>
                <w:rFonts w:ascii="Times New Roman" w:eastAsia="Times New Roman" w:hAnsi="Times New Roman" w:cs="Times New Roman"/>
                <w:sz w:val="20"/>
                <w:szCs w:val="20"/>
                <w:lang w:val="en-US" w:eastAsia="fr-FR"/>
              </w:rPr>
            </w:pPr>
          </w:p>
        </w:tc>
        <w:tc>
          <w:tcPr>
            <w:tcW w:w="2580" w:type="dxa"/>
            <w:tcBorders>
              <w:top w:val="nil"/>
              <w:left w:val="nil"/>
              <w:bottom w:val="nil"/>
              <w:right w:val="nil"/>
            </w:tcBorders>
            <w:shd w:val="clear" w:color="auto" w:fill="auto"/>
            <w:noWrap/>
            <w:vAlign w:val="center"/>
            <w:hideMark/>
          </w:tcPr>
          <w:p w14:paraId="297A1E5C" w14:textId="77777777" w:rsidR="007F24CA" w:rsidRPr="00367C0B" w:rsidRDefault="007F24CA" w:rsidP="007F24CA">
            <w:pPr>
              <w:spacing w:after="0" w:line="240" w:lineRule="auto"/>
              <w:jc w:val="left"/>
              <w:rPr>
                <w:rFonts w:ascii="Times New Roman" w:eastAsia="Times New Roman" w:hAnsi="Times New Roman" w:cs="Times New Roman"/>
                <w:sz w:val="20"/>
                <w:szCs w:val="20"/>
                <w:lang w:val="en-US" w:eastAsia="fr-FR"/>
              </w:rPr>
            </w:pPr>
          </w:p>
        </w:tc>
        <w:tc>
          <w:tcPr>
            <w:tcW w:w="1240" w:type="dxa"/>
            <w:tcBorders>
              <w:top w:val="nil"/>
              <w:left w:val="nil"/>
              <w:bottom w:val="nil"/>
              <w:right w:val="nil"/>
            </w:tcBorders>
            <w:shd w:val="clear" w:color="auto" w:fill="auto"/>
            <w:noWrap/>
            <w:vAlign w:val="center"/>
            <w:hideMark/>
          </w:tcPr>
          <w:p w14:paraId="4CEB7734" w14:textId="77777777" w:rsidR="007F24CA" w:rsidRPr="00367C0B" w:rsidRDefault="007F24CA" w:rsidP="007F24CA">
            <w:pPr>
              <w:spacing w:after="0" w:line="240" w:lineRule="auto"/>
              <w:jc w:val="left"/>
              <w:rPr>
                <w:rFonts w:ascii="Times New Roman" w:eastAsia="Times New Roman" w:hAnsi="Times New Roman" w:cs="Times New Roman"/>
                <w:sz w:val="20"/>
                <w:szCs w:val="20"/>
                <w:lang w:val="en-US" w:eastAsia="fr-FR"/>
              </w:rPr>
            </w:pPr>
          </w:p>
        </w:tc>
        <w:tc>
          <w:tcPr>
            <w:tcW w:w="1511" w:type="dxa"/>
            <w:tcBorders>
              <w:top w:val="nil"/>
              <w:left w:val="nil"/>
              <w:bottom w:val="nil"/>
              <w:right w:val="nil"/>
            </w:tcBorders>
            <w:shd w:val="clear" w:color="auto" w:fill="auto"/>
            <w:noWrap/>
            <w:vAlign w:val="center"/>
            <w:hideMark/>
          </w:tcPr>
          <w:p w14:paraId="0048E02F" w14:textId="77777777" w:rsidR="007F24CA" w:rsidRPr="00367C0B" w:rsidRDefault="007F24CA" w:rsidP="007F24CA">
            <w:pPr>
              <w:spacing w:after="0" w:line="240" w:lineRule="auto"/>
              <w:jc w:val="left"/>
              <w:rPr>
                <w:rFonts w:ascii="Times New Roman" w:eastAsia="Times New Roman" w:hAnsi="Times New Roman" w:cs="Times New Roman"/>
                <w:sz w:val="20"/>
                <w:szCs w:val="20"/>
                <w:lang w:val="en-US" w:eastAsia="fr-FR"/>
              </w:rPr>
            </w:pPr>
          </w:p>
        </w:tc>
        <w:tc>
          <w:tcPr>
            <w:tcW w:w="1416" w:type="dxa"/>
            <w:tcBorders>
              <w:top w:val="nil"/>
              <w:left w:val="nil"/>
              <w:bottom w:val="nil"/>
              <w:right w:val="nil"/>
            </w:tcBorders>
            <w:shd w:val="clear" w:color="auto" w:fill="auto"/>
            <w:noWrap/>
            <w:vAlign w:val="center"/>
            <w:hideMark/>
          </w:tcPr>
          <w:p w14:paraId="06CD19D5" w14:textId="77777777" w:rsidR="007F24CA" w:rsidRPr="00367C0B" w:rsidRDefault="007F24CA" w:rsidP="007F24CA">
            <w:pPr>
              <w:spacing w:after="0" w:line="240" w:lineRule="auto"/>
              <w:jc w:val="left"/>
              <w:rPr>
                <w:rFonts w:ascii="Times New Roman" w:eastAsia="Times New Roman" w:hAnsi="Times New Roman" w:cs="Times New Roman"/>
                <w:sz w:val="20"/>
                <w:szCs w:val="20"/>
                <w:lang w:val="en-US" w:eastAsia="fr-FR"/>
              </w:rPr>
            </w:pPr>
          </w:p>
        </w:tc>
      </w:tr>
      <w:tr w:rsidR="007F24CA" w:rsidRPr="00FA7359" w14:paraId="0AA69857" w14:textId="77777777" w:rsidTr="00052061">
        <w:trPr>
          <w:gridAfter w:val="4"/>
          <w:wAfter w:w="6747" w:type="dxa"/>
          <w:trHeight w:val="330"/>
        </w:trPr>
        <w:tc>
          <w:tcPr>
            <w:tcW w:w="2778" w:type="dxa"/>
            <w:tcBorders>
              <w:top w:val="single" w:sz="4" w:space="0" w:color="auto"/>
              <w:left w:val="single" w:sz="4" w:space="0" w:color="auto"/>
              <w:bottom w:val="single" w:sz="4" w:space="0" w:color="auto"/>
              <w:right w:val="single" w:sz="4" w:space="0" w:color="auto"/>
            </w:tcBorders>
            <w:shd w:val="clear" w:color="000000" w:fill="AEAAAA"/>
            <w:noWrap/>
            <w:vAlign w:val="center"/>
            <w:hideMark/>
          </w:tcPr>
          <w:p w14:paraId="054EA1DA" w14:textId="11F3D87F" w:rsidR="007F24CA" w:rsidRPr="00052061" w:rsidRDefault="007F24CA" w:rsidP="007F24CA">
            <w:pPr>
              <w:spacing w:after="0" w:line="240" w:lineRule="auto"/>
              <w:jc w:val="center"/>
              <w:rPr>
                <w:rFonts w:eastAsia="Times New Roman" w:cs="Calibri"/>
                <w:b/>
                <w:bCs/>
                <w:color w:val="000000"/>
                <w:sz w:val="18"/>
                <w:szCs w:val="18"/>
                <w:lang w:val="en-US" w:eastAsia="fr-FR"/>
              </w:rPr>
            </w:pPr>
            <w:r w:rsidRPr="00052061">
              <w:rPr>
                <w:rFonts w:eastAsia="Times New Roman" w:cs="Calibri"/>
                <w:b/>
                <w:bCs/>
                <w:color w:val="000000"/>
                <w:sz w:val="18"/>
                <w:szCs w:val="18"/>
                <w:lang w:val="en-US" w:eastAsia="fr-FR"/>
              </w:rPr>
              <w:t>SSP5-8.5 - 2040</w:t>
            </w:r>
            <w:r>
              <w:rPr>
                <w:rStyle w:val="Appelnotedebasdep"/>
                <w:rFonts w:eastAsia="Times New Roman" w:cs="Calibri"/>
                <w:b/>
                <w:bCs/>
                <w:color w:val="000000"/>
                <w:sz w:val="18"/>
                <w:szCs w:val="18"/>
                <w:lang w:val="en-US" w:eastAsia="fr-FR"/>
              </w:rPr>
              <w:footnoteReference w:id="40"/>
            </w:r>
          </w:p>
        </w:tc>
        <w:tc>
          <w:tcPr>
            <w:tcW w:w="6805" w:type="dxa"/>
            <w:gridSpan w:val="5"/>
            <w:tcBorders>
              <w:top w:val="single" w:sz="4" w:space="0" w:color="auto"/>
              <w:left w:val="nil"/>
              <w:bottom w:val="single" w:sz="4" w:space="0" w:color="auto"/>
              <w:right w:val="single" w:sz="4" w:space="0" w:color="000000"/>
            </w:tcBorders>
            <w:shd w:val="clear" w:color="000000" w:fill="B4C6E7"/>
            <w:noWrap/>
            <w:vAlign w:val="center"/>
            <w:hideMark/>
          </w:tcPr>
          <w:p w14:paraId="34A3CAC4" w14:textId="6DA90F31" w:rsidR="007F24CA" w:rsidRPr="00052061" w:rsidRDefault="007F24CA" w:rsidP="007F24CA">
            <w:pPr>
              <w:spacing w:after="0" w:line="240" w:lineRule="auto"/>
              <w:jc w:val="center"/>
              <w:rPr>
                <w:rFonts w:eastAsia="Times New Roman" w:cs="Calibri"/>
                <w:b/>
                <w:bCs/>
                <w:color w:val="000000"/>
                <w:sz w:val="18"/>
                <w:szCs w:val="18"/>
                <w:lang w:val="en-US" w:eastAsia="fr-FR"/>
              </w:rPr>
            </w:pPr>
            <w:r w:rsidRPr="00052061">
              <w:rPr>
                <w:rFonts w:eastAsia="Times New Roman" w:cs="Calibri"/>
                <w:b/>
                <w:bCs/>
                <w:color w:val="000000"/>
                <w:sz w:val="18"/>
                <w:szCs w:val="18"/>
                <w:lang w:val="en-US" w:eastAsia="fr-FR"/>
              </w:rPr>
              <w:t>Exposure level per taxonomy related hazard</w:t>
            </w:r>
          </w:p>
        </w:tc>
      </w:tr>
      <w:tr w:rsidR="007F24CA" w:rsidRPr="00367C0B" w14:paraId="7C9C6688" w14:textId="77777777" w:rsidTr="00052061">
        <w:trPr>
          <w:gridAfter w:val="4"/>
          <w:wAfter w:w="6747" w:type="dxa"/>
          <w:trHeight w:val="320"/>
        </w:trPr>
        <w:tc>
          <w:tcPr>
            <w:tcW w:w="2778" w:type="dxa"/>
            <w:tcBorders>
              <w:top w:val="nil"/>
              <w:left w:val="single" w:sz="4" w:space="0" w:color="auto"/>
              <w:bottom w:val="single" w:sz="4" w:space="0" w:color="auto"/>
              <w:right w:val="single" w:sz="4" w:space="0" w:color="auto"/>
            </w:tcBorders>
            <w:shd w:val="clear" w:color="000000" w:fill="E7E6E6"/>
            <w:noWrap/>
            <w:vAlign w:val="center"/>
            <w:hideMark/>
          </w:tcPr>
          <w:p w14:paraId="342EEF5A" w14:textId="0BE902BE" w:rsidR="007F24CA" w:rsidRPr="00052061" w:rsidRDefault="007F24CA" w:rsidP="007F24CA">
            <w:pPr>
              <w:spacing w:after="0" w:line="240" w:lineRule="auto"/>
              <w:jc w:val="left"/>
              <w:rPr>
                <w:rFonts w:eastAsia="Times New Roman" w:cs="Calibri"/>
                <w:b/>
                <w:bCs/>
                <w:color w:val="000000"/>
                <w:sz w:val="18"/>
                <w:szCs w:val="18"/>
                <w:lang w:val="en-US" w:eastAsia="fr-FR"/>
              </w:rPr>
            </w:pPr>
            <w:r w:rsidRPr="00A6423B">
              <w:rPr>
                <w:rFonts w:eastAsia="Times New Roman" w:cs="Calibri"/>
                <w:b/>
                <w:bCs/>
                <w:color w:val="000000"/>
                <w:sz w:val="18"/>
                <w:szCs w:val="18"/>
                <w:lang w:val="en-US" w:eastAsia="fr-FR"/>
              </w:rPr>
              <w:t>Site Name</w:t>
            </w:r>
          </w:p>
        </w:tc>
        <w:tc>
          <w:tcPr>
            <w:tcW w:w="1361" w:type="dxa"/>
            <w:tcBorders>
              <w:top w:val="nil"/>
              <w:left w:val="nil"/>
              <w:bottom w:val="single" w:sz="4" w:space="0" w:color="auto"/>
              <w:right w:val="single" w:sz="4" w:space="0" w:color="auto"/>
            </w:tcBorders>
            <w:shd w:val="clear" w:color="000000" w:fill="D9E1F2"/>
            <w:noWrap/>
            <w:vAlign w:val="center"/>
            <w:hideMark/>
          </w:tcPr>
          <w:p w14:paraId="07A11233" w14:textId="40A0CE2D" w:rsidR="007F24CA" w:rsidRPr="00052061" w:rsidRDefault="007F24CA" w:rsidP="007F24CA">
            <w:pPr>
              <w:spacing w:after="0" w:line="240" w:lineRule="auto"/>
              <w:jc w:val="left"/>
              <w:rPr>
                <w:rFonts w:eastAsia="Times New Roman" w:cs="Calibri"/>
                <w:b/>
                <w:bCs/>
                <w:color w:val="000000"/>
                <w:sz w:val="18"/>
                <w:szCs w:val="18"/>
                <w:lang w:val="en-US" w:eastAsia="fr-FR"/>
              </w:rPr>
            </w:pPr>
            <w:r w:rsidRPr="00A6423B">
              <w:rPr>
                <w:rFonts w:eastAsia="Times New Roman" w:cs="Calibri"/>
                <w:b/>
                <w:bCs/>
                <w:color w:val="000000"/>
                <w:sz w:val="18"/>
                <w:szCs w:val="18"/>
                <w:lang w:val="en-US" w:eastAsia="fr-FR"/>
              </w:rPr>
              <w:t>Flood</w:t>
            </w:r>
            <w:r w:rsidRPr="007F24CA">
              <w:rPr>
                <w:rFonts w:eastAsia="Times New Roman" w:cs="Calibri"/>
                <w:b/>
                <w:bCs/>
                <w:color w:val="000000"/>
                <w:sz w:val="18"/>
                <w:szCs w:val="18"/>
                <w:vertAlign w:val="superscript"/>
                <w:lang w:val="en-US" w:eastAsia="fr-FR"/>
              </w:rPr>
              <w:t>1</w:t>
            </w:r>
          </w:p>
        </w:tc>
        <w:tc>
          <w:tcPr>
            <w:tcW w:w="1361" w:type="dxa"/>
            <w:tcBorders>
              <w:top w:val="nil"/>
              <w:left w:val="nil"/>
              <w:bottom w:val="single" w:sz="4" w:space="0" w:color="auto"/>
              <w:right w:val="single" w:sz="4" w:space="0" w:color="auto"/>
            </w:tcBorders>
            <w:shd w:val="clear" w:color="000000" w:fill="D9E1F2"/>
            <w:noWrap/>
            <w:vAlign w:val="center"/>
            <w:hideMark/>
          </w:tcPr>
          <w:p w14:paraId="4943D6BA" w14:textId="6B5B3410" w:rsidR="007F24CA" w:rsidRPr="00052061" w:rsidRDefault="007F24CA" w:rsidP="007F24CA">
            <w:pPr>
              <w:spacing w:after="0" w:line="240" w:lineRule="auto"/>
              <w:jc w:val="left"/>
              <w:rPr>
                <w:rFonts w:eastAsia="Times New Roman" w:cs="Calibri"/>
                <w:b/>
                <w:bCs/>
                <w:color w:val="000000"/>
                <w:sz w:val="18"/>
                <w:szCs w:val="18"/>
                <w:lang w:val="en-US" w:eastAsia="fr-FR"/>
              </w:rPr>
            </w:pPr>
            <w:r>
              <w:rPr>
                <w:rFonts w:eastAsia="Times New Roman" w:cs="Calibri"/>
                <w:b/>
                <w:bCs/>
                <w:color w:val="000000"/>
                <w:sz w:val="18"/>
                <w:szCs w:val="18"/>
                <w:lang w:val="en-US" w:eastAsia="fr-FR"/>
              </w:rPr>
              <w:t>Temperature</w:t>
            </w:r>
          </w:p>
        </w:tc>
        <w:tc>
          <w:tcPr>
            <w:tcW w:w="1361" w:type="dxa"/>
            <w:tcBorders>
              <w:top w:val="nil"/>
              <w:left w:val="nil"/>
              <w:bottom w:val="single" w:sz="4" w:space="0" w:color="auto"/>
              <w:right w:val="single" w:sz="4" w:space="0" w:color="auto"/>
            </w:tcBorders>
            <w:shd w:val="clear" w:color="000000" w:fill="D9E1F2"/>
            <w:noWrap/>
            <w:vAlign w:val="center"/>
            <w:hideMark/>
          </w:tcPr>
          <w:p w14:paraId="4A917580" w14:textId="21D82F16" w:rsidR="007F24CA" w:rsidRPr="00052061" w:rsidRDefault="007F24CA" w:rsidP="007F24CA">
            <w:pPr>
              <w:spacing w:after="0" w:line="240" w:lineRule="auto"/>
              <w:jc w:val="left"/>
              <w:rPr>
                <w:rFonts w:eastAsia="Times New Roman" w:cs="Calibri"/>
                <w:b/>
                <w:bCs/>
                <w:color w:val="000000"/>
                <w:sz w:val="18"/>
                <w:szCs w:val="18"/>
                <w:lang w:val="en-US" w:eastAsia="fr-FR"/>
              </w:rPr>
            </w:pPr>
            <w:r>
              <w:rPr>
                <w:rFonts w:eastAsia="Times New Roman" w:cs="Calibri"/>
                <w:b/>
                <w:bCs/>
                <w:color w:val="000000"/>
                <w:sz w:val="18"/>
                <w:szCs w:val="18"/>
                <w:lang w:val="en-US" w:eastAsia="fr-FR"/>
              </w:rPr>
              <w:t>Heat</w:t>
            </w:r>
          </w:p>
        </w:tc>
        <w:tc>
          <w:tcPr>
            <w:tcW w:w="1361" w:type="dxa"/>
            <w:tcBorders>
              <w:top w:val="nil"/>
              <w:left w:val="nil"/>
              <w:bottom w:val="single" w:sz="4" w:space="0" w:color="auto"/>
              <w:right w:val="single" w:sz="4" w:space="0" w:color="auto"/>
            </w:tcBorders>
            <w:shd w:val="clear" w:color="000000" w:fill="D9E1F2"/>
            <w:noWrap/>
            <w:vAlign w:val="center"/>
            <w:hideMark/>
          </w:tcPr>
          <w:p w14:paraId="49557C14" w14:textId="10072273" w:rsidR="007F24CA" w:rsidRPr="00052061" w:rsidRDefault="007F24CA" w:rsidP="007F24CA">
            <w:pPr>
              <w:spacing w:after="0" w:line="240" w:lineRule="auto"/>
              <w:jc w:val="left"/>
              <w:rPr>
                <w:rFonts w:eastAsia="Times New Roman" w:cs="Calibri"/>
                <w:b/>
                <w:bCs/>
                <w:color w:val="000000"/>
                <w:sz w:val="18"/>
                <w:szCs w:val="18"/>
                <w:lang w:val="en-US" w:eastAsia="fr-FR"/>
              </w:rPr>
            </w:pPr>
            <w:r>
              <w:rPr>
                <w:rFonts w:eastAsia="Times New Roman" w:cs="Calibri"/>
                <w:b/>
                <w:bCs/>
                <w:color w:val="000000"/>
                <w:sz w:val="18"/>
                <w:szCs w:val="18"/>
                <w:lang w:val="en-US" w:eastAsia="fr-FR"/>
              </w:rPr>
              <w:t>Storm</w:t>
            </w:r>
          </w:p>
        </w:tc>
        <w:tc>
          <w:tcPr>
            <w:tcW w:w="1361" w:type="dxa"/>
            <w:tcBorders>
              <w:top w:val="nil"/>
              <w:left w:val="nil"/>
              <w:bottom w:val="single" w:sz="4" w:space="0" w:color="auto"/>
              <w:right w:val="single" w:sz="4" w:space="0" w:color="auto"/>
            </w:tcBorders>
            <w:shd w:val="clear" w:color="000000" w:fill="D9E1F2"/>
            <w:noWrap/>
            <w:vAlign w:val="center"/>
            <w:hideMark/>
          </w:tcPr>
          <w:p w14:paraId="6F85D72A" w14:textId="1C63A876" w:rsidR="007F24CA" w:rsidRPr="00052061" w:rsidRDefault="007F24CA" w:rsidP="007F24CA">
            <w:pPr>
              <w:spacing w:after="0" w:line="240" w:lineRule="auto"/>
              <w:jc w:val="left"/>
              <w:rPr>
                <w:rFonts w:eastAsia="Times New Roman" w:cs="Calibri"/>
                <w:b/>
                <w:bCs/>
                <w:color w:val="000000"/>
                <w:sz w:val="18"/>
                <w:szCs w:val="18"/>
                <w:lang w:val="en-US" w:eastAsia="fr-FR"/>
              </w:rPr>
            </w:pPr>
            <w:r>
              <w:rPr>
                <w:rFonts w:eastAsia="Times New Roman" w:cs="Calibri"/>
                <w:b/>
                <w:bCs/>
                <w:color w:val="000000"/>
                <w:sz w:val="18"/>
                <w:szCs w:val="18"/>
                <w:lang w:val="en-US" w:eastAsia="fr-FR"/>
              </w:rPr>
              <w:t>Extreme wind</w:t>
            </w:r>
          </w:p>
        </w:tc>
      </w:tr>
      <w:tr w:rsidR="008D060F" w:rsidRPr="00367C0B" w14:paraId="791F58CD" w14:textId="77777777" w:rsidTr="00EE557A">
        <w:trPr>
          <w:gridAfter w:val="4"/>
          <w:wAfter w:w="6747" w:type="dxa"/>
          <w:trHeight w:val="320"/>
        </w:trPr>
        <w:tc>
          <w:tcPr>
            <w:tcW w:w="2778" w:type="dxa"/>
            <w:tcBorders>
              <w:top w:val="nil"/>
              <w:left w:val="single" w:sz="4" w:space="0" w:color="auto"/>
              <w:bottom w:val="single" w:sz="4" w:space="0" w:color="auto"/>
              <w:right w:val="single" w:sz="4" w:space="0" w:color="auto"/>
            </w:tcBorders>
            <w:shd w:val="clear" w:color="auto" w:fill="auto"/>
            <w:noWrap/>
            <w:hideMark/>
          </w:tcPr>
          <w:p w14:paraId="17166E6A" w14:textId="314651FB" w:rsidR="008D060F" w:rsidRPr="00052061" w:rsidRDefault="008D060F" w:rsidP="008D060F">
            <w:pPr>
              <w:spacing w:after="0" w:line="240" w:lineRule="auto"/>
              <w:jc w:val="left"/>
              <w:rPr>
                <w:rFonts w:eastAsia="Times New Roman" w:cs="Calibri"/>
                <w:color w:val="000000"/>
                <w:sz w:val="18"/>
                <w:szCs w:val="18"/>
                <w:lang w:val="en-US" w:eastAsia="fr-FR"/>
              </w:rPr>
            </w:pPr>
            <w:r w:rsidRPr="00367C0B">
              <w:rPr>
                <w:lang w:val="en-US"/>
              </w:rPr>
              <w:t>Sangachal Terminal</w:t>
            </w:r>
          </w:p>
        </w:tc>
        <w:tc>
          <w:tcPr>
            <w:tcW w:w="1361" w:type="dxa"/>
            <w:tcBorders>
              <w:top w:val="nil"/>
              <w:left w:val="nil"/>
              <w:bottom w:val="single" w:sz="4" w:space="0" w:color="auto"/>
              <w:right w:val="single" w:sz="4" w:space="0" w:color="auto"/>
            </w:tcBorders>
            <w:shd w:val="thinDiagStripe" w:color="000000" w:fill="auto"/>
            <w:noWrap/>
          </w:tcPr>
          <w:p w14:paraId="5296877D" w14:textId="7412724E" w:rsidR="008D060F" w:rsidRPr="00052061" w:rsidRDefault="008D060F" w:rsidP="008D060F">
            <w:pPr>
              <w:spacing w:after="0" w:line="240" w:lineRule="auto"/>
              <w:jc w:val="left"/>
              <w:rPr>
                <w:rFonts w:eastAsia="Times New Roman" w:cs="Calibri"/>
                <w:color w:val="000000"/>
                <w:sz w:val="18"/>
                <w:szCs w:val="18"/>
                <w:lang w:val="en-US" w:eastAsia="fr-FR"/>
              </w:rPr>
            </w:pPr>
          </w:p>
        </w:tc>
        <w:tc>
          <w:tcPr>
            <w:tcW w:w="1361" w:type="dxa"/>
            <w:tcBorders>
              <w:top w:val="single" w:sz="4" w:space="0" w:color="auto"/>
              <w:left w:val="single" w:sz="4" w:space="0" w:color="auto"/>
              <w:bottom w:val="single" w:sz="4" w:space="0" w:color="auto"/>
              <w:right w:val="single" w:sz="4" w:space="0" w:color="auto"/>
            </w:tcBorders>
            <w:shd w:val="clear" w:color="auto" w:fill="FDC07C"/>
            <w:noWrap/>
            <w:hideMark/>
          </w:tcPr>
          <w:p w14:paraId="73D89BFA" w14:textId="49AFCCD8" w:rsidR="008D060F" w:rsidRPr="00052061" w:rsidRDefault="008D060F" w:rsidP="008D060F">
            <w:pPr>
              <w:spacing w:after="0" w:line="240" w:lineRule="auto"/>
              <w:jc w:val="right"/>
              <w:rPr>
                <w:rFonts w:eastAsia="Times New Roman" w:cs="Calibri"/>
                <w:color w:val="000000"/>
                <w:sz w:val="18"/>
                <w:szCs w:val="18"/>
                <w:lang w:val="en-US" w:eastAsia="fr-FR"/>
              </w:rPr>
            </w:pPr>
            <w:r w:rsidRPr="00367C0B">
              <w:rPr>
                <w:lang w:val="en-US"/>
              </w:rPr>
              <w:t>3</w:t>
            </w:r>
          </w:p>
        </w:tc>
        <w:tc>
          <w:tcPr>
            <w:tcW w:w="1361" w:type="dxa"/>
            <w:tcBorders>
              <w:top w:val="single" w:sz="4" w:space="0" w:color="auto"/>
              <w:left w:val="single" w:sz="4" w:space="0" w:color="auto"/>
              <w:bottom w:val="single" w:sz="4" w:space="0" w:color="auto"/>
              <w:right w:val="single" w:sz="4" w:space="0" w:color="auto"/>
            </w:tcBorders>
            <w:shd w:val="clear" w:color="auto" w:fill="FDC07C"/>
            <w:noWrap/>
            <w:hideMark/>
          </w:tcPr>
          <w:p w14:paraId="57E4B04B" w14:textId="0A876038" w:rsidR="008D060F" w:rsidRPr="00052061" w:rsidRDefault="008D060F" w:rsidP="008D060F">
            <w:pPr>
              <w:spacing w:after="0" w:line="240" w:lineRule="auto"/>
              <w:jc w:val="right"/>
              <w:rPr>
                <w:rFonts w:eastAsia="Times New Roman" w:cs="Calibri"/>
                <w:color w:val="000000"/>
                <w:sz w:val="18"/>
                <w:szCs w:val="18"/>
                <w:lang w:val="en-US" w:eastAsia="fr-FR"/>
              </w:rPr>
            </w:pPr>
            <w:r w:rsidRPr="00367C0B">
              <w:rPr>
                <w:lang w:val="en-US"/>
              </w:rPr>
              <w:t>3</w:t>
            </w:r>
          </w:p>
        </w:tc>
        <w:tc>
          <w:tcPr>
            <w:tcW w:w="1361" w:type="dxa"/>
            <w:tcBorders>
              <w:top w:val="single" w:sz="4" w:space="0" w:color="auto"/>
              <w:left w:val="single" w:sz="4" w:space="0" w:color="auto"/>
              <w:bottom w:val="single" w:sz="4" w:space="0" w:color="auto"/>
              <w:right w:val="single" w:sz="4" w:space="0" w:color="auto"/>
            </w:tcBorders>
            <w:shd w:val="clear" w:color="auto" w:fill="F8696B"/>
            <w:noWrap/>
            <w:hideMark/>
          </w:tcPr>
          <w:p w14:paraId="7B4C0B6D" w14:textId="68C90C33" w:rsidR="008D060F" w:rsidRPr="00052061" w:rsidRDefault="008D060F" w:rsidP="008D060F">
            <w:pPr>
              <w:spacing w:after="0" w:line="240" w:lineRule="auto"/>
              <w:jc w:val="right"/>
              <w:rPr>
                <w:rFonts w:eastAsia="Times New Roman" w:cs="Calibri"/>
                <w:color w:val="000000"/>
                <w:sz w:val="18"/>
                <w:szCs w:val="18"/>
                <w:lang w:val="en-US" w:eastAsia="fr-FR"/>
              </w:rPr>
            </w:pPr>
            <w:r w:rsidRPr="00367C0B">
              <w:rPr>
                <w:lang w:val="en-US"/>
              </w:rPr>
              <w:t>4</w:t>
            </w:r>
          </w:p>
        </w:tc>
        <w:tc>
          <w:tcPr>
            <w:tcW w:w="1361" w:type="dxa"/>
            <w:tcBorders>
              <w:top w:val="single" w:sz="4" w:space="0" w:color="auto"/>
              <w:left w:val="single" w:sz="4" w:space="0" w:color="auto"/>
              <w:bottom w:val="single" w:sz="4" w:space="0" w:color="auto"/>
              <w:right w:val="single" w:sz="4" w:space="0" w:color="auto"/>
            </w:tcBorders>
            <w:shd w:val="clear" w:color="auto" w:fill="FDC07C"/>
            <w:noWrap/>
            <w:hideMark/>
          </w:tcPr>
          <w:p w14:paraId="2F5F612A" w14:textId="29BC9759" w:rsidR="008D060F" w:rsidRPr="00052061" w:rsidRDefault="008D060F" w:rsidP="008D060F">
            <w:pPr>
              <w:spacing w:after="0" w:line="240" w:lineRule="auto"/>
              <w:jc w:val="right"/>
              <w:rPr>
                <w:rFonts w:eastAsia="Times New Roman" w:cs="Calibri"/>
                <w:color w:val="000000"/>
                <w:sz w:val="18"/>
                <w:szCs w:val="18"/>
                <w:lang w:val="en-US" w:eastAsia="fr-FR"/>
              </w:rPr>
            </w:pPr>
            <w:r w:rsidRPr="00367C0B">
              <w:rPr>
                <w:lang w:val="en-US"/>
              </w:rPr>
              <w:t>3</w:t>
            </w:r>
          </w:p>
        </w:tc>
      </w:tr>
      <w:tr w:rsidR="008D060F" w:rsidRPr="00367C0B" w14:paraId="3B7DB3CE" w14:textId="77777777" w:rsidTr="00EE557A">
        <w:trPr>
          <w:gridAfter w:val="4"/>
          <w:wAfter w:w="6747" w:type="dxa"/>
          <w:trHeight w:val="320"/>
        </w:trPr>
        <w:tc>
          <w:tcPr>
            <w:tcW w:w="2778" w:type="dxa"/>
            <w:tcBorders>
              <w:top w:val="nil"/>
              <w:left w:val="single" w:sz="4" w:space="0" w:color="auto"/>
              <w:bottom w:val="single" w:sz="4" w:space="0" w:color="auto"/>
              <w:right w:val="single" w:sz="4" w:space="0" w:color="auto"/>
            </w:tcBorders>
            <w:shd w:val="clear" w:color="auto" w:fill="auto"/>
            <w:noWrap/>
            <w:hideMark/>
          </w:tcPr>
          <w:p w14:paraId="429EBACA" w14:textId="356D65D9" w:rsidR="008D060F" w:rsidRPr="00052061" w:rsidRDefault="008D060F" w:rsidP="008D060F">
            <w:pPr>
              <w:spacing w:after="0" w:line="240" w:lineRule="auto"/>
              <w:jc w:val="left"/>
              <w:rPr>
                <w:rFonts w:eastAsia="Times New Roman" w:cs="Calibri"/>
                <w:color w:val="000000"/>
                <w:sz w:val="18"/>
                <w:szCs w:val="18"/>
                <w:lang w:val="en-US" w:eastAsia="fr-FR"/>
              </w:rPr>
            </w:pPr>
            <w:proofErr w:type="spellStart"/>
            <w:r w:rsidRPr="00367C0B">
              <w:rPr>
                <w:lang w:val="en-US"/>
              </w:rPr>
              <w:t>Dubendi</w:t>
            </w:r>
            <w:proofErr w:type="spellEnd"/>
            <w:r w:rsidRPr="00367C0B">
              <w:rPr>
                <w:lang w:val="en-US"/>
              </w:rPr>
              <w:t xml:space="preserve"> Terminal</w:t>
            </w:r>
          </w:p>
        </w:tc>
        <w:tc>
          <w:tcPr>
            <w:tcW w:w="1361" w:type="dxa"/>
            <w:tcBorders>
              <w:top w:val="nil"/>
              <w:left w:val="nil"/>
              <w:bottom w:val="single" w:sz="4" w:space="0" w:color="auto"/>
              <w:right w:val="single" w:sz="4" w:space="0" w:color="auto"/>
            </w:tcBorders>
            <w:shd w:val="thinDiagStripe" w:color="000000" w:fill="auto"/>
            <w:noWrap/>
          </w:tcPr>
          <w:p w14:paraId="5E70BD35" w14:textId="02B81200" w:rsidR="008D060F" w:rsidRPr="00052061" w:rsidRDefault="008D060F" w:rsidP="008D060F">
            <w:pPr>
              <w:spacing w:after="0" w:line="240" w:lineRule="auto"/>
              <w:jc w:val="left"/>
              <w:rPr>
                <w:rFonts w:eastAsia="Times New Roman" w:cs="Calibri"/>
                <w:color w:val="000000"/>
                <w:sz w:val="18"/>
                <w:szCs w:val="18"/>
                <w:lang w:val="en-US" w:eastAsia="fr-FR"/>
              </w:rPr>
            </w:pPr>
          </w:p>
        </w:tc>
        <w:tc>
          <w:tcPr>
            <w:tcW w:w="1361" w:type="dxa"/>
            <w:tcBorders>
              <w:top w:val="single" w:sz="4" w:space="0" w:color="auto"/>
              <w:left w:val="single" w:sz="4" w:space="0" w:color="auto"/>
              <w:bottom w:val="single" w:sz="4" w:space="0" w:color="auto"/>
              <w:right w:val="single" w:sz="4" w:space="0" w:color="auto"/>
            </w:tcBorders>
            <w:shd w:val="clear" w:color="auto" w:fill="FDC07C"/>
            <w:noWrap/>
            <w:hideMark/>
          </w:tcPr>
          <w:p w14:paraId="261794B0" w14:textId="7EF6F7A8" w:rsidR="008D060F" w:rsidRPr="00052061" w:rsidRDefault="008D060F" w:rsidP="008D060F">
            <w:pPr>
              <w:spacing w:after="0" w:line="240" w:lineRule="auto"/>
              <w:jc w:val="right"/>
              <w:rPr>
                <w:rFonts w:eastAsia="Times New Roman" w:cs="Calibri"/>
                <w:color w:val="000000"/>
                <w:sz w:val="18"/>
                <w:szCs w:val="18"/>
                <w:lang w:val="en-US" w:eastAsia="fr-FR"/>
              </w:rPr>
            </w:pPr>
            <w:r w:rsidRPr="00367C0B">
              <w:rPr>
                <w:lang w:val="en-US"/>
              </w:rPr>
              <w:t>3</w:t>
            </w:r>
          </w:p>
        </w:tc>
        <w:tc>
          <w:tcPr>
            <w:tcW w:w="1361" w:type="dxa"/>
            <w:tcBorders>
              <w:top w:val="single" w:sz="4" w:space="0" w:color="auto"/>
              <w:left w:val="single" w:sz="4" w:space="0" w:color="auto"/>
              <w:bottom w:val="single" w:sz="4" w:space="0" w:color="auto"/>
              <w:right w:val="single" w:sz="4" w:space="0" w:color="auto"/>
            </w:tcBorders>
            <w:shd w:val="clear" w:color="auto" w:fill="FDC07C"/>
            <w:noWrap/>
            <w:hideMark/>
          </w:tcPr>
          <w:p w14:paraId="71AFF622" w14:textId="6CBA7C03" w:rsidR="008D060F" w:rsidRPr="00052061" w:rsidRDefault="008D060F" w:rsidP="008D060F">
            <w:pPr>
              <w:spacing w:after="0" w:line="240" w:lineRule="auto"/>
              <w:jc w:val="right"/>
              <w:rPr>
                <w:rFonts w:eastAsia="Times New Roman" w:cs="Calibri"/>
                <w:color w:val="000000"/>
                <w:sz w:val="18"/>
                <w:szCs w:val="18"/>
                <w:lang w:val="en-US" w:eastAsia="fr-FR"/>
              </w:rPr>
            </w:pPr>
            <w:r w:rsidRPr="00367C0B">
              <w:rPr>
                <w:lang w:val="en-US"/>
              </w:rPr>
              <w:t>3</w:t>
            </w:r>
          </w:p>
        </w:tc>
        <w:tc>
          <w:tcPr>
            <w:tcW w:w="1361" w:type="dxa"/>
            <w:tcBorders>
              <w:top w:val="single" w:sz="4" w:space="0" w:color="auto"/>
              <w:left w:val="single" w:sz="4" w:space="0" w:color="auto"/>
              <w:bottom w:val="single" w:sz="4" w:space="0" w:color="auto"/>
              <w:right w:val="single" w:sz="4" w:space="0" w:color="auto"/>
            </w:tcBorders>
            <w:shd w:val="clear" w:color="auto" w:fill="F8696B"/>
            <w:noWrap/>
            <w:hideMark/>
          </w:tcPr>
          <w:p w14:paraId="06825A29" w14:textId="7AEDB57B" w:rsidR="008D060F" w:rsidRPr="00052061" w:rsidRDefault="008D060F" w:rsidP="008D060F">
            <w:pPr>
              <w:spacing w:after="0" w:line="240" w:lineRule="auto"/>
              <w:jc w:val="right"/>
              <w:rPr>
                <w:rFonts w:eastAsia="Times New Roman" w:cs="Calibri"/>
                <w:color w:val="000000"/>
                <w:sz w:val="18"/>
                <w:szCs w:val="18"/>
                <w:lang w:val="en-US" w:eastAsia="fr-FR"/>
              </w:rPr>
            </w:pPr>
            <w:r w:rsidRPr="00367C0B">
              <w:rPr>
                <w:lang w:val="en-US"/>
              </w:rPr>
              <w:t>4</w:t>
            </w:r>
          </w:p>
        </w:tc>
        <w:tc>
          <w:tcPr>
            <w:tcW w:w="1361" w:type="dxa"/>
            <w:tcBorders>
              <w:top w:val="single" w:sz="4" w:space="0" w:color="auto"/>
              <w:left w:val="single" w:sz="4" w:space="0" w:color="auto"/>
              <w:bottom w:val="single" w:sz="4" w:space="0" w:color="auto"/>
              <w:right w:val="single" w:sz="4" w:space="0" w:color="auto"/>
            </w:tcBorders>
            <w:shd w:val="clear" w:color="auto" w:fill="FDC07C"/>
            <w:noWrap/>
            <w:hideMark/>
          </w:tcPr>
          <w:p w14:paraId="51C98846" w14:textId="2B7D2875" w:rsidR="008D060F" w:rsidRPr="00052061" w:rsidRDefault="008D060F" w:rsidP="008D060F">
            <w:pPr>
              <w:spacing w:after="0" w:line="240" w:lineRule="auto"/>
              <w:jc w:val="right"/>
              <w:rPr>
                <w:rFonts w:eastAsia="Times New Roman" w:cs="Calibri"/>
                <w:color w:val="000000"/>
                <w:sz w:val="18"/>
                <w:szCs w:val="18"/>
                <w:lang w:val="en-US" w:eastAsia="fr-FR"/>
              </w:rPr>
            </w:pPr>
            <w:r w:rsidRPr="00367C0B">
              <w:rPr>
                <w:lang w:val="en-US"/>
              </w:rPr>
              <w:t>3</w:t>
            </w:r>
          </w:p>
        </w:tc>
      </w:tr>
      <w:tr w:rsidR="008D060F" w:rsidRPr="00367C0B" w14:paraId="5C68CFD4" w14:textId="77777777" w:rsidTr="00EE557A">
        <w:trPr>
          <w:gridAfter w:val="4"/>
          <w:wAfter w:w="6747" w:type="dxa"/>
          <w:trHeight w:val="320"/>
        </w:trPr>
        <w:tc>
          <w:tcPr>
            <w:tcW w:w="2778" w:type="dxa"/>
            <w:tcBorders>
              <w:top w:val="nil"/>
              <w:left w:val="single" w:sz="4" w:space="0" w:color="auto"/>
              <w:bottom w:val="single" w:sz="4" w:space="0" w:color="auto"/>
              <w:right w:val="single" w:sz="4" w:space="0" w:color="auto"/>
            </w:tcBorders>
            <w:shd w:val="clear" w:color="auto" w:fill="auto"/>
            <w:noWrap/>
            <w:hideMark/>
          </w:tcPr>
          <w:p w14:paraId="6067BF86" w14:textId="09268B2D" w:rsidR="008D060F" w:rsidRPr="00052061" w:rsidRDefault="008D060F" w:rsidP="008D060F">
            <w:pPr>
              <w:spacing w:after="0" w:line="240" w:lineRule="auto"/>
              <w:jc w:val="left"/>
              <w:rPr>
                <w:rFonts w:eastAsia="Times New Roman" w:cs="Calibri"/>
                <w:color w:val="000000"/>
                <w:sz w:val="18"/>
                <w:szCs w:val="18"/>
                <w:lang w:val="en-US" w:eastAsia="fr-FR"/>
              </w:rPr>
            </w:pPr>
            <w:proofErr w:type="spellStart"/>
            <w:r w:rsidRPr="00367C0B">
              <w:rPr>
                <w:lang w:val="en-US"/>
              </w:rPr>
              <w:t>Zygh</w:t>
            </w:r>
            <w:proofErr w:type="spellEnd"/>
            <w:r w:rsidRPr="00367C0B">
              <w:rPr>
                <w:lang w:val="en-US"/>
              </w:rPr>
              <w:t xml:space="preserve"> Shipyard</w:t>
            </w:r>
          </w:p>
        </w:tc>
        <w:tc>
          <w:tcPr>
            <w:tcW w:w="1361" w:type="dxa"/>
            <w:tcBorders>
              <w:top w:val="nil"/>
              <w:left w:val="nil"/>
              <w:bottom w:val="single" w:sz="4" w:space="0" w:color="auto"/>
              <w:right w:val="single" w:sz="4" w:space="0" w:color="auto"/>
            </w:tcBorders>
            <w:shd w:val="thinDiagStripe" w:color="000000" w:fill="auto"/>
            <w:noWrap/>
          </w:tcPr>
          <w:p w14:paraId="072B61C8" w14:textId="6A97409F" w:rsidR="008D060F" w:rsidRPr="00052061" w:rsidRDefault="008D060F" w:rsidP="008D060F">
            <w:pPr>
              <w:spacing w:after="0" w:line="240" w:lineRule="auto"/>
              <w:jc w:val="left"/>
              <w:rPr>
                <w:rFonts w:eastAsia="Times New Roman" w:cs="Calibri"/>
                <w:color w:val="000000"/>
                <w:sz w:val="18"/>
                <w:szCs w:val="18"/>
                <w:lang w:val="en-US" w:eastAsia="fr-FR"/>
              </w:rPr>
            </w:pPr>
          </w:p>
        </w:tc>
        <w:tc>
          <w:tcPr>
            <w:tcW w:w="1361" w:type="dxa"/>
            <w:tcBorders>
              <w:top w:val="single" w:sz="4" w:space="0" w:color="auto"/>
              <w:left w:val="single" w:sz="4" w:space="0" w:color="auto"/>
              <w:bottom w:val="single" w:sz="4" w:space="0" w:color="auto"/>
              <w:right w:val="single" w:sz="4" w:space="0" w:color="auto"/>
            </w:tcBorders>
            <w:shd w:val="clear" w:color="auto" w:fill="FDC07C"/>
            <w:noWrap/>
            <w:hideMark/>
          </w:tcPr>
          <w:p w14:paraId="2652F0ED" w14:textId="571DD5F3" w:rsidR="008D060F" w:rsidRPr="00052061" w:rsidRDefault="008D060F" w:rsidP="008D060F">
            <w:pPr>
              <w:spacing w:after="0" w:line="240" w:lineRule="auto"/>
              <w:jc w:val="right"/>
              <w:rPr>
                <w:rFonts w:eastAsia="Times New Roman" w:cs="Calibri"/>
                <w:color w:val="000000"/>
                <w:sz w:val="18"/>
                <w:szCs w:val="18"/>
                <w:lang w:val="en-US" w:eastAsia="fr-FR"/>
              </w:rPr>
            </w:pPr>
            <w:r w:rsidRPr="00367C0B">
              <w:rPr>
                <w:lang w:val="en-US"/>
              </w:rPr>
              <w:t>3</w:t>
            </w:r>
          </w:p>
        </w:tc>
        <w:tc>
          <w:tcPr>
            <w:tcW w:w="1361" w:type="dxa"/>
            <w:tcBorders>
              <w:top w:val="single" w:sz="4" w:space="0" w:color="auto"/>
              <w:left w:val="single" w:sz="4" w:space="0" w:color="auto"/>
              <w:bottom w:val="single" w:sz="4" w:space="0" w:color="auto"/>
              <w:right w:val="single" w:sz="4" w:space="0" w:color="auto"/>
            </w:tcBorders>
            <w:shd w:val="clear" w:color="auto" w:fill="FDC07C"/>
            <w:noWrap/>
            <w:hideMark/>
          </w:tcPr>
          <w:p w14:paraId="56F18193" w14:textId="22749051" w:rsidR="008D060F" w:rsidRPr="00052061" w:rsidRDefault="008D060F" w:rsidP="008D060F">
            <w:pPr>
              <w:spacing w:after="0" w:line="240" w:lineRule="auto"/>
              <w:jc w:val="right"/>
              <w:rPr>
                <w:rFonts w:eastAsia="Times New Roman" w:cs="Calibri"/>
                <w:color w:val="000000"/>
                <w:sz w:val="18"/>
                <w:szCs w:val="18"/>
                <w:lang w:val="en-US" w:eastAsia="fr-FR"/>
              </w:rPr>
            </w:pPr>
            <w:r w:rsidRPr="00367C0B">
              <w:rPr>
                <w:lang w:val="en-US"/>
              </w:rPr>
              <w:t>3</w:t>
            </w:r>
          </w:p>
        </w:tc>
        <w:tc>
          <w:tcPr>
            <w:tcW w:w="1361" w:type="dxa"/>
            <w:tcBorders>
              <w:top w:val="single" w:sz="4" w:space="0" w:color="auto"/>
              <w:left w:val="single" w:sz="4" w:space="0" w:color="auto"/>
              <w:bottom w:val="single" w:sz="4" w:space="0" w:color="auto"/>
              <w:right w:val="single" w:sz="4" w:space="0" w:color="auto"/>
            </w:tcBorders>
            <w:shd w:val="clear" w:color="auto" w:fill="F8696B"/>
            <w:noWrap/>
            <w:hideMark/>
          </w:tcPr>
          <w:p w14:paraId="0A04B734" w14:textId="30272E12" w:rsidR="008D060F" w:rsidRPr="00052061" w:rsidRDefault="008D060F" w:rsidP="008D060F">
            <w:pPr>
              <w:spacing w:after="0" w:line="240" w:lineRule="auto"/>
              <w:jc w:val="right"/>
              <w:rPr>
                <w:rFonts w:eastAsia="Times New Roman" w:cs="Calibri"/>
                <w:color w:val="000000"/>
                <w:sz w:val="18"/>
                <w:szCs w:val="18"/>
                <w:lang w:val="en-US" w:eastAsia="fr-FR"/>
              </w:rPr>
            </w:pPr>
            <w:r w:rsidRPr="00367C0B">
              <w:rPr>
                <w:lang w:val="en-US"/>
              </w:rPr>
              <w:t>4</w:t>
            </w:r>
          </w:p>
        </w:tc>
        <w:tc>
          <w:tcPr>
            <w:tcW w:w="1361" w:type="dxa"/>
            <w:tcBorders>
              <w:top w:val="single" w:sz="4" w:space="0" w:color="auto"/>
              <w:left w:val="single" w:sz="4" w:space="0" w:color="auto"/>
              <w:bottom w:val="single" w:sz="4" w:space="0" w:color="auto"/>
              <w:right w:val="single" w:sz="4" w:space="0" w:color="auto"/>
            </w:tcBorders>
            <w:shd w:val="clear" w:color="auto" w:fill="FDC07C"/>
            <w:noWrap/>
            <w:hideMark/>
          </w:tcPr>
          <w:p w14:paraId="71F4EE59" w14:textId="4CD7CE2F" w:rsidR="008D060F" w:rsidRPr="00052061" w:rsidRDefault="008D060F" w:rsidP="008D060F">
            <w:pPr>
              <w:spacing w:after="0" w:line="240" w:lineRule="auto"/>
              <w:jc w:val="right"/>
              <w:rPr>
                <w:rFonts w:eastAsia="Times New Roman" w:cs="Calibri"/>
                <w:color w:val="000000"/>
                <w:sz w:val="18"/>
                <w:szCs w:val="18"/>
                <w:lang w:val="en-US" w:eastAsia="fr-FR"/>
              </w:rPr>
            </w:pPr>
            <w:r w:rsidRPr="00367C0B">
              <w:rPr>
                <w:lang w:val="en-US"/>
              </w:rPr>
              <w:t>3</w:t>
            </w:r>
          </w:p>
        </w:tc>
      </w:tr>
      <w:tr w:rsidR="008D060F" w:rsidRPr="00367C0B" w14:paraId="603A049E" w14:textId="77777777" w:rsidTr="00EE557A">
        <w:trPr>
          <w:gridAfter w:val="4"/>
          <w:wAfter w:w="6747" w:type="dxa"/>
          <w:trHeight w:val="320"/>
        </w:trPr>
        <w:tc>
          <w:tcPr>
            <w:tcW w:w="2778" w:type="dxa"/>
            <w:tcBorders>
              <w:top w:val="nil"/>
              <w:left w:val="single" w:sz="4" w:space="0" w:color="auto"/>
              <w:bottom w:val="single" w:sz="4" w:space="0" w:color="auto"/>
              <w:right w:val="single" w:sz="4" w:space="0" w:color="auto"/>
            </w:tcBorders>
            <w:shd w:val="clear" w:color="auto" w:fill="auto"/>
            <w:noWrap/>
            <w:hideMark/>
          </w:tcPr>
          <w:p w14:paraId="3BF9EFD4" w14:textId="2B949665" w:rsidR="008D060F" w:rsidRPr="00052061" w:rsidRDefault="008D060F" w:rsidP="008D060F">
            <w:pPr>
              <w:spacing w:after="0" w:line="240" w:lineRule="auto"/>
              <w:jc w:val="left"/>
              <w:rPr>
                <w:rFonts w:eastAsia="Times New Roman" w:cs="Calibri"/>
                <w:color w:val="000000"/>
                <w:sz w:val="18"/>
                <w:szCs w:val="18"/>
                <w:lang w:val="en-US" w:eastAsia="fr-FR"/>
              </w:rPr>
            </w:pPr>
            <w:r w:rsidRPr="00367C0B">
              <w:rPr>
                <w:lang w:val="en-US"/>
              </w:rPr>
              <w:lastRenderedPageBreak/>
              <w:t>Aktau port</w:t>
            </w:r>
          </w:p>
        </w:tc>
        <w:tc>
          <w:tcPr>
            <w:tcW w:w="1361" w:type="dxa"/>
            <w:tcBorders>
              <w:top w:val="nil"/>
              <w:left w:val="nil"/>
              <w:bottom w:val="single" w:sz="4" w:space="0" w:color="auto"/>
              <w:right w:val="single" w:sz="4" w:space="0" w:color="auto"/>
            </w:tcBorders>
            <w:shd w:val="thinDiagStripe" w:color="000000" w:fill="auto"/>
            <w:noWrap/>
          </w:tcPr>
          <w:p w14:paraId="7E725C7F" w14:textId="4796FD90" w:rsidR="008D060F" w:rsidRPr="00052061" w:rsidRDefault="008D060F" w:rsidP="008D060F">
            <w:pPr>
              <w:spacing w:after="0" w:line="240" w:lineRule="auto"/>
              <w:jc w:val="left"/>
              <w:rPr>
                <w:rFonts w:eastAsia="Times New Roman" w:cs="Calibri"/>
                <w:color w:val="000000"/>
                <w:sz w:val="18"/>
                <w:szCs w:val="18"/>
                <w:lang w:val="en-US" w:eastAsia="fr-FR"/>
              </w:rPr>
            </w:pPr>
          </w:p>
        </w:tc>
        <w:tc>
          <w:tcPr>
            <w:tcW w:w="1361" w:type="dxa"/>
            <w:tcBorders>
              <w:top w:val="single" w:sz="4" w:space="0" w:color="auto"/>
              <w:left w:val="single" w:sz="4" w:space="0" w:color="auto"/>
              <w:bottom w:val="single" w:sz="4" w:space="0" w:color="auto"/>
              <w:right w:val="single" w:sz="4" w:space="0" w:color="auto"/>
            </w:tcBorders>
            <w:shd w:val="clear" w:color="auto" w:fill="FDC07C"/>
            <w:noWrap/>
            <w:hideMark/>
          </w:tcPr>
          <w:p w14:paraId="04537518" w14:textId="42189A0A" w:rsidR="008D060F" w:rsidRPr="00052061" w:rsidRDefault="008D060F" w:rsidP="008D060F">
            <w:pPr>
              <w:spacing w:after="0" w:line="240" w:lineRule="auto"/>
              <w:jc w:val="right"/>
              <w:rPr>
                <w:rFonts w:eastAsia="Times New Roman" w:cs="Calibri"/>
                <w:color w:val="000000"/>
                <w:sz w:val="18"/>
                <w:szCs w:val="18"/>
                <w:lang w:val="en-US" w:eastAsia="fr-FR"/>
              </w:rPr>
            </w:pPr>
            <w:r w:rsidRPr="00367C0B">
              <w:rPr>
                <w:lang w:val="en-US"/>
              </w:rPr>
              <w:t>3</w:t>
            </w:r>
          </w:p>
        </w:tc>
        <w:tc>
          <w:tcPr>
            <w:tcW w:w="1361" w:type="dxa"/>
            <w:tcBorders>
              <w:top w:val="single" w:sz="4" w:space="0" w:color="auto"/>
              <w:left w:val="single" w:sz="4" w:space="0" w:color="auto"/>
              <w:bottom w:val="single" w:sz="4" w:space="0" w:color="auto"/>
              <w:right w:val="single" w:sz="4" w:space="0" w:color="auto"/>
            </w:tcBorders>
            <w:shd w:val="clear" w:color="auto" w:fill="FDC07C"/>
            <w:noWrap/>
            <w:hideMark/>
          </w:tcPr>
          <w:p w14:paraId="10BFBE10" w14:textId="04BF3BF2" w:rsidR="008D060F" w:rsidRPr="00052061" w:rsidRDefault="008D060F" w:rsidP="008D060F">
            <w:pPr>
              <w:spacing w:after="0" w:line="240" w:lineRule="auto"/>
              <w:jc w:val="right"/>
              <w:rPr>
                <w:rFonts w:eastAsia="Times New Roman" w:cs="Calibri"/>
                <w:color w:val="000000"/>
                <w:sz w:val="18"/>
                <w:szCs w:val="18"/>
                <w:lang w:val="en-US" w:eastAsia="fr-FR"/>
              </w:rPr>
            </w:pPr>
            <w:r w:rsidRPr="00367C0B">
              <w:rPr>
                <w:lang w:val="en-US"/>
              </w:rPr>
              <w:t>3</w:t>
            </w:r>
          </w:p>
        </w:tc>
        <w:tc>
          <w:tcPr>
            <w:tcW w:w="1361" w:type="dxa"/>
            <w:tcBorders>
              <w:top w:val="single" w:sz="4" w:space="0" w:color="auto"/>
              <w:left w:val="single" w:sz="4" w:space="0" w:color="auto"/>
              <w:bottom w:val="single" w:sz="4" w:space="0" w:color="auto"/>
              <w:right w:val="single" w:sz="4" w:space="0" w:color="auto"/>
            </w:tcBorders>
            <w:shd w:val="clear" w:color="auto" w:fill="F8696B"/>
            <w:noWrap/>
            <w:hideMark/>
          </w:tcPr>
          <w:p w14:paraId="26EB22F6" w14:textId="2CABAE5E" w:rsidR="008D060F" w:rsidRPr="00052061" w:rsidRDefault="008D060F" w:rsidP="008D060F">
            <w:pPr>
              <w:spacing w:after="0" w:line="240" w:lineRule="auto"/>
              <w:jc w:val="right"/>
              <w:rPr>
                <w:rFonts w:eastAsia="Times New Roman" w:cs="Calibri"/>
                <w:color w:val="000000"/>
                <w:sz w:val="18"/>
                <w:szCs w:val="18"/>
                <w:lang w:val="en-US" w:eastAsia="fr-FR"/>
              </w:rPr>
            </w:pPr>
            <w:r w:rsidRPr="00367C0B">
              <w:rPr>
                <w:lang w:val="en-US"/>
              </w:rPr>
              <w:t>4</w:t>
            </w:r>
          </w:p>
        </w:tc>
        <w:tc>
          <w:tcPr>
            <w:tcW w:w="1361" w:type="dxa"/>
            <w:tcBorders>
              <w:top w:val="single" w:sz="4" w:space="0" w:color="auto"/>
              <w:left w:val="single" w:sz="4" w:space="0" w:color="auto"/>
              <w:bottom w:val="single" w:sz="4" w:space="0" w:color="auto"/>
              <w:right w:val="single" w:sz="4" w:space="0" w:color="auto"/>
            </w:tcBorders>
            <w:shd w:val="clear" w:color="auto" w:fill="FDC07C"/>
            <w:noWrap/>
            <w:hideMark/>
          </w:tcPr>
          <w:p w14:paraId="25A90538" w14:textId="135BDEC3" w:rsidR="008D060F" w:rsidRPr="00052061" w:rsidRDefault="008D060F" w:rsidP="008D060F">
            <w:pPr>
              <w:spacing w:after="0" w:line="240" w:lineRule="auto"/>
              <w:jc w:val="right"/>
              <w:rPr>
                <w:rFonts w:eastAsia="Times New Roman" w:cs="Calibri"/>
                <w:color w:val="000000"/>
                <w:sz w:val="18"/>
                <w:szCs w:val="18"/>
                <w:lang w:val="en-US" w:eastAsia="fr-FR"/>
              </w:rPr>
            </w:pPr>
            <w:r w:rsidRPr="00367C0B">
              <w:rPr>
                <w:lang w:val="en-US"/>
              </w:rPr>
              <w:t>3</w:t>
            </w:r>
          </w:p>
        </w:tc>
      </w:tr>
      <w:tr w:rsidR="008D060F" w:rsidRPr="00367C0B" w14:paraId="4CCD8309" w14:textId="77777777" w:rsidTr="00EE557A">
        <w:trPr>
          <w:gridAfter w:val="4"/>
          <w:wAfter w:w="6747" w:type="dxa"/>
          <w:trHeight w:val="320"/>
        </w:trPr>
        <w:tc>
          <w:tcPr>
            <w:tcW w:w="2778" w:type="dxa"/>
            <w:tcBorders>
              <w:top w:val="nil"/>
              <w:left w:val="single" w:sz="4" w:space="0" w:color="auto"/>
              <w:bottom w:val="single" w:sz="4" w:space="0" w:color="auto"/>
              <w:right w:val="single" w:sz="4" w:space="0" w:color="auto"/>
            </w:tcBorders>
            <w:shd w:val="clear" w:color="auto" w:fill="auto"/>
            <w:noWrap/>
            <w:hideMark/>
          </w:tcPr>
          <w:p w14:paraId="2CD001FC" w14:textId="0906188E" w:rsidR="008D060F" w:rsidRPr="00052061" w:rsidRDefault="008D060F" w:rsidP="008D060F">
            <w:pPr>
              <w:spacing w:after="0" w:line="240" w:lineRule="auto"/>
              <w:jc w:val="left"/>
              <w:rPr>
                <w:rFonts w:eastAsia="Times New Roman" w:cs="Calibri"/>
                <w:color w:val="000000"/>
                <w:sz w:val="18"/>
                <w:szCs w:val="18"/>
                <w:lang w:val="en-US" w:eastAsia="fr-FR"/>
              </w:rPr>
            </w:pPr>
            <w:r w:rsidRPr="00367C0B">
              <w:rPr>
                <w:rFonts w:eastAsia="Times New Roman" w:cs="Calibri"/>
                <w:color w:val="000000"/>
                <w:lang w:val="en-US" w:eastAsia="fr-FR"/>
              </w:rPr>
              <w:t>Turkmenistan Port</w:t>
            </w:r>
          </w:p>
        </w:tc>
        <w:tc>
          <w:tcPr>
            <w:tcW w:w="1361" w:type="dxa"/>
            <w:tcBorders>
              <w:top w:val="nil"/>
              <w:left w:val="nil"/>
              <w:bottom w:val="single" w:sz="4" w:space="0" w:color="auto"/>
              <w:right w:val="single" w:sz="4" w:space="0" w:color="auto"/>
            </w:tcBorders>
            <w:shd w:val="thinDiagStripe" w:color="000000" w:fill="auto"/>
            <w:noWrap/>
          </w:tcPr>
          <w:p w14:paraId="42E8D931" w14:textId="068A5A14" w:rsidR="008D060F" w:rsidRPr="00052061" w:rsidRDefault="008D060F" w:rsidP="008D060F">
            <w:pPr>
              <w:spacing w:after="0" w:line="240" w:lineRule="auto"/>
              <w:jc w:val="left"/>
              <w:rPr>
                <w:rFonts w:eastAsia="Times New Roman" w:cs="Calibri"/>
                <w:color w:val="000000"/>
                <w:sz w:val="18"/>
                <w:szCs w:val="18"/>
                <w:lang w:val="en-US" w:eastAsia="fr-FR"/>
              </w:rPr>
            </w:pPr>
          </w:p>
        </w:tc>
        <w:tc>
          <w:tcPr>
            <w:tcW w:w="1361" w:type="dxa"/>
            <w:tcBorders>
              <w:top w:val="single" w:sz="4" w:space="0" w:color="auto"/>
              <w:left w:val="single" w:sz="4" w:space="0" w:color="auto"/>
              <w:bottom w:val="single" w:sz="4" w:space="0" w:color="auto"/>
              <w:right w:val="single" w:sz="4" w:space="0" w:color="auto"/>
            </w:tcBorders>
            <w:shd w:val="clear" w:color="auto" w:fill="FDC07C"/>
            <w:noWrap/>
            <w:hideMark/>
          </w:tcPr>
          <w:p w14:paraId="79E112ED" w14:textId="5E3A12DE" w:rsidR="008D060F" w:rsidRPr="00052061" w:rsidRDefault="008D060F" w:rsidP="008D060F">
            <w:pPr>
              <w:spacing w:after="0" w:line="240" w:lineRule="auto"/>
              <w:jc w:val="right"/>
              <w:rPr>
                <w:rFonts w:eastAsia="Times New Roman" w:cs="Calibri"/>
                <w:color w:val="000000"/>
                <w:sz w:val="18"/>
                <w:szCs w:val="18"/>
                <w:lang w:val="en-US" w:eastAsia="fr-FR"/>
              </w:rPr>
            </w:pPr>
            <w:r w:rsidRPr="00367C0B">
              <w:rPr>
                <w:lang w:val="en-US"/>
              </w:rPr>
              <w:t>3</w:t>
            </w:r>
          </w:p>
        </w:tc>
        <w:tc>
          <w:tcPr>
            <w:tcW w:w="1361" w:type="dxa"/>
            <w:tcBorders>
              <w:top w:val="single" w:sz="4" w:space="0" w:color="auto"/>
              <w:left w:val="single" w:sz="4" w:space="0" w:color="auto"/>
              <w:bottom w:val="single" w:sz="4" w:space="0" w:color="auto"/>
              <w:right w:val="single" w:sz="4" w:space="0" w:color="auto"/>
            </w:tcBorders>
            <w:shd w:val="clear" w:color="auto" w:fill="F8696B"/>
            <w:noWrap/>
            <w:hideMark/>
          </w:tcPr>
          <w:p w14:paraId="4A9FFE0A" w14:textId="1DA68488" w:rsidR="008D060F" w:rsidRPr="00052061" w:rsidRDefault="008D060F" w:rsidP="008D060F">
            <w:pPr>
              <w:spacing w:after="0" w:line="240" w:lineRule="auto"/>
              <w:jc w:val="right"/>
              <w:rPr>
                <w:rFonts w:eastAsia="Times New Roman" w:cs="Calibri"/>
                <w:color w:val="000000"/>
                <w:sz w:val="18"/>
                <w:szCs w:val="18"/>
                <w:lang w:val="en-US" w:eastAsia="fr-FR"/>
              </w:rPr>
            </w:pPr>
            <w:r w:rsidRPr="00367C0B">
              <w:rPr>
                <w:lang w:val="en-US"/>
              </w:rPr>
              <w:t>4</w:t>
            </w:r>
          </w:p>
        </w:tc>
        <w:tc>
          <w:tcPr>
            <w:tcW w:w="1361" w:type="dxa"/>
            <w:tcBorders>
              <w:top w:val="single" w:sz="4" w:space="0" w:color="auto"/>
              <w:left w:val="single" w:sz="4" w:space="0" w:color="auto"/>
              <w:bottom w:val="single" w:sz="4" w:space="0" w:color="auto"/>
              <w:right w:val="single" w:sz="4" w:space="0" w:color="auto"/>
            </w:tcBorders>
            <w:shd w:val="clear" w:color="auto" w:fill="F8696B"/>
            <w:noWrap/>
            <w:hideMark/>
          </w:tcPr>
          <w:p w14:paraId="76E1ADDB" w14:textId="13C107BD" w:rsidR="008D060F" w:rsidRPr="00052061" w:rsidRDefault="008D060F" w:rsidP="008D060F">
            <w:pPr>
              <w:spacing w:after="0" w:line="240" w:lineRule="auto"/>
              <w:jc w:val="right"/>
              <w:rPr>
                <w:rFonts w:eastAsia="Times New Roman" w:cs="Calibri"/>
                <w:color w:val="000000"/>
                <w:sz w:val="18"/>
                <w:szCs w:val="18"/>
                <w:lang w:val="en-US" w:eastAsia="fr-FR"/>
              </w:rPr>
            </w:pPr>
            <w:r w:rsidRPr="00367C0B">
              <w:rPr>
                <w:lang w:val="en-US"/>
              </w:rPr>
              <w:t>4</w:t>
            </w:r>
          </w:p>
        </w:tc>
        <w:tc>
          <w:tcPr>
            <w:tcW w:w="1361" w:type="dxa"/>
            <w:tcBorders>
              <w:top w:val="single" w:sz="4" w:space="0" w:color="auto"/>
              <w:left w:val="single" w:sz="4" w:space="0" w:color="auto"/>
              <w:bottom w:val="single" w:sz="4" w:space="0" w:color="auto"/>
              <w:right w:val="single" w:sz="4" w:space="0" w:color="auto"/>
            </w:tcBorders>
            <w:shd w:val="clear" w:color="auto" w:fill="FDC07C"/>
            <w:noWrap/>
            <w:hideMark/>
          </w:tcPr>
          <w:p w14:paraId="4AD79DCC" w14:textId="516DD128" w:rsidR="008D060F" w:rsidRPr="00052061" w:rsidRDefault="008D060F" w:rsidP="008D060F">
            <w:pPr>
              <w:spacing w:after="0" w:line="240" w:lineRule="auto"/>
              <w:jc w:val="right"/>
              <w:rPr>
                <w:rFonts w:eastAsia="Times New Roman" w:cs="Calibri"/>
                <w:color w:val="000000"/>
                <w:sz w:val="18"/>
                <w:szCs w:val="18"/>
                <w:lang w:val="en-US" w:eastAsia="fr-FR"/>
              </w:rPr>
            </w:pPr>
            <w:r w:rsidRPr="00367C0B">
              <w:rPr>
                <w:lang w:val="en-US"/>
              </w:rPr>
              <w:t>3</w:t>
            </w:r>
          </w:p>
        </w:tc>
      </w:tr>
      <w:tr w:rsidR="007F24CA" w:rsidRPr="00367C0B" w14:paraId="1C1F7F8B" w14:textId="77777777" w:rsidTr="00052061">
        <w:trPr>
          <w:trHeight w:val="320"/>
        </w:trPr>
        <w:tc>
          <w:tcPr>
            <w:tcW w:w="2778" w:type="dxa"/>
            <w:tcBorders>
              <w:top w:val="nil"/>
              <w:left w:val="nil"/>
              <w:bottom w:val="nil"/>
              <w:right w:val="nil"/>
            </w:tcBorders>
            <w:shd w:val="clear" w:color="auto" w:fill="auto"/>
            <w:noWrap/>
            <w:vAlign w:val="center"/>
            <w:hideMark/>
          </w:tcPr>
          <w:p w14:paraId="5BF3BFBF" w14:textId="77777777" w:rsidR="007F24CA" w:rsidRPr="00052061" w:rsidRDefault="007F24CA" w:rsidP="007F24CA">
            <w:pPr>
              <w:spacing w:after="0" w:line="240" w:lineRule="auto"/>
              <w:jc w:val="right"/>
              <w:rPr>
                <w:rFonts w:eastAsia="Times New Roman" w:cs="Calibri"/>
                <w:color w:val="000000"/>
                <w:sz w:val="18"/>
                <w:szCs w:val="18"/>
                <w:lang w:val="en-US" w:eastAsia="fr-FR"/>
              </w:rPr>
            </w:pPr>
          </w:p>
        </w:tc>
        <w:tc>
          <w:tcPr>
            <w:tcW w:w="6805" w:type="dxa"/>
            <w:gridSpan w:val="5"/>
            <w:tcBorders>
              <w:top w:val="nil"/>
              <w:left w:val="nil"/>
              <w:bottom w:val="nil"/>
              <w:right w:val="nil"/>
            </w:tcBorders>
            <w:shd w:val="clear" w:color="auto" w:fill="auto"/>
            <w:noWrap/>
            <w:vAlign w:val="center"/>
            <w:hideMark/>
          </w:tcPr>
          <w:p w14:paraId="310FE5F8" w14:textId="77777777" w:rsidR="007F24CA" w:rsidRPr="00052061" w:rsidRDefault="007F24CA" w:rsidP="007F24CA">
            <w:pPr>
              <w:spacing w:after="0" w:line="240" w:lineRule="auto"/>
              <w:jc w:val="left"/>
              <w:rPr>
                <w:rFonts w:ascii="Times New Roman" w:eastAsia="Times New Roman" w:hAnsi="Times New Roman" w:cs="Times New Roman"/>
                <w:sz w:val="20"/>
                <w:szCs w:val="20"/>
                <w:lang w:val="en-US" w:eastAsia="fr-FR"/>
              </w:rPr>
            </w:pPr>
          </w:p>
        </w:tc>
        <w:tc>
          <w:tcPr>
            <w:tcW w:w="2580" w:type="dxa"/>
            <w:tcBorders>
              <w:top w:val="nil"/>
              <w:left w:val="nil"/>
              <w:bottom w:val="nil"/>
              <w:right w:val="nil"/>
            </w:tcBorders>
            <w:shd w:val="clear" w:color="auto" w:fill="auto"/>
            <w:noWrap/>
            <w:vAlign w:val="center"/>
            <w:hideMark/>
          </w:tcPr>
          <w:p w14:paraId="49F61DEE" w14:textId="77777777" w:rsidR="007F24CA" w:rsidRPr="00367C0B" w:rsidRDefault="007F24CA" w:rsidP="007F24CA">
            <w:pPr>
              <w:spacing w:after="0" w:line="240" w:lineRule="auto"/>
              <w:jc w:val="left"/>
              <w:rPr>
                <w:rFonts w:ascii="Times New Roman" w:eastAsia="Times New Roman" w:hAnsi="Times New Roman" w:cs="Times New Roman"/>
                <w:sz w:val="20"/>
                <w:szCs w:val="20"/>
                <w:lang w:val="en-US" w:eastAsia="fr-FR"/>
              </w:rPr>
            </w:pPr>
          </w:p>
        </w:tc>
        <w:tc>
          <w:tcPr>
            <w:tcW w:w="1240" w:type="dxa"/>
            <w:tcBorders>
              <w:top w:val="nil"/>
              <w:left w:val="nil"/>
              <w:bottom w:val="nil"/>
              <w:right w:val="nil"/>
            </w:tcBorders>
            <w:shd w:val="clear" w:color="auto" w:fill="auto"/>
            <w:noWrap/>
            <w:vAlign w:val="center"/>
            <w:hideMark/>
          </w:tcPr>
          <w:p w14:paraId="01E70E34" w14:textId="77777777" w:rsidR="007F24CA" w:rsidRPr="00367C0B" w:rsidRDefault="007F24CA" w:rsidP="007F24CA">
            <w:pPr>
              <w:spacing w:after="0" w:line="240" w:lineRule="auto"/>
              <w:jc w:val="left"/>
              <w:rPr>
                <w:rFonts w:ascii="Times New Roman" w:eastAsia="Times New Roman" w:hAnsi="Times New Roman" w:cs="Times New Roman"/>
                <w:sz w:val="20"/>
                <w:szCs w:val="20"/>
                <w:lang w:val="en-US" w:eastAsia="fr-FR"/>
              </w:rPr>
            </w:pPr>
          </w:p>
        </w:tc>
        <w:tc>
          <w:tcPr>
            <w:tcW w:w="1511" w:type="dxa"/>
            <w:tcBorders>
              <w:top w:val="nil"/>
              <w:left w:val="nil"/>
              <w:bottom w:val="nil"/>
              <w:right w:val="nil"/>
            </w:tcBorders>
            <w:shd w:val="clear" w:color="auto" w:fill="auto"/>
            <w:noWrap/>
            <w:vAlign w:val="center"/>
            <w:hideMark/>
          </w:tcPr>
          <w:p w14:paraId="18189318" w14:textId="77777777" w:rsidR="007F24CA" w:rsidRPr="00367C0B" w:rsidRDefault="007F24CA" w:rsidP="007F24CA">
            <w:pPr>
              <w:spacing w:after="0" w:line="240" w:lineRule="auto"/>
              <w:jc w:val="left"/>
              <w:rPr>
                <w:rFonts w:ascii="Times New Roman" w:eastAsia="Times New Roman" w:hAnsi="Times New Roman" w:cs="Times New Roman"/>
                <w:sz w:val="20"/>
                <w:szCs w:val="20"/>
                <w:lang w:val="en-US" w:eastAsia="fr-FR"/>
              </w:rPr>
            </w:pPr>
          </w:p>
        </w:tc>
        <w:tc>
          <w:tcPr>
            <w:tcW w:w="1416" w:type="dxa"/>
            <w:tcBorders>
              <w:top w:val="nil"/>
              <w:left w:val="nil"/>
              <w:bottom w:val="nil"/>
              <w:right w:val="nil"/>
            </w:tcBorders>
            <w:shd w:val="clear" w:color="auto" w:fill="auto"/>
            <w:noWrap/>
            <w:vAlign w:val="center"/>
            <w:hideMark/>
          </w:tcPr>
          <w:p w14:paraId="01CFCE06" w14:textId="77777777" w:rsidR="007F24CA" w:rsidRPr="00367C0B" w:rsidRDefault="007F24CA" w:rsidP="007F24CA">
            <w:pPr>
              <w:spacing w:after="0" w:line="240" w:lineRule="auto"/>
              <w:jc w:val="left"/>
              <w:rPr>
                <w:rFonts w:ascii="Times New Roman" w:eastAsia="Times New Roman" w:hAnsi="Times New Roman" w:cs="Times New Roman"/>
                <w:sz w:val="20"/>
                <w:szCs w:val="20"/>
                <w:lang w:val="en-US" w:eastAsia="fr-FR"/>
              </w:rPr>
            </w:pPr>
          </w:p>
        </w:tc>
      </w:tr>
      <w:tr w:rsidR="007F24CA" w:rsidRPr="00FA7359" w14:paraId="18228D2B" w14:textId="77777777" w:rsidTr="00052061">
        <w:trPr>
          <w:gridAfter w:val="4"/>
          <w:wAfter w:w="6747" w:type="dxa"/>
          <w:trHeight w:val="320"/>
        </w:trPr>
        <w:tc>
          <w:tcPr>
            <w:tcW w:w="2778" w:type="dxa"/>
            <w:tcBorders>
              <w:top w:val="single" w:sz="4" w:space="0" w:color="auto"/>
              <w:left w:val="single" w:sz="4" w:space="0" w:color="auto"/>
              <w:bottom w:val="single" w:sz="4" w:space="0" w:color="auto"/>
              <w:right w:val="single" w:sz="4" w:space="0" w:color="auto"/>
            </w:tcBorders>
            <w:shd w:val="clear" w:color="000000" w:fill="AEAAAA"/>
            <w:noWrap/>
            <w:vAlign w:val="center"/>
            <w:hideMark/>
          </w:tcPr>
          <w:p w14:paraId="7F6CB649" w14:textId="77777777" w:rsidR="007F24CA" w:rsidRPr="00052061" w:rsidRDefault="007F24CA" w:rsidP="007F24CA">
            <w:pPr>
              <w:spacing w:after="0" w:line="240" w:lineRule="auto"/>
              <w:jc w:val="center"/>
              <w:rPr>
                <w:rFonts w:eastAsia="Times New Roman" w:cs="Calibri"/>
                <w:b/>
                <w:bCs/>
                <w:color w:val="000000"/>
                <w:sz w:val="18"/>
                <w:szCs w:val="18"/>
                <w:lang w:val="en-US" w:eastAsia="fr-FR"/>
              </w:rPr>
            </w:pPr>
            <w:r w:rsidRPr="00052061">
              <w:rPr>
                <w:rFonts w:eastAsia="Times New Roman" w:cs="Calibri"/>
                <w:b/>
                <w:bCs/>
                <w:color w:val="000000"/>
                <w:sz w:val="18"/>
                <w:szCs w:val="18"/>
                <w:lang w:val="en-US" w:eastAsia="fr-FR"/>
              </w:rPr>
              <w:t>SSP5-8.5 - 2050</w:t>
            </w:r>
          </w:p>
        </w:tc>
        <w:tc>
          <w:tcPr>
            <w:tcW w:w="6805" w:type="dxa"/>
            <w:gridSpan w:val="5"/>
            <w:tcBorders>
              <w:top w:val="single" w:sz="4" w:space="0" w:color="auto"/>
              <w:left w:val="nil"/>
              <w:bottom w:val="single" w:sz="4" w:space="0" w:color="auto"/>
              <w:right w:val="single" w:sz="4" w:space="0" w:color="000000"/>
            </w:tcBorders>
            <w:shd w:val="clear" w:color="000000" w:fill="B4C6E7"/>
            <w:noWrap/>
            <w:vAlign w:val="center"/>
            <w:hideMark/>
          </w:tcPr>
          <w:p w14:paraId="089A079B" w14:textId="775C5FEC" w:rsidR="007F24CA" w:rsidRPr="00052061" w:rsidRDefault="007F24CA" w:rsidP="007F24CA">
            <w:pPr>
              <w:spacing w:after="0" w:line="240" w:lineRule="auto"/>
              <w:jc w:val="center"/>
              <w:rPr>
                <w:rFonts w:eastAsia="Times New Roman" w:cs="Calibri"/>
                <w:b/>
                <w:bCs/>
                <w:color w:val="000000"/>
                <w:sz w:val="18"/>
                <w:szCs w:val="18"/>
                <w:lang w:val="en-US" w:eastAsia="fr-FR"/>
              </w:rPr>
            </w:pPr>
            <w:r w:rsidRPr="00052061">
              <w:rPr>
                <w:rFonts w:eastAsia="Times New Roman" w:cs="Calibri"/>
                <w:b/>
                <w:bCs/>
                <w:color w:val="000000"/>
                <w:sz w:val="18"/>
                <w:szCs w:val="18"/>
                <w:lang w:val="en-US" w:eastAsia="fr-FR"/>
              </w:rPr>
              <w:t>Exposure level per taxonomy related hazard</w:t>
            </w:r>
          </w:p>
        </w:tc>
      </w:tr>
      <w:tr w:rsidR="007F24CA" w:rsidRPr="00367C0B" w14:paraId="4A1A1734" w14:textId="77777777" w:rsidTr="00052061">
        <w:trPr>
          <w:gridAfter w:val="4"/>
          <w:wAfter w:w="6747" w:type="dxa"/>
          <w:trHeight w:val="320"/>
        </w:trPr>
        <w:tc>
          <w:tcPr>
            <w:tcW w:w="2778" w:type="dxa"/>
            <w:tcBorders>
              <w:top w:val="nil"/>
              <w:left w:val="single" w:sz="4" w:space="0" w:color="auto"/>
              <w:bottom w:val="single" w:sz="4" w:space="0" w:color="auto"/>
              <w:right w:val="single" w:sz="4" w:space="0" w:color="auto"/>
            </w:tcBorders>
            <w:shd w:val="clear" w:color="000000" w:fill="E7E6E6"/>
            <w:noWrap/>
            <w:vAlign w:val="center"/>
            <w:hideMark/>
          </w:tcPr>
          <w:p w14:paraId="008E6585" w14:textId="7922623A" w:rsidR="007F24CA" w:rsidRPr="00052061" w:rsidRDefault="007F24CA" w:rsidP="007F24CA">
            <w:pPr>
              <w:spacing w:after="0" w:line="240" w:lineRule="auto"/>
              <w:jc w:val="left"/>
              <w:rPr>
                <w:rFonts w:eastAsia="Times New Roman" w:cs="Calibri"/>
                <w:b/>
                <w:bCs/>
                <w:color w:val="000000"/>
                <w:sz w:val="18"/>
                <w:szCs w:val="18"/>
                <w:lang w:val="en-US" w:eastAsia="fr-FR"/>
              </w:rPr>
            </w:pPr>
            <w:r w:rsidRPr="00A6423B">
              <w:rPr>
                <w:rFonts w:eastAsia="Times New Roman" w:cs="Calibri"/>
                <w:b/>
                <w:bCs/>
                <w:color w:val="000000"/>
                <w:sz w:val="18"/>
                <w:szCs w:val="18"/>
                <w:lang w:val="en-US" w:eastAsia="fr-FR"/>
              </w:rPr>
              <w:t>Site Name</w:t>
            </w:r>
          </w:p>
        </w:tc>
        <w:tc>
          <w:tcPr>
            <w:tcW w:w="1361" w:type="dxa"/>
            <w:tcBorders>
              <w:top w:val="nil"/>
              <w:left w:val="nil"/>
              <w:bottom w:val="single" w:sz="4" w:space="0" w:color="auto"/>
              <w:right w:val="single" w:sz="4" w:space="0" w:color="auto"/>
            </w:tcBorders>
            <w:shd w:val="clear" w:color="000000" w:fill="D9E1F2"/>
            <w:noWrap/>
            <w:vAlign w:val="center"/>
            <w:hideMark/>
          </w:tcPr>
          <w:p w14:paraId="71D949F3" w14:textId="4375922F" w:rsidR="007F24CA" w:rsidRPr="00052061" w:rsidRDefault="007F24CA" w:rsidP="007F24CA">
            <w:pPr>
              <w:spacing w:after="0" w:line="240" w:lineRule="auto"/>
              <w:jc w:val="left"/>
              <w:rPr>
                <w:rFonts w:eastAsia="Times New Roman" w:cs="Calibri"/>
                <w:b/>
                <w:bCs/>
                <w:color w:val="000000"/>
                <w:sz w:val="18"/>
                <w:szCs w:val="18"/>
                <w:lang w:val="en-US" w:eastAsia="fr-FR"/>
              </w:rPr>
            </w:pPr>
            <w:r w:rsidRPr="00A6423B">
              <w:rPr>
                <w:rFonts w:eastAsia="Times New Roman" w:cs="Calibri"/>
                <w:b/>
                <w:bCs/>
                <w:color w:val="000000"/>
                <w:sz w:val="18"/>
                <w:szCs w:val="18"/>
                <w:lang w:val="en-US" w:eastAsia="fr-FR"/>
              </w:rPr>
              <w:t>Flood</w:t>
            </w:r>
          </w:p>
        </w:tc>
        <w:tc>
          <w:tcPr>
            <w:tcW w:w="1361" w:type="dxa"/>
            <w:tcBorders>
              <w:top w:val="nil"/>
              <w:left w:val="nil"/>
              <w:bottom w:val="single" w:sz="4" w:space="0" w:color="auto"/>
              <w:right w:val="single" w:sz="4" w:space="0" w:color="auto"/>
            </w:tcBorders>
            <w:shd w:val="clear" w:color="000000" w:fill="D9E1F2"/>
            <w:noWrap/>
            <w:vAlign w:val="center"/>
            <w:hideMark/>
          </w:tcPr>
          <w:p w14:paraId="37F6D6AE" w14:textId="171EFB66" w:rsidR="007F24CA" w:rsidRPr="00052061" w:rsidRDefault="007F24CA" w:rsidP="007F24CA">
            <w:pPr>
              <w:spacing w:after="0" w:line="240" w:lineRule="auto"/>
              <w:jc w:val="left"/>
              <w:rPr>
                <w:rFonts w:eastAsia="Times New Roman" w:cs="Calibri"/>
                <w:b/>
                <w:bCs/>
                <w:color w:val="000000"/>
                <w:sz w:val="18"/>
                <w:szCs w:val="18"/>
                <w:lang w:val="en-US" w:eastAsia="fr-FR"/>
              </w:rPr>
            </w:pPr>
            <w:r>
              <w:rPr>
                <w:rFonts w:eastAsia="Times New Roman" w:cs="Calibri"/>
                <w:b/>
                <w:bCs/>
                <w:color w:val="000000"/>
                <w:sz w:val="18"/>
                <w:szCs w:val="18"/>
                <w:lang w:val="en-US" w:eastAsia="fr-FR"/>
              </w:rPr>
              <w:t>Temperature</w:t>
            </w:r>
          </w:p>
        </w:tc>
        <w:tc>
          <w:tcPr>
            <w:tcW w:w="1361" w:type="dxa"/>
            <w:tcBorders>
              <w:top w:val="nil"/>
              <w:left w:val="nil"/>
              <w:bottom w:val="single" w:sz="4" w:space="0" w:color="auto"/>
              <w:right w:val="single" w:sz="4" w:space="0" w:color="auto"/>
            </w:tcBorders>
            <w:shd w:val="clear" w:color="000000" w:fill="D9E1F2"/>
            <w:noWrap/>
            <w:vAlign w:val="center"/>
            <w:hideMark/>
          </w:tcPr>
          <w:p w14:paraId="1396A9B4" w14:textId="68BD21E9" w:rsidR="007F24CA" w:rsidRPr="00052061" w:rsidRDefault="007F24CA" w:rsidP="007F24CA">
            <w:pPr>
              <w:spacing w:after="0" w:line="240" w:lineRule="auto"/>
              <w:jc w:val="left"/>
              <w:rPr>
                <w:rFonts w:eastAsia="Times New Roman" w:cs="Calibri"/>
                <w:b/>
                <w:bCs/>
                <w:color w:val="000000"/>
                <w:sz w:val="18"/>
                <w:szCs w:val="18"/>
                <w:lang w:val="en-US" w:eastAsia="fr-FR"/>
              </w:rPr>
            </w:pPr>
            <w:r>
              <w:rPr>
                <w:rFonts w:eastAsia="Times New Roman" w:cs="Calibri"/>
                <w:b/>
                <w:bCs/>
                <w:color w:val="000000"/>
                <w:sz w:val="18"/>
                <w:szCs w:val="18"/>
                <w:lang w:val="en-US" w:eastAsia="fr-FR"/>
              </w:rPr>
              <w:t>Heat</w:t>
            </w:r>
          </w:p>
        </w:tc>
        <w:tc>
          <w:tcPr>
            <w:tcW w:w="1361" w:type="dxa"/>
            <w:tcBorders>
              <w:top w:val="nil"/>
              <w:left w:val="nil"/>
              <w:bottom w:val="single" w:sz="4" w:space="0" w:color="auto"/>
              <w:right w:val="single" w:sz="4" w:space="0" w:color="auto"/>
            </w:tcBorders>
            <w:shd w:val="clear" w:color="000000" w:fill="D9E1F2"/>
            <w:noWrap/>
            <w:vAlign w:val="center"/>
            <w:hideMark/>
          </w:tcPr>
          <w:p w14:paraId="15F925BA" w14:textId="12A67E9B" w:rsidR="007F24CA" w:rsidRPr="00052061" w:rsidRDefault="007F24CA" w:rsidP="007F24CA">
            <w:pPr>
              <w:spacing w:after="0" w:line="240" w:lineRule="auto"/>
              <w:jc w:val="left"/>
              <w:rPr>
                <w:rFonts w:eastAsia="Times New Roman" w:cs="Calibri"/>
                <w:b/>
                <w:bCs/>
                <w:color w:val="000000"/>
                <w:sz w:val="18"/>
                <w:szCs w:val="18"/>
                <w:lang w:val="en-US" w:eastAsia="fr-FR"/>
              </w:rPr>
            </w:pPr>
            <w:r>
              <w:rPr>
                <w:rFonts w:eastAsia="Times New Roman" w:cs="Calibri"/>
                <w:b/>
                <w:bCs/>
                <w:color w:val="000000"/>
                <w:sz w:val="18"/>
                <w:szCs w:val="18"/>
                <w:lang w:val="en-US" w:eastAsia="fr-FR"/>
              </w:rPr>
              <w:t>Storm</w:t>
            </w:r>
          </w:p>
        </w:tc>
        <w:tc>
          <w:tcPr>
            <w:tcW w:w="1361" w:type="dxa"/>
            <w:tcBorders>
              <w:top w:val="nil"/>
              <w:left w:val="nil"/>
              <w:bottom w:val="single" w:sz="4" w:space="0" w:color="auto"/>
              <w:right w:val="single" w:sz="4" w:space="0" w:color="auto"/>
            </w:tcBorders>
            <w:shd w:val="clear" w:color="000000" w:fill="D9E1F2"/>
            <w:noWrap/>
            <w:vAlign w:val="center"/>
            <w:hideMark/>
          </w:tcPr>
          <w:p w14:paraId="1229010D" w14:textId="5F0DCD37" w:rsidR="007F24CA" w:rsidRPr="00052061" w:rsidRDefault="007F24CA" w:rsidP="007F24CA">
            <w:pPr>
              <w:spacing w:after="0" w:line="240" w:lineRule="auto"/>
              <w:jc w:val="left"/>
              <w:rPr>
                <w:rFonts w:eastAsia="Times New Roman" w:cs="Calibri"/>
                <w:b/>
                <w:bCs/>
                <w:color w:val="000000"/>
                <w:sz w:val="18"/>
                <w:szCs w:val="18"/>
                <w:lang w:val="en-US" w:eastAsia="fr-FR"/>
              </w:rPr>
            </w:pPr>
            <w:r>
              <w:rPr>
                <w:rFonts w:eastAsia="Times New Roman" w:cs="Calibri"/>
                <w:b/>
                <w:bCs/>
                <w:color w:val="000000"/>
                <w:sz w:val="18"/>
                <w:szCs w:val="18"/>
                <w:lang w:val="en-US" w:eastAsia="fr-FR"/>
              </w:rPr>
              <w:t>Extreme wind</w:t>
            </w:r>
          </w:p>
        </w:tc>
      </w:tr>
      <w:tr w:rsidR="0045325E" w:rsidRPr="00367C0B" w14:paraId="02E88810" w14:textId="77777777" w:rsidTr="00CB26AF">
        <w:trPr>
          <w:gridAfter w:val="4"/>
          <w:wAfter w:w="6747" w:type="dxa"/>
          <w:trHeight w:val="320"/>
        </w:trPr>
        <w:tc>
          <w:tcPr>
            <w:tcW w:w="2778" w:type="dxa"/>
            <w:tcBorders>
              <w:top w:val="nil"/>
              <w:left w:val="single" w:sz="4" w:space="0" w:color="auto"/>
              <w:bottom w:val="single" w:sz="4" w:space="0" w:color="auto"/>
              <w:right w:val="single" w:sz="4" w:space="0" w:color="auto"/>
            </w:tcBorders>
            <w:shd w:val="clear" w:color="auto" w:fill="auto"/>
            <w:noWrap/>
            <w:hideMark/>
          </w:tcPr>
          <w:p w14:paraId="65F90AAB" w14:textId="5A1526F3" w:rsidR="0045325E" w:rsidRPr="00052061" w:rsidRDefault="0045325E" w:rsidP="0045325E">
            <w:pPr>
              <w:spacing w:after="0" w:line="240" w:lineRule="auto"/>
              <w:jc w:val="left"/>
              <w:rPr>
                <w:rFonts w:eastAsia="Times New Roman" w:cs="Calibri"/>
                <w:color w:val="000000"/>
                <w:sz w:val="18"/>
                <w:szCs w:val="18"/>
                <w:lang w:val="en-US" w:eastAsia="fr-FR"/>
              </w:rPr>
            </w:pPr>
            <w:r w:rsidRPr="00367C0B">
              <w:rPr>
                <w:lang w:val="en-US"/>
              </w:rPr>
              <w:t>Sangachal Terminal</w:t>
            </w:r>
          </w:p>
        </w:tc>
        <w:tc>
          <w:tcPr>
            <w:tcW w:w="1361" w:type="dxa"/>
            <w:tcBorders>
              <w:top w:val="single" w:sz="4" w:space="0" w:color="auto"/>
              <w:left w:val="single" w:sz="4" w:space="0" w:color="auto"/>
              <w:bottom w:val="single" w:sz="4" w:space="0" w:color="auto"/>
              <w:right w:val="single" w:sz="4" w:space="0" w:color="auto"/>
            </w:tcBorders>
            <w:shd w:val="clear" w:color="auto" w:fill="D8DF81"/>
            <w:noWrap/>
            <w:hideMark/>
          </w:tcPr>
          <w:p w14:paraId="1E1B27BA" w14:textId="48BEAB52" w:rsidR="0045325E" w:rsidRPr="00052061" w:rsidRDefault="0045325E" w:rsidP="0045325E">
            <w:pPr>
              <w:spacing w:after="0" w:line="240" w:lineRule="auto"/>
              <w:jc w:val="right"/>
              <w:rPr>
                <w:rFonts w:eastAsia="Times New Roman" w:cs="Calibri"/>
                <w:color w:val="000000"/>
                <w:sz w:val="18"/>
                <w:szCs w:val="18"/>
                <w:lang w:val="en-US" w:eastAsia="fr-FR"/>
              </w:rPr>
            </w:pPr>
            <w:r w:rsidRPr="00367C0B">
              <w:rPr>
                <w:lang w:val="en-US"/>
              </w:rPr>
              <w:t>1</w:t>
            </w:r>
          </w:p>
        </w:tc>
        <w:tc>
          <w:tcPr>
            <w:tcW w:w="1361" w:type="dxa"/>
            <w:tcBorders>
              <w:top w:val="single" w:sz="4" w:space="0" w:color="auto"/>
              <w:left w:val="single" w:sz="4" w:space="0" w:color="auto"/>
              <w:bottom w:val="single" w:sz="4" w:space="0" w:color="auto"/>
              <w:right w:val="single" w:sz="4" w:space="0" w:color="auto"/>
            </w:tcBorders>
            <w:shd w:val="clear" w:color="auto" w:fill="FDC07C"/>
            <w:noWrap/>
            <w:hideMark/>
          </w:tcPr>
          <w:p w14:paraId="12CFC9BD" w14:textId="234CA49B" w:rsidR="0045325E" w:rsidRPr="00052061" w:rsidRDefault="0045325E" w:rsidP="0045325E">
            <w:pPr>
              <w:spacing w:after="0" w:line="240" w:lineRule="auto"/>
              <w:jc w:val="right"/>
              <w:rPr>
                <w:rFonts w:eastAsia="Times New Roman" w:cs="Calibri"/>
                <w:color w:val="000000"/>
                <w:sz w:val="18"/>
                <w:szCs w:val="18"/>
                <w:lang w:val="en-US" w:eastAsia="fr-FR"/>
              </w:rPr>
            </w:pPr>
            <w:r w:rsidRPr="00367C0B">
              <w:rPr>
                <w:lang w:val="en-US"/>
              </w:rPr>
              <w:t>3</w:t>
            </w:r>
          </w:p>
        </w:tc>
        <w:tc>
          <w:tcPr>
            <w:tcW w:w="1361" w:type="dxa"/>
            <w:tcBorders>
              <w:top w:val="single" w:sz="4" w:space="0" w:color="auto"/>
              <w:left w:val="single" w:sz="4" w:space="0" w:color="auto"/>
              <w:bottom w:val="single" w:sz="4" w:space="0" w:color="auto"/>
              <w:right w:val="single" w:sz="4" w:space="0" w:color="auto"/>
            </w:tcBorders>
            <w:shd w:val="clear" w:color="auto" w:fill="FDC07C"/>
            <w:noWrap/>
            <w:hideMark/>
          </w:tcPr>
          <w:p w14:paraId="487B0FDB" w14:textId="76531A6B" w:rsidR="0045325E" w:rsidRPr="00052061" w:rsidRDefault="0045325E" w:rsidP="0045325E">
            <w:pPr>
              <w:spacing w:after="0" w:line="240" w:lineRule="auto"/>
              <w:jc w:val="right"/>
              <w:rPr>
                <w:rFonts w:eastAsia="Times New Roman" w:cs="Calibri"/>
                <w:color w:val="000000"/>
                <w:sz w:val="18"/>
                <w:szCs w:val="18"/>
                <w:lang w:val="en-US" w:eastAsia="fr-FR"/>
              </w:rPr>
            </w:pPr>
            <w:r w:rsidRPr="00367C0B">
              <w:rPr>
                <w:lang w:val="en-US"/>
              </w:rPr>
              <w:t>3</w:t>
            </w:r>
          </w:p>
        </w:tc>
        <w:tc>
          <w:tcPr>
            <w:tcW w:w="1361" w:type="dxa"/>
            <w:tcBorders>
              <w:top w:val="single" w:sz="4" w:space="0" w:color="auto"/>
              <w:left w:val="single" w:sz="4" w:space="0" w:color="auto"/>
              <w:bottom w:val="single" w:sz="4" w:space="0" w:color="auto"/>
              <w:right w:val="single" w:sz="4" w:space="0" w:color="auto"/>
            </w:tcBorders>
            <w:shd w:val="clear" w:color="auto" w:fill="F8696B"/>
            <w:noWrap/>
            <w:hideMark/>
          </w:tcPr>
          <w:p w14:paraId="341C273D" w14:textId="6B497AE3" w:rsidR="0045325E" w:rsidRPr="00052061" w:rsidRDefault="0045325E" w:rsidP="0045325E">
            <w:pPr>
              <w:spacing w:after="0" w:line="240" w:lineRule="auto"/>
              <w:jc w:val="right"/>
              <w:rPr>
                <w:rFonts w:eastAsia="Times New Roman" w:cs="Calibri"/>
                <w:color w:val="000000"/>
                <w:sz w:val="18"/>
                <w:szCs w:val="18"/>
                <w:lang w:val="en-US" w:eastAsia="fr-FR"/>
              </w:rPr>
            </w:pPr>
            <w:r w:rsidRPr="00367C0B">
              <w:rPr>
                <w:lang w:val="en-US"/>
              </w:rPr>
              <w:t>4</w:t>
            </w:r>
          </w:p>
        </w:tc>
        <w:tc>
          <w:tcPr>
            <w:tcW w:w="1361" w:type="dxa"/>
            <w:tcBorders>
              <w:top w:val="single" w:sz="4" w:space="0" w:color="auto"/>
              <w:left w:val="single" w:sz="4" w:space="0" w:color="auto"/>
              <w:bottom w:val="single" w:sz="4" w:space="0" w:color="auto"/>
              <w:right w:val="single" w:sz="4" w:space="0" w:color="auto"/>
            </w:tcBorders>
            <w:shd w:val="clear" w:color="auto" w:fill="FDC07C"/>
            <w:noWrap/>
            <w:hideMark/>
          </w:tcPr>
          <w:p w14:paraId="371A3178" w14:textId="73AD5CDF" w:rsidR="0045325E" w:rsidRPr="00052061" w:rsidRDefault="0045325E" w:rsidP="0045325E">
            <w:pPr>
              <w:spacing w:after="0" w:line="240" w:lineRule="auto"/>
              <w:jc w:val="right"/>
              <w:rPr>
                <w:rFonts w:eastAsia="Times New Roman" w:cs="Calibri"/>
                <w:color w:val="000000"/>
                <w:sz w:val="18"/>
                <w:szCs w:val="18"/>
                <w:lang w:val="en-US" w:eastAsia="fr-FR"/>
              </w:rPr>
            </w:pPr>
            <w:r w:rsidRPr="00367C0B">
              <w:rPr>
                <w:lang w:val="en-US"/>
              </w:rPr>
              <w:t>3</w:t>
            </w:r>
          </w:p>
        </w:tc>
      </w:tr>
      <w:tr w:rsidR="0045325E" w:rsidRPr="00367C0B" w14:paraId="1CFD22BC" w14:textId="77777777" w:rsidTr="00716AA8">
        <w:trPr>
          <w:gridAfter w:val="4"/>
          <w:wAfter w:w="6747" w:type="dxa"/>
          <w:trHeight w:val="320"/>
        </w:trPr>
        <w:tc>
          <w:tcPr>
            <w:tcW w:w="2778" w:type="dxa"/>
            <w:tcBorders>
              <w:top w:val="nil"/>
              <w:left w:val="single" w:sz="4" w:space="0" w:color="auto"/>
              <w:bottom w:val="single" w:sz="4" w:space="0" w:color="auto"/>
              <w:right w:val="single" w:sz="4" w:space="0" w:color="auto"/>
            </w:tcBorders>
            <w:shd w:val="clear" w:color="auto" w:fill="auto"/>
            <w:noWrap/>
            <w:hideMark/>
          </w:tcPr>
          <w:p w14:paraId="2DB87B85" w14:textId="35E90F48" w:rsidR="0045325E" w:rsidRPr="00052061" w:rsidRDefault="0045325E" w:rsidP="0045325E">
            <w:pPr>
              <w:spacing w:after="0" w:line="240" w:lineRule="auto"/>
              <w:jc w:val="left"/>
              <w:rPr>
                <w:rFonts w:eastAsia="Times New Roman" w:cs="Calibri"/>
                <w:color w:val="000000"/>
                <w:sz w:val="18"/>
                <w:szCs w:val="18"/>
                <w:lang w:val="en-US" w:eastAsia="fr-FR"/>
              </w:rPr>
            </w:pPr>
            <w:proofErr w:type="spellStart"/>
            <w:r w:rsidRPr="00367C0B">
              <w:rPr>
                <w:lang w:val="en-US"/>
              </w:rPr>
              <w:t>Dubendi</w:t>
            </w:r>
            <w:proofErr w:type="spellEnd"/>
            <w:r w:rsidRPr="00367C0B">
              <w:rPr>
                <w:lang w:val="en-US"/>
              </w:rPr>
              <w:t xml:space="preserve"> Terminal</w:t>
            </w:r>
          </w:p>
        </w:tc>
        <w:tc>
          <w:tcPr>
            <w:tcW w:w="1361" w:type="dxa"/>
            <w:tcBorders>
              <w:top w:val="single" w:sz="4" w:space="0" w:color="auto"/>
              <w:left w:val="single" w:sz="4" w:space="0" w:color="auto"/>
              <w:bottom w:val="single" w:sz="4" w:space="0" w:color="auto"/>
              <w:right w:val="single" w:sz="4" w:space="0" w:color="auto"/>
            </w:tcBorders>
            <w:shd w:val="clear" w:color="auto" w:fill="D8DF81"/>
            <w:noWrap/>
            <w:hideMark/>
          </w:tcPr>
          <w:p w14:paraId="19676F85" w14:textId="504DC836" w:rsidR="0045325E" w:rsidRPr="00052061" w:rsidRDefault="0045325E" w:rsidP="0045325E">
            <w:pPr>
              <w:spacing w:after="0" w:line="240" w:lineRule="auto"/>
              <w:jc w:val="right"/>
              <w:rPr>
                <w:rFonts w:eastAsia="Times New Roman" w:cs="Calibri"/>
                <w:color w:val="000000"/>
                <w:sz w:val="18"/>
                <w:szCs w:val="18"/>
                <w:lang w:val="en-US" w:eastAsia="fr-FR"/>
              </w:rPr>
            </w:pPr>
            <w:r w:rsidRPr="00367C0B">
              <w:rPr>
                <w:lang w:val="en-US"/>
              </w:rPr>
              <w:t>1</w:t>
            </w:r>
          </w:p>
        </w:tc>
        <w:tc>
          <w:tcPr>
            <w:tcW w:w="1361" w:type="dxa"/>
            <w:tcBorders>
              <w:top w:val="single" w:sz="4" w:space="0" w:color="auto"/>
              <w:left w:val="single" w:sz="4" w:space="0" w:color="auto"/>
              <w:bottom w:val="single" w:sz="4" w:space="0" w:color="auto"/>
              <w:right w:val="single" w:sz="4" w:space="0" w:color="auto"/>
            </w:tcBorders>
            <w:shd w:val="clear" w:color="auto" w:fill="FDC07C"/>
            <w:noWrap/>
            <w:hideMark/>
          </w:tcPr>
          <w:p w14:paraId="302DEF66" w14:textId="43086356" w:rsidR="0045325E" w:rsidRPr="00052061" w:rsidRDefault="0045325E" w:rsidP="0045325E">
            <w:pPr>
              <w:spacing w:after="0" w:line="240" w:lineRule="auto"/>
              <w:jc w:val="right"/>
              <w:rPr>
                <w:rFonts w:eastAsia="Times New Roman" w:cs="Calibri"/>
                <w:color w:val="000000"/>
                <w:sz w:val="18"/>
                <w:szCs w:val="18"/>
                <w:lang w:val="en-US" w:eastAsia="fr-FR"/>
              </w:rPr>
            </w:pPr>
            <w:r w:rsidRPr="00367C0B">
              <w:rPr>
                <w:lang w:val="en-US"/>
              </w:rPr>
              <w:t>3</w:t>
            </w:r>
          </w:p>
        </w:tc>
        <w:tc>
          <w:tcPr>
            <w:tcW w:w="1361" w:type="dxa"/>
            <w:tcBorders>
              <w:top w:val="single" w:sz="4" w:space="0" w:color="auto"/>
              <w:left w:val="single" w:sz="4" w:space="0" w:color="auto"/>
              <w:bottom w:val="single" w:sz="4" w:space="0" w:color="auto"/>
              <w:right w:val="single" w:sz="4" w:space="0" w:color="auto"/>
            </w:tcBorders>
            <w:shd w:val="clear" w:color="auto" w:fill="FDC07C"/>
            <w:noWrap/>
            <w:hideMark/>
          </w:tcPr>
          <w:p w14:paraId="6D45EABA" w14:textId="7A19DA8B" w:rsidR="0045325E" w:rsidRPr="00367C0B" w:rsidRDefault="00716AA8" w:rsidP="0045325E">
            <w:pPr>
              <w:spacing w:after="0" w:line="240" w:lineRule="auto"/>
              <w:jc w:val="right"/>
              <w:rPr>
                <w:lang w:val="en-US"/>
              </w:rPr>
            </w:pPr>
            <w:r w:rsidRPr="00367C0B">
              <w:rPr>
                <w:lang w:val="en-US"/>
              </w:rPr>
              <w:t>3</w:t>
            </w:r>
          </w:p>
        </w:tc>
        <w:tc>
          <w:tcPr>
            <w:tcW w:w="1361" w:type="dxa"/>
            <w:tcBorders>
              <w:top w:val="single" w:sz="4" w:space="0" w:color="auto"/>
              <w:left w:val="single" w:sz="4" w:space="0" w:color="auto"/>
              <w:bottom w:val="single" w:sz="4" w:space="0" w:color="auto"/>
              <w:right w:val="single" w:sz="4" w:space="0" w:color="auto"/>
            </w:tcBorders>
            <w:shd w:val="clear" w:color="auto" w:fill="F8696B"/>
            <w:noWrap/>
            <w:hideMark/>
          </w:tcPr>
          <w:p w14:paraId="2E4AD722" w14:textId="751A8BC0" w:rsidR="0045325E" w:rsidRPr="00052061" w:rsidRDefault="0045325E" w:rsidP="0045325E">
            <w:pPr>
              <w:spacing w:after="0" w:line="240" w:lineRule="auto"/>
              <w:jc w:val="right"/>
              <w:rPr>
                <w:rFonts w:eastAsia="Times New Roman" w:cs="Calibri"/>
                <w:color w:val="000000"/>
                <w:sz w:val="18"/>
                <w:szCs w:val="18"/>
                <w:lang w:val="en-US" w:eastAsia="fr-FR"/>
              </w:rPr>
            </w:pPr>
            <w:r w:rsidRPr="00367C0B">
              <w:rPr>
                <w:lang w:val="en-US"/>
              </w:rPr>
              <w:t>4</w:t>
            </w:r>
          </w:p>
        </w:tc>
        <w:tc>
          <w:tcPr>
            <w:tcW w:w="1361" w:type="dxa"/>
            <w:tcBorders>
              <w:top w:val="single" w:sz="4" w:space="0" w:color="auto"/>
              <w:left w:val="single" w:sz="4" w:space="0" w:color="auto"/>
              <w:bottom w:val="single" w:sz="4" w:space="0" w:color="auto"/>
              <w:right w:val="single" w:sz="4" w:space="0" w:color="auto"/>
            </w:tcBorders>
            <w:shd w:val="clear" w:color="auto" w:fill="FDC07C"/>
            <w:noWrap/>
            <w:hideMark/>
          </w:tcPr>
          <w:p w14:paraId="082C0D0B" w14:textId="6CA4AFDD" w:rsidR="0045325E" w:rsidRPr="00052061" w:rsidRDefault="0045325E" w:rsidP="0045325E">
            <w:pPr>
              <w:spacing w:after="0" w:line="240" w:lineRule="auto"/>
              <w:jc w:val="right"/>
              <w:rPr>
                <w:rFonts w:eastAsia="Times New Roman" w:cs="Calibri"/>
                <w:color w:val="000000"/>
                <w:sz w:val="18"/>
                <w:szCs w:val="18"/>
                <w:lang w:val="en-US" w:eastAsia="fr-FR"/>
              </w:rPr>
            </w:pPr>
            <w:r w:rsidRPr="00367C0B">
              <w:rPr>
                <w:lang w:val="en-US"/>
              </w:rPr>
              <w:t>3</w:t>
            </w:r>
          </w:p>
        </w:tc>
      </w:tr>
      <w:tr w:rsidR="00CB26AF" w:rsidRPr="00367C0B" w14:paraId="112F9CA6" w14:textId="77777777" w:rsidTr="00CB26AF">
        <w:trPr>
          <w:gridAfter w:val="4"/>
          <w:wAfter w:w="6747" w:type="dxa"/>
          <w:trHeight w:val="320"/>
        </w:trPr>
        <w:tc>
          <w:tcPr>
            <w:tcW w:w="2778" w:type="dxa"/>
            <w:tcBorders>
              <w:top w:val="nil"/>
              <w:left w:val="single" w:sz="4" w:space="0" w:color="auto"/>
              <w:bottom w:val="single" w:sz="4" w:space="0" w:color="auto"/>
              <w:right w:val="single" w:sz="4" w:space="0" w:color="auto"/>
            </w:tcBorders>
            <w:shd w:val="clear" w:color="auto" w:fill="auto"/>
            <w:noWrap/>
            <w:hideMark/>
          </w:tcPr>
          <w:p w14:paraId="362A4191" w14:textId="49D434DD" w:rsidR="0045325E" w:rsidRPr="00052061" w:rsidRDefault="0045325E" w:rsidP="0045325E">
            <w:pPr>
              <w:spacing w:after="0" w:line="240" w:lineRule="auto"/>
              <w:jc w:val="left"/>
              <w:rPr>
                <w:rFonts w:eastAsia="Times New Roman" w:cs="Calibri"/>
                <w:color w:val="000000"/>
                <w:sz w:val="18"/>
                <w:szCs w:val="18"/>
                <w:lang w:val="en-US" w:eastAsia="fr-FR"/>
              </w:rPr>
            </w:pPr>
            <w:proofErr w:type="spellStart"/>
            <w:r w:rsidRPr="00367C0B">
              <w:rPr>
                <w:lang w:val="en-US"/>
              </w:rPr>
              <w:t>Zygh</w:t>
            </w:r>
            <w:proofErr w:type="spellEnd"/>
            <w:r w:rsidRPr="00367C0B">
              <w:rPr>
                <w:lang w:val="en-US"/>
              </w:rPr>
              <w:t xml:space="preserve"> Shipyard</w:t>
            </w:r>
          </w:p>
        </w:tc>
        <w:tc>
          <w:tcPr>
            <w:tcW w:w="1361" w:type="dxa"/>
            <w:tcBorders>
              <w:top w:val="single" w:sz="4" w:space="0" w:color="auto"/>
              <w:left w:val="single" w:sz="4" w:space="0" w:color="auto"/>
              <w:bottom w:val="single" w:sz="4" w:space="0" w:color="auto"/>
              <w:right w:val="single" w:sz="4" w:space="0" w:color="auto"/>
            </w:tcBorders>
            <w:shd w:val="clear" w:color="auto" w:fill="D8DF81"/>
            <w:noWrap/>
            <w:hideMark/>
          </w:tcPr>
          <w:p w14:paraId="0E222528" w14:textId="461A02A3" w:rsidR="0045325E" w:rsidRPr="00052061" w:rsidRDefault="0045325E" w:rsidP="0045325E">
            <w:pPr>
              <w:spacing w:after="0" w:line="240" w:lineRule="auto"/>
              <w:jc w:val="right"/>
              <w:rPr>
                <w:rFonts w:eastAsia="Times New Roman" w:cs="Calibri"/>
                <w:color w:val="000000"/>
                <w:sz w:val="18"/>
                <w:szCs w:val="18"/>
                <w:lang w:val="en-US" w:eastAsia="fr-FR"/>
              </w:rPr>
            </w:pPr>
            <w:r w:rsidRPr="00367C0B">
              <w:rPr>
                <w:lang w:val="en-US"/>
              </w:rPr>
              <w:t>2</w:t>
            </w:r>
          </w:p>
        </w:tc>
        <w:tc>
          <w:tcPr>
            <w:tcW w:w="1361" w:type="dxa"/>
            <w:tcBorders>
              <w:top w:val="single" w:sz="4" w:space="0" w:color="auto"/>
              <w:left w:val="single" w:sz="4" w:space="0" w:color="auto"/>
              <w:bottom w:val="single" w:sz="4" w:space="0" w:color="auto"/>
              <w:right w:val="single" w:sz="4" w:space="0" w:color="auto"/>
            </w:tcBorders>
            <w:shd w:val="clear" w:color="auto" w:fill="FDC07C"/>
            <w:noWrap/>
            <w:hideMark/>
          </w:tcPr>
          <w:p w14:paraId="4EF81BF7" w14:textId="3DF4D1A5" w:rsidR="0045325E" w:rsidRPr="00052061" w:rsidRDefault="0045325E" w:rsidP="0045325E">
            <w:pPr>
              <w:spacing w:after="0" w:line="240" w:lineRule="auto"/>
              <w:jc w:val="right"/>
              <w:rPr>
                <w:rFonts w:eastAsia="Times New Roman" w:cs="Calibri"/>
                <w:color w:val="000000"/>
                <w:sz w:val="18"/>
                <w:szCs w:val="18"/>
                <w:lang w:val="en-US" w:eastAsia="fr-FR"/>
              </w:rPr>
            </w:pPr>
            <w:r w:rsidRPr="00367C0B">
              <w:rPr>
                <w:lang w:val="en-US"/>
              </w:rPr>
              <w:t>3</w:t>
            </w:r>
          </w:p>
        </w:tc>
        <w:tc>
          <w:tcPr>
            <w:tcW w:w="1361" w:type="dxa"/>
            <w:tcBorders>
              <w:top w:val="single" w:sz="4" w:space="0" w:color="auto"/>
              <w:left w:val="single" w:sz="4" w:space="0" w:color="auto"/>
              <w:bottom w:val="single" w:sz="4" w:space="0" w:color="auto"/>
              <w:right w:val="single" w:sz="4" w:space="0" w:color="auto"/>
            </w:tcBorders>
            <w:shd w:val="clear" w:color="auto" w:fill="FDC07C"/>
            <w:noWrap/>
            <w:hideMark/>
          </w:tcPr>
          <w:p w14:paraId="1F55A18F" w14:textId="5BFAA36A" w:rsidR="0045325E" w:rsidRPr="00052061" w:rsidRDefault="0045325E" w:rsidP="0045325E">
            <w:pPr>
              <w:spacing w:after="0" w:line="240" w:lineRule="auto"/>
              <w:jc w:val="right"/>
              <w:rPr>
                <w:rFonts w:eastAsia="Times New Roman" w:cs="Calibri"/>
                <w:color w:val="000000"/>
                <w:sz w:val="18"/>
                <w:szCs w:val="18"/>
                <w:lang w:val="en-US" w:eastAsia="fr-FR"/>
              </w:rPr>
            </w:pPr>
            <w:r w:rsidRPr="00367C0B">
              <w:rPr>
                <w:lang w:val="en-US"/>
              </w:rPr>
              <w:t>3</w:t>
            </w:r>
          </w:p>
        </w:tc>
        <w:tc>
          <w:tcPr>
            <w:tcW w:w="1361" w:type="dxa"/>
            <w:tcBorders>
              <w:top w:val="single" w:sz="4" w:space="0" w:color="auto"/>
              <w:left w:val="single" w:sz="4" w:space="0" w:color="auto"/>
              <w:bottom w:val="single" w:sz="4" w:space="0" w:color="auto"/>
              <w:right w:val="single" w:sz="4" w:space="0" w:color="auto"/>
            </w:tcBorders>
            <w:shd w:val="clear" w:color="auto" w:fill="F8696B"/>
            <w:noWrap/>
            <w:hideMark/>
          </w:tcPr>
          <w:p w14:paraId="3323A1B9" w14:textId="1C56382C" w:rsidR="0045325E" w:rsidRPr="00052061" w:rsidRDefault="0045325E" w:rsidP="0045325E">
            <w:pPr>
              <w:spacing w:after="0" w:line="240" w:lineRule="auto"/>
              <w:jc w:val="right"/>
              <w:rPr>
                <w:rFonts w:eastAsia="Times New Roman" w:cs="Calibri"/>
                <w:color w:val="000000"/>
                <w:sz w:val="18"/>
                <w:szCs w:val="18"/>
                <w:lang w:val="en-US" w:eastAsia="fr-FR"/>
              </w:rPr>
            </w:pPr>
            <w:r w:rsidRPr="00367C0B">
              <w:rPr>
                <w:lang w:val="en-US"/>
              </w:rPr>
              <w:t>4</w:t>
            </w:r>
          </w:p>
        </w:tc>
        <w:tc>
          <w:tcPr>
            <w:tcW w:w="1361" w:type="dxa"/>
            <w:tcBorders>
              <w:top w:val="single" w:sz="4" w:space="0" w:color="auto"/>
              <w:left w:val="single" w:sz="4" w:space="0" w:color="auto"/>
              <w:bottom w:val="single" w:sz="4" w:space="0" w:color="auto"/>
              <w:right w:val="single" w:sz="4" w:space="0" w:color="auto"/>
            </w:tcBorders>
            <w:shd w:val="clear" w:color="auto" w:fill="FDC07C"/>
            <w:noWrap/>
            <w:hideMark/>
          </w:tcPr>
          <w:p w14:paraId="79000793" w14:textId="7FD65A4F" w:rsidR="0045325E" w:rsidRPr="00052061" w:rsidRDefault="0045325E" w:rsidP="0045325E">
            <w:pPr>
              <w:spacing w:after="0" w:line="240" w:lineRule="auto"/>
              <w:jc w:val="right"/>
              <w:rPr>
                <w:rFonts w:eastAsia="Times New Roman" w:cs="Calibri"/>
                <w:color w:val="000000"/>
                <w:sz w:val="18"/>
                <w:szCs w:val="18"/>
                <w:lang w:val="en-US" w:eastAsia="fr-FR"/>
              </w:rPr>
            </w:pPr>
            <w:r w:rsidRPr="00367C0B">
              <w:rPr>
                <w:lang w:val="en-US"/>
              </w:rPr>
              <w:t>3</w:t>
            </w:r>
          </w:p>
        </w:tc>
      </w:tr>
      <w:tr w:rsidR="0045325E" w:rsidRPr="00367C0B" w14:paraId="56E12CD7" w14:textId="77777777" w:rsidTr="00CB26AF">
        <w:trPr>
          <w:gridAfter w:val="4"/>
          <w:wAfter w:w="6747" w:type="dxa"/>
          <w:trHeight w:val="320"/>
        </w:trPr>
        <w:tc>
          <w:tcPr>
            <w:tcW w:w="2778" w:type="dxa"/>
            <w:tcBorders>
              <w:top w:val="nil"/>
              <w:left w:val="single" w:sz="4" w:space="0" w:color="auto"/>
              <w:bottom w:val="single" w:sz="4" w:space="0" w:color="auto"/>
              <w:right w:val="single" w:sz="4" w:space="0" w:color="auto"/>
            </w:tcBorders>
            <w:shd w:val="clear" w:color="auto" w:fill="auto"/>
            <w:noWrap/>
            <w:hideMark/>
          </w:tcPr>
          <w:p w14:paraId="6A9944B9" w14:textId="3808F2CC" w:rsidR="0045325E" w:rsidRPr="00052061" w:rsidRDefault="0045325E" w:rsidP="0045325E">
            <w:pPr>
              <w:spacing w:after="0" w:line="240" w:lineRule="auto"/>
              <w:jc w:val="left"/>
              <w:rPr>
                <w:rFonts w:eastAsia="Times New Roman" w:cs="Calibri"/>
                <w:color w:val="000000"/>
                <w:sz w:val="18"/>
                <w:szCs w:val="18"/>
                <w:lang w:val="en-US" w:eastAsia="fr-FR"/>
              </w:rPr>
            </w:pPr>
            <w:r w:rsidRPr="00367C0B">
              <w:rPr>
                <w:lang w:val="en-US"/>
              </w:rPr>
              <w:t>Aktau port</w:t>
            </w:r>
          </w:p>
        </w:tc>
        <w:tc>
          <w:tcPr>
            <w:tcW w:w="1361" w:type="dxa"/>
            <w:tcBorders>
              <w:top w:val="single" w:sz="4" w:space="0" w:color="auto"/>
              <w:left w:val="single" w:sz="4" w:space="0" w:color="auto"/>
              <w:bottom w:val="single" w:sz="4" w:space="0" w:color="auto"/>
              <w:right w:val="single" w:sz="4" w:space="0" w:color="auto"/>
            </w:tcBorders>
            <w:shd w:val="clear" w:color="auto" w:fill="D8DF81"/>
            <w:noWrap/>
            <w:hideMark/>
          </w:tcPr>
          <w:p w14:paraId="14EE64CC" w14:textId="670E6ACE" w:rsidR="0045325E" w:rsidRPr="00052061" w:rsidRDefault="0045325E" w:rsidP="0045325E">
            <w:pPr>
              <w:spacing w:after="0" w:line="240" w:lineRule="auto"/>
              <w:jc w:val="right"/>
              <w:rPr>
                <w:rFonts w:eastAsia="Times New Roman" w:cs="Calibri"/>
                <w:color w:val="000000"/>
                <w:sz w:val="18"/>
                <w:szCs w:val="18"/>
                <w:lang w:val="en-US" w:eastAsia="fr-FR"/>
              </w:rPr>
            </w:pPr>
            <w:r w:rsidRPr="00367C0B">
              <w:rPr>
                <w:lang w:val="en-US"/>
              </w:rPr>
              <w:t>1</w:t>
            </w:r>
          </w:p>
        </w:tc>
        <w:tc>
          <w:tcPr>
            <w:tcW w:w="1361" w:type="dxa"/>
            <w:tcBorders>
              <w:top w:val="single" w:sz="4" w:space="0" w:color="auto"/>
              <w:left w:val="single" w:sz="4" w:space="0" w:color="auto"/>
              <w:bottom w:val="single" w:sz="4" w:space="0" w:color="auto"/>
              <w:right w:val="single" w:sz="4" w:space="0" w:color="auto"/>
            </w:tcBorders>
            <w:shd w:val="clear" w:color="auto" w:fill="FDC07C"/>
            <w:noWrap/>
            <w:hideMark/>
          </w:tcPr>
          <w:p w14:paraId="189D95B1" w14:textId="1C506BFF" w:rsidR="0045325E" w:rsidRPr="00052061" w:rsidRDefault="0045325E" w:rsidP="0045325E">
            <w:pPr>
              <w:spacing w:after="0" w:line="240" w:lineRule="auto"/>
              <w:jc w:val="right"/>
              <w:rPr>
                <w:rFonts w:eastAsia="Times New Roman" w:cs="Calibri"/>
                <w:color w:val="000000"/>
                <w:sz w:val="18"/>
                <w:szCs w:val="18"/>
                <w:lang w:val="en-US" w:eastAsia="fr-FR"/>
              </w:rPr>
            </w:pPr>
            <w:r w:rsidRPr="00367C0B">
              <w:rPr>
                <w:lang w:val="en-US"/>
              </w:rPr>
              <w:t>3</w:t>
            </w:r>
          </w:p>
        </w:tc>
        <w:tc>
          <w:tcPr>
            <w:tcW w:w="1361" w:type="dxa"/>
            <w:tcBorders>
              <w:top w:val="single" w:sz="4" w:space="0" w:color="auto"/>
              <w:left w:val="single" w:sz="4" w:space="0" w:color="auto"/>
              <w:bottom w:val="single" w:sz="4" w:space="0" w:color="auto"/>
              <w:right w:val="single" w:sz="4" w:space="0" w:color="auto"/>
            </w:tcBorders>
            <w:shd w:val="clear" w:color="auto" w:fill="FDC07C"/>
            <w:noWrap/>
            <w:hideMark/>
          </w:tcPr>
          <w:p w14:paraId="708467E3" w14:textId="7BBF8013" w:rsidR="0045325E" w:rsidRPr="00052061" w:rsidRDefault="0045325E" w:rsidP="0045325E">
            <w:pPr>
              <w:spacing w:after="0" w:line="240" w:lineRule="auto"/>
              <w:jc w:val="right"/>
              <w:rPr>
                <w:rFonts w:eastAsia="Times New Roman" w:cs="Calibri"/>
                <w:color w:val="000000"/>
                <w:sz w:val="18"/>
                <w:szCs w:val="18"/>
                <w:lang w:val="en-US" w:eastAsia="fr-FR"/>
              </w:rPr>
            </w:pPr>
            <w:r w:rsidRPr="00367C0B">
              <w:rPr>
                <w:lang w:val="en-US"/>
              </w:rPr>
              <w:t>3</w:t>
            </w:r>
          </w:p>
        </w:tc>
        <w:tc>
          <w:tcPr>
            <w:tcW w:w="1361" w:type="dxa"/>
            <w:tcBorders>
              <w:top w:val="single" w:sz="4" w:space="0" w:color="auto"/>
              <w:left w:val="single" w:sz="4" w:space="0" w:color="auto"/>
              <w:bottom w:val="single" w:sz="4" w:space="0" w:color="auto"/>
              <w:right w:val="single" w:sz="4" w:space="0" w:color="auto"/>
            </w:tcBorders>
            <w:shd w:val="clear" w:color="auto" w:fill="F8696B"/>
            <w:noWrap/>
            <w:hideMark/>
          </w:tcPr>
          <w:p w14:paraId="22925F56" w14:textId="518E790A" w:rsidR="0045325E" w:rsidRPr="00052061" w:rsidRDefault="0045325E" w:rsidP="0045325E">
            <w:pPr>
              <w:spacing w:after="0" w:line="240" w:lineRule="auto"/>
              <w:jc w:val="right"/>
              <w:rPr>
                <w:rFonts w:eastAsia="Times New Roman" w:cs="Calibri"/>
                <w:color w:val="000000"/>
                <w:sz w:val="18"/>
                <w:szCs w:val="18"/>
                <w:lang w:val="en-US" w:eastAsia="fr-FR"/>
              </w:rPr>
            </w:pPr>
            <w:r w:rsidRPr="00367C0B">
              <w:rPr>
                <w:lang w:val="en-US"/>
              </w:rPr>
              <w:t>4</w:t>
            </w:r>
          </w:p>
        </w:tc>
        <w:tc>
          <w:tcPr>
            <w:tcW w:w="1361" w:type="dxa"/>
            <w:tcBorders>
              <w:top w:val="single" w:sz="4" w:space="0" w:color="auto"/>
              <w:left w:val="single" w:sz="4" w:space="0" w:color="auto"/>
              <w:bottom w:val="single" w:sz="4" w:space="0" w:color="auto"/>
              <w:right w:val="single" w:sz="4" w:space="0" w:color="auto"/>
            </w:tcBorders>
            <w:shd w:val="clear" w:color="auto" w:fill="FDC07C"/>
            <w:noWrap/>
            <w:hideMark/>
          </w:tcPr>
          <w:p w14:paraId="6460210F" w14:textId="1138B890" w:rsidR="0045325E" w:rsidRPr="00052061" w:rsidRDefault="0045325E" w:rsidP="0045325E">
            <w:pPr>
              <w:spacing w:after="0" w:line="240" w:lineRule="auto"/>
              <w:jc w:val="right"/>
              <w:rPr>
                <w:rFonts w:eastAsia="Times New Roman" w:cs="Calibri"/>
                <w:color w:val="000000"/>
                <w:sz w:val="18"/>
                <w:szCs w:val="18"/>
                <w:lang w:val="en-US" w:eastAsia="fr-FR"/>
              </w:rPr>
            </w:pPr>
            <w:r w:rsidRPr="00367C0B">
              <w:rPr>
                <w:lang w:val="en-US"/>
              </w:rPr>
              <w:t>3</w:t>
            </w:r>
          </w:p>
        </w:tc>
      </w:tr>
      <w:tr w:rsidR="0045325E" w:rsidRPr="00367C0B" w14:paraId="34027989" w14:textId="77777777" w:rsidTr="00716AA8">
        <w:trPr>
          <w:gridAfter w:val="4"/>
          <w:wAfter w:w="6747" w:type="dxa"/>
          <w:trHeight w:val="320"/>
        </w:trPr>
        <w:tc>
          <w:tcPr>
            <w:tcW w:w="2778" w:type="dxa"/>
            <w:tcBorders>
              <w:top w:val="nil"/>
              <w:left w:val="single" w:sz="4" w:space="0" w:color="auto"/>
              <w:bottom w:val="single" w:sz="4" w:space="0" w:color="auto"/>
              <w:right w:val="single" w:sz="4" w:space="0" w:color="auto"/>
            </w:tcBorders>
            <w:shd w:val="clear" w:color="auto" w:fill="auto"/>
            <w:noWrap/>
            <w:hideMark/>
          </w:tcPr>
          <w:p w14:paraId="17821FA1" w14:textId="6C202100" w:rsidR="0045325E" w:rsidRPr="00052061" w:rsidRDefault="0045325E" w:rsidP="0045325E">
            <w:pPr>
              <w:spacing w:after="0" w:line="240" w:lineRule="auto"/>
              <w:jc w:val="left"/>
              <w:rPr>
                <w:rFonts w:eastAsia="Times New Roman" w:cs="Calibri"/>
                <w:color w:val="000000"/>
                <w:sz w:val="18"/>
                <w:szCs w:val="18"/>
                <w:lang w:val="en-US" w:eastAsia="fr-FR"/>
              </w:rPr>
            </w:pPr>
            <w:r w:rsidRPr="00367C0B">
              <w:rPr>
                <w:rFonts w:eastAsia="Times New Roman" w:cs="Calibri"/>
                <w:color w:val="000000"/>
                <w:lang w:val="en-US" w:eastAsia="fr-FR"/>
              </w:rPr>
              <w:t>Turkmenistan Port</w:t>
            </w:r>
          </w:p>
        </w:tc>
        <w:tc>
          <w:tcPr>
            <w:tcW w:w="1361" w:type="dxa"/>
            <w:tcBorders>
              <w:top w:val="single" w:sz="4" w:space="0" w:color="auto"/>
              <w:left w:val="single" w:sz="4" w:space="0" w:color="auto"/>
              <w:bottom w:val="single" w:sz="4" w:space="0" w:color="auto"/>
              <w:right w:val="single" w:sz="4" w:space="0" w:color="auto"/>
            </w:tcBorders>
            <w:shd w:val="clear" w:color="auto" w:fill="D8DF81"/>
            <w:noWrap/>
            <w:hideMark/>
          </w:tcPr>
          <w:p w14:paraId="76043010" w14:textId="396FA6BB" w:rsidR="0045325E" w:rsidRPr="00052061" w:rsidRDefault="0045325E" w:rsidP="0045325E">
            <w:pPr>
              <w:spacing w:after="0" w:line="240" w:lineRule="auto"/>
              <w:jc w:val="right"/>
              <w:rPr>
                <w:rFonts w:eastAsia="Times New Roman" w:cs="Calibri"/>
                <w:color w:val="000000"/>
                <w:sz w:val="18"/>
                <w:szCs w:val="18"/>
                <w:lang w:val="en-US" w:eastAsia="fr-FR"/>
              </w:rPr>
            </w:pPr>
            <w:r w:rsidRPr="00367C0B">
              <w:rPr>
                <w:lang w:val="en-US"/>
              </w:rPr>
              <w:t>1</w:t>
            </w:r>
          </w:p>
        </w:tc>
        <w:tc>
          <w:tcPr>
            <w:tcW w:w="1361" w:type="dxa"/>
            <w:tcBorders>
              <w:top w:val="single" w:sz="4" w:space="0" w:color="auto"/>
              <w:left w:val="single" w:sz="4" w:space="0" w:color="auto"/>
              <w:bottom w:val="single" w:sz="4" w:space="0" w:color="auto"/>
              <w:right w:val="single" w:sz="4" w:space="0" w:color="auto"/>
            </w:tcBorders>
            <w:shd w:val="clear" w:color="auto" w:fill="FDC07C"/>
            <w:noWrap/>
            <w:hideMark/>
          </w:tcPr>
          <w:p w14:paraId="19B4C815" w14:textId="678BF6AC" w:rsidR="0045325E" w:rsidRPr="00052061" w:rsidRDefault="0045325E" w:rsidP="0045325E">
            <w:pPr>
              <w:spacing w:after="0" w:line="240" w:lineRule="auto"/>
              <w:jc w:val="right"/>
              <w:rPr>
                <w:rFonts w:eastAsia="Times New Roman" w:cs="Calibri"/>
                <w:color w:val="000000"/>
                <w:sz w:val="18"/>
                <w:szCs w:val="18"/>
                <w:lang w:val="en-US" w:eastAsia="fr-FR"/>
              </w:rPr>
            </w:pPr>
            <w:r w:rsidRPr="00367C0B">
              <w:rPr>
                <w:lang w:val="en-US"/>
              </w:rPr>
              <w:t>3</w:t>
            </w:r>
          </w:p>
        </w:tc>
        <w:tc>
          <w:tcPr>
            <w:tcW w:w="1361" w:type="dxa"/>
            <w:tcBorders>
              <w:top w:val="single" w:sz="4" w:space="0" w:color="auto"/>
              <w:left w:val="single" w:sz="4" w:space="0" w:color="auto"/>
              <w:bottom w:val="single" w:sz="4" w:space="0" w:color="auto"/>
              <w:right w:val="single" w:sz="4" w:space="0" w:color="auto"/>
            </w:tcBorders>
            <w:shd w:val="clear" w:color="auto" w:fill="F8696B"/>
            <w:noWrap/>
            <w:hideMark/>
          </w:tcPr>
          <w:p w14:paraId="476C8141" w14:textId="16D44B04" w:rsidR="0045325E" w:rsidRPr="00052061" w:rsidRDefault="00716AA8" w:rsidP="0045325E">
            <w:pPr>
              <w:spacing w:after="0" w:line="240" w:lineRule="auto"/>
              <w:jc w:val="right"/>
              <w:rPr>
                <w:rFonts w:eastAsia="Times New Roman" w:cs="Calibri"/>
                <w:color w:val="000000"/>
                <w:sz w:val="18"/>
                <w:szCs w:val="18"/>
                <w:lang w:val="en-US" w:eastAsia="fr-FR"/>
              </w:rPr>
            </w:pPr>
            <w:r w:rsidRPr="00716AA8">
              <w:rPr>
                <w:rFonts w:eastAsia="Times New Roman" w:cs="Calibri"/>
                <w:color w:val="000000"/>
                <w:lang w:val="en-US" w:eastAsia="fr-FR"/>
              </w:rPr>
              <w:t>4</w:t>
            </w:r>
          </w:p>
        </w:tc>
        <w:tc>
          <w:tcPr>
            <w:tcW w:w="1361" w:type="dxa"/>
            <w:tcBorders>
              <w:top w:val="single" w:sz="4" w:space="0" w:color="auto"/>
              <w:left w:val="single" w:sz="4" w:space="0" w:color="auto"/>
              <w:bottom w:val="single" w:sz="4" w:space="0" w:color="auto"/>
              <w:right w:val="single" w:sz="4" w:space="0" w:color="auto"/>
            </w:tcBorders>
            <w:shd w:val="clear" w:color="auto" w:fill="F8696B"/>
            <w:noWrap/>
            <w:hideMark/>
          </w:tcPr>
          <w:p w14:paraId="28A77A39" w14:textId="52D2EC83" w:rsidR="0045325E" w:rsidRPr="00052061" w:rsidRDefault="0045325E" w:rsidP="0045325E">
            <w:pPr>
              <w:spacing w:after="0" w:line="240" w:lineRule="auto"/>
              <w:jc w:val="right"/>
              <w:rPr>
                <w:rFonts w:eastAsia="Times New Roman" w:cs="Calibri"/>
                <w:color w:val="000000"/>
                <w:sz w:val="18"/>
                <w:szCs w:val="18"/>
                <w:lang w:val="en-US" w:eastAsia="fr-FR"/>
              </w:rPr>
            </w:pPr>
            <w:r w:rsidRPr="00367C0B">
              <w:rPr>
                <w:lang w:val="en-US"/>
              </w:rPr>
              <w:t>4</w:t>
            </w:r>
          </w:p>
        </w:tc>
        <w:tc>
          <w:tcPr>
            <w:tcW w:w="1361" w:type="dxa"/>
            <w:tcBorders>
              <w:top w:val="single" w:sz="4" w:space="0" w:color="auto"/>
              <w:left w:val="single" w:sz="4" w:space="0" w:color="auto"/>
              <w:bottom w:val="single" w:sz="4" w:space="0" w:color="auto"/>
              <w:right w:val="single" w:sz="4" w:space="0" w:color="auto"/>
            </w:tcBorders>
            <w:shd w:val="clear" w:color="auto" w:fill="FDC07C"/>
            <w:noWrap/>
            <w:hideMark/>
          </w:tcPr>
          <w:p w14:paraId="3C08ADDB" w14:textId="1C7083B9" w:rsidR="0045325E" w:rsidRPr="00052061" w:rsidRDefault="0045325E" w:rsidP="0045325E">
            <w:pPr>
              <w:spacing w:after="0" w:line="240" w:lineRule="auto"/>
              <w:jc w:val="right"/>
              <w:rPr>
                <w:rFonts w:eastAsia="Times New Roman" w:cs="Calibri"/>
                <w:color w:val="000000"/>
                <w:sz w:val="18"/>
                <w:szCs w:val="18"/>
                <w:lang w:val="en-US" w:eastAsia="fr-FR"/>
              </w:rPr>
            </w:pPr>
            <w:r w:rsidRPr="00367C0B">
              <w:rPr>
                <w:lang w:val="en-US"/>
              </w:rPr>
              <w:t>3</w:t>
            </w:r>
          </w:p>
        </w:tc>
      </w:tr>
    </w:tbl>
    <w:p w14:paraId="292D2376" w14:textId="3F65D280" w:rsidR="007633C5" w:rsidRPr="006F3D35" w:rsidRDefault="007633C5" w:rsidP="007633C5">
      <w:pPr>
        <w:jc w:val="left"/>
        <w:rPr>
          <w:b/>
          <w:bCs/>
          <w:lang w:val="en-US"/>
        </w:rPr>
        <w:sectPr w:rsidR="007633C5" w:rsidRPr="006F3D35" w:rsidSect="003B3AA7">
          <w:pgSz w:w="11906" w:h="16838"/>
          <w:pgMar w:top="1417" w:right="1417" w:bottom="1417" w:left="1417" w:header="708" w:footer="708" w:gutter="0"/>
          <w:cols w:space="708"/>
          <w:docGrid w:linePitch="360"/>
        </w:sectPr>
      </w:pPr>
    </w:p>
    <w:tbl>
      <w:tblPr>
        <w:tblStyle w:val="Grilledutableau"/>
        <w:tblW w:w="0" w:type="auto"/>
        <w:tblLook w:val="04A0" w:firstRow="1" w:lastRow="0" w:firstColumn="1" w:lastColumn="0" w:noHBand="0" w:noVBand="1"/>
      </w:tblPr>
      <w:tblGrid>
        <w:gridCol w:w="5245"/>
      </w:tblGrid>
      <w:tr w:rsidR="00C16E23" w:rsidRPr="00FA7359" w14:paraId="75ECEBA6" w14:textId="77777777" w:rsidTr="00057796">
        <w:tc>
          <w:tcPr>
            <w:tcW w:w="5245" w:type="dxa"/>
            <w:tcBorders>
              <w:top w:val="nil"/>
              <w:left w:val="nil"/>
              <w:bottom w:val="nil"/>
              <w:right w:val="nil"/>
            </w:tcBorders>
          </w:tcPr>
          <w:p w14:paraId="057BA969" w14:textId="430C28C0" w:rsidR="0027108C" w:rsidRPr="007E0A77" w:rsidRDefault="0027108C" w:rsidP="00057796">
            <w:pPr>
              <w:keepNext/>
              <w:keepLines/>
              <w:spacing w:before="160" w:after="120"/>
              <w:outlineLvl w:val="1"/>
              <w:rPr>
                <w:rFonts w:eastAsiaTheme="majorEastAsia" w:cstheme="majorBidi"/>
                <w:b/>
                <w:color w:val="000000" w:themeColor="text1"/>
                <w:sz w:val="32"/>
                <w:szCs w:val="26"/>
                <w:lang w:val="en-US"/>
              </w:rPr>
            </w:pPr>
            <w:bookmarkStart w:id="47" w:name="_Toc183015114"/>
            <w:r w:rsidRPr="007E0A77">
              <w:rPr>
                <w:rFonts w:eastAsiaTheme="majorEastAsia" w:cstheme="majorBidi"/>
                <w:b/>
                <w:color w:val="000000" w:themeColor="text1"/>
                <w:sz w:val="32"/>
                <w:szCs w:val="26"/>
                <w:lang w:val="en-US"/>
              </w:rPr>
              <w:lastRenderedPageBreak/>
              <w:t>About EY</w:t>
            </w:r>
            <w:bookmarkEnd w:id="47"/>
          </w:p>
          <w:p w14:paraId="741ECC3A" w14:textId="77777777" w:rsidR="0027108C" w:rsidRPr="007E0A77" w:rsidRDefault="0027108C" w:rsidP="00057796">
            <w:pPr>
              <w:rPr>
                <w:lang w:val="en-US"/>
              </w:rPr>
            </w:pPr>
          </w:p>
          <w:p w14:paraId="5C8DB7EB" w14:textId="77777777" w:rsidR="0027108C" w:rsidRPr="007E0A77" w:rsidRDefault="0027108C" w:rsidP="0027108C">
            <w:pPr>
              <w:rPr>
                <w:lang w:val="en-US"/>
              </w:rPr>
            </w:pPr>
            <w:r w:rsidRPr="007E0A77">
              <w:rPr>
                <w:lang w:val="en-US"/>
              </w:rPr>
              <w:t xml:space="preserve">EY refers to the global organization, and may refer to one or more of the member firms of Ernst &amp; Young Global Limited, each of which is a separate legal entity. Ernst &amp; Young Global Limited, a UK company limited by guarantee, does not provide services to clients. Information about how EY collects and uses personal data and a description of the rights individuals have under data protection legislation are available via ey.com/privacy. EY member firms do not practice law where prohibited by local laws. For more information about our organization, please visit ey.com.  </w:t>
            </w:r>
          </w:p>
          <w:p w14:paraId="43D58D1C" w14:textId="77777777" w:rsidR="0027108C" w:rsidRPr="007E0A77" w:rsidRDefault="0027108C" w:rsidP="0027108C">
            <w:pPr>
              <w:rPr>
                <w:lang w:val="en-US"/>
              </w:rPr>
            </w:pPr>
          </w:p>
          <w:p w14:paraId="729343BC" w14:textId="77777777" w:rsidR="0027108C" w:rsidRPr="007E0A77" w:rsidRDefault="0027108C" w:rsidP="0027108C">
            <w:pPr>
              <w:rPr>
                <w:lang w:val="en-US"/>
              </w:rPr>
            </w:pPr>
          </w:p>
          <w:p w14:paraId="169A77F7" w14:textId="38BBEF9F" w:rsidR="0027108C" w:rsidRPr="007E0A77" w:rsidRDefault="0027108C" w:rsidP="0027108C">
            <w:pPr>
              <w:rPr>
                <w:lang w:val="en-US"/>
              </w:rPr>
            </w:pPr>
            <w:r w:rsidRPr="007E0A77">
              <w:rPr>
                <w:lang w:val="en-US"/>
              </w:rPr>
              <w:t>© 202</w:t>
            </w:r>
            <w:r w:rsidR="005B1703">
              <w:rPr>
                <w:lang w:val="en-US"/>
              </w:rPr>
              <w:t>4</w:t>
            </w:r>
            <w:r w:rsidRPr="007E0A77">
              <w:rPr>
                <w:lang w:val="en-US"/>
              </w:rPr>
              <w:t xml:space="preserve"> - EY &amp; Associés</w:t>
            </w:r>
          </w:p>
          <w:p w14:paraId="3EF8EB2A" w14:textId="77777777" w:rsidR="0027108C" w:rsidRPr="007E0A77" w:rsidRDefault="0027108C" w:rsidP="0027108C">
            <w:pPr>
              <w:rPr>
                <w:lang w:val="en-US"/>
              </w:rPr>
            </w:pPr>
            <w:r w:rsidRPr="007E0A77">
              <w:rPr>
                <w:lang w:val="en-US"/>
              </w:rPr>
              <w:t>All rights reserved.</w:t>
            </w:r>
          </w:p>
          <w:p w14:paraId="6E627914" w14:textId="77777777" w:rsidR="0027108C" w:rsidRPr="007E0A77" w:rsidRDefault="0027108C" w:rsidP="0027108C">
            <w:pPr>
              <w:rPr>
                <w:lang w:val="en-US"/>
              </w:rPr>
            </w:pPr>
            <w:r w:rsidRPr="007E0A77">
              <w:rPr>
                <w:lang w:val="en-US"/>
              </w:rPr>
              <w:t>This material has been prepared for general informational purposes only and it is not intended to be relied upon as accounting, tax, or other professional advice. Please refer to your advisors for specific advice.</w:t>
            </w:r>
          </w:p>
          <w:p w14:paraId="52CBF7C4" w14:textId="77777777" w:rsidR="0027108C" w:rsidRPr="007E0A77" w:rsidRDefault="0027108C" w:rsidP="0027108C">
            <w:pPr>
              <w:rPr>
                <w:lang w:val="en-US"/>
              </w:rPr>
            </w:pPr>
            <w:r w:rsidRPr="007E0A77">
              <w:rPr>
                <w:lang w:val="en-US"/>
              </w:rPr>
              <w:t>ey.com/</w:t>
            </w:r>
            <w:proofErr w:type="spellStart"/>
            <w:r w:rsidRPr="007E0A77">
              <w:rPr>
                <w:lang w:val="en-US"/>
              </w:rPr>
              <w:t>fr</w:t>
            </w:r>
            <w:proofErr w:type="spellEnd"/>
          </w:p>
        </w:tc>
      </w:tr>
    </w:tbl>
    <w:p w14:paraId="22C0E150" w14:textId="0D2FFFF9" w:rsidR="001252C3" w:rsidRPr="003C190B" w:rsidRDefault="001252C3" w:rsidP="00B047A5">
      <w:pPr>
        <w:rPr>
          <w:lang w:val="en-US"/>
        </w:rPr>
      </w:pPr>
    </w:p>
    <w:sectPr w:rsidR="001252C3" w:rsidRPr="003C190B" w:rsidSect="003B3AA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A6A263" w14:textId="77777777" w:rsidR="006318D4" w:rsidRDefault="006318D4" w:rsidP="00961D79">
      <w:pPr>
        <w:spacing w:after="0" w:line="240" w:lineRule="auto"/>
      </w:pPr>
      <w:r>
        <w:separator/>
      </w:r>
    </w:p>
  </w:endnote>
  <w:endnote w:type="continuationSeparator" w:id="0">
    <w:p w14:paraId="11AE1B72" w14:textId="77777777" w:rsidR="006318D4" w:rsidRDefault="006318D4" w:rsidP="00961D79">
      <w:pPr>
        <w:spacing w:after="0" w:line="240" w:lineRule="auto"/>
      </w:pPr>
      <w:r>
        <w:continuationSeparator/>
      </w:r>
    </w:p>
  </w:endnote>
  <w:endnote w:type="continuationNotice" w:id="1">
    <w:p w14:paraId="6FEB87AA" w14:textId="77777777" w:rsidR="006318D4" w:rsidRDefault="006318D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EYInterstate Light">
    <w:altName w:val="Calibri"/>
    <w:panose1 w:val="02000506000000020004"/>
    <w:charset w:val="00"/>
    <w:family w:val="auto"/>
    <w:pitch w:val="variable"/>
    <w:sig w:usb0="A00002AF" w:usb1="5000206A" w:usb2="00000000" w:usb3="00000000" w:csb0="0000009F" w:csb1="00000000"/>
  </w:font>
  <w:font w:name="DengXian Light">
    <w:altName w:val="等线 Light"/>
    <w:charset w:val="86"/>
    <w:family w:val="auto"/>
    <w:pitch w:val="variable"/>
    <w:sig w:usb0="A00002BF" w:usb1="38CF7CFA" w:usb2="00000016" w:usb3="00000000" w:csb0="0004000F" w:csb1="00000000"/>
  </w:font>
  <w:font w:name="EYInterstate">
    <w:altName w:val="Calibri"/>
    <w:panose1 w:val="02000503020000020004"/>
    <w:charset w:val="00"/>
    <w:family w:val="auto"/>
    <w:pitch w:val="variable"/>
    <w:sig w:usb0="800000AF" w:usb1="5000204A"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Yu Mincho Demibold">
    <w:altName w:val="@Yu Gothic"/>
    <w:charset w:val="80"/>
    <w:family w:val="roman"/>
    <w:pitch w:val="variable"/>
    <w:sig w:usb0="800002E7" w:usb1="2AC7FCFF" w:usb2="00000012" w:usb3="00000000" w:csb0="0002009F" w:csb1="00000000"/>
  </w:font>
  <w:font w:name="Yu Mincho Light">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2708232"/>
      <w:docPartObj>
        <w:docPartGallery w:val="Page Numbers (Bottom of Page)"/>
        <w:docPartUnique/>
      </w:docPartObj>
    </w:sdtPr>
    <w:sdtContent>
      <w:p w14:paraId="64AD44A3" w14:textId="3E172DE4" w:rsidR="005B7C0F" w:rsidRDefault="005B7C0F">
        <w:pPr>
          <w:pStyle w:val="Pieddepage"/>
          <w:jc w:val="center"/>
        </w:pPr>
        <w:r>
          <w:rPr>
            <w:noProof/>
          </w:rPr>
          <w:drawing>
            <wp:anchor distT="0" distB="0" distL="114300" distR="114300" simplePos="0" relativeHeight="251658241" behindDoc="0" locked="0" layoutInCell="1" allowOverlap="1" wp14:anchorId="41FCDEC3" wp14:editId="778A6926">
              <wp:simplePos x="0" y="0"/>
              <wp:positionH relativeFrom="margin">
                <wp:posOffset>4697095</wp:posOffset>
              </wp:positionH>
              <wp:positionV relativeFrom="paragraph">
                <wp:posOffset>-188595</wp:posOffset>
              </wp:positionV>
              <wp:extent cx="1066165" cy="666115"/>
              <wp:effectExtent l="0" t="0" r="0" b="635"/>
              <wp:wrapNone/>
              <wp:docPr id="530" name="Picture 530" descr="EBRD Logo et symbole, sens, histoire, PNG, mar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BRD Logo et symbole, sens, histoire, PNG, marq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165" cy="6661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2" behindDoc="0" locked="0" layoutInCell="1" allowOverlap="1" wp14:anchorId="5BF00156" wp14:editId="11B8BF2A">
              <wp:simplePos x="0" y="0"/>
              <wp:positionH relativeFrom="margin">
                <wp:posOffset>1905</wp:posOffset>
              </wp:positionH>
              <wp:positionV relativeFrom="paragraph">
                <wp:posOffset>-128559</wp:posOffset>
              </wp:positionV>
              <wp:extent cx="462915" cy="462915"/>
              <wp:effectExtent l="0" t="0" r="0" b="0"/>
              <wp:wrapNone/>
              <wp:docPr id="16" name="Picture 16" descr="EY (entreprise) — Wikip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Y (entreprise) — Wikipédi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2915" cy="462915"/>
                      </a:xfrm>
                      <a:prstGeom prst="rect">
                        <a:avLst/>
                      </a:prstGeom>
                      <a:noFill/>
                      <a:ln>
                        <a:noFill/>
                      </a:ln>
                    </pic:spPr>
                  </pic:pic>
                </a:graphicData>
              </a:graphic>
              <wp14:sizeRelH relativeFrom="margin">
                <wp14:pctWidth>0</wp14:pctWidth>
              </wp14:sizeRelH>
              <wp14:sizeRelV relativeFrom="margin">
                <wp14:pctHeight>0</wp14:pctHeight>
              </wp14:sizeRelV>
            </wp:anchor>
          </w:drawing>
        </w:r>
        <w:r>
          <w:fldChar w:fldCharType="begin"/>
        </w:r>
        <w:r>
          <w:instrText>PAGE   \* MERGEFORMAT</w:instrText>
        </w:r>
        <w:r>
          <w:fldChar w:fldCharType="separate"/>
        </w:r>
        <w:r>
          <w:t>2</w:t>
        </w:r>
        <w:r>
          <w:fldChar w:fldCharType="end"/>
        </w:r>
      </w:p>
    </w:sdtContent>
  </w:sdt>
  <w:p w14:paraId="481CD18A" w14:textId="6F236130" w:rsidR="008078D9" w:rsidRDefault="008078D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217E1E" w14:textId="77777777" w:rsidR="006318D4" w:rsidRDefault="006318D4" w:rsidP="00961D79">
      <w:pPr>
        <w:spacing w:after="0" w:line="240" w:lineRule="auto"/>
      </w:pPr>
      <w:r>
        <w:separator/>
      </w:r>
    </w:p>
  </w:footnote>
  <w:footnote w:type="continuationSeparator" w:id="0">
    <w:p w14:paraId="638DD039" w14:textId="77777777" w:rsidR="006318D4" w:rsidRDefault="006318D4" w:rsidP="00961D79">
      <w:pPr>
        <w:spacing w:after="0" w:line="240" w:lineRule="auto"/>
      </w:pPr>
      <w:r>
        <w:continuationSeparator/>
      </w:r>
    </w:p>
  </w:footnote>
  <w:footnote w:type="continuationNotice" w:id="1">
    <w:p w14:paraId="2E50B1E2" w14:textId="77777777" w:rsidR="006318D4" w:rsidRDefault="006318D4">
      <w:pPr>
        <w:spacing w:after="0" w:line="240" w:lineRule="auto"/>
      </w:pPr>
    </w:p>
  </w:footnote>
  <w:footnote w:id="2">
    <w:p w14:paraId="696D1110" w14:textId="6CF9EAE6" w:rsidR="00BA1598" w:rsidRPr="007621D2" w:rsidRDefault="00BA1598">
      <w:pPr>
        <w:pStyle w:val="Notedebasdepage"/>
        <w:rPr>
          <w:sz w:val="16"/>
          <w:szCs w:val="16"/>
        </w:rPr>
      </w:pPr>
      <w:r>
        <w:rPr>
          <w:rStyle w:val="Appelnotedebasdep"/>
        </w:rPr>
        <w:footnoteRef/>
      </w:r>
      <w:r w:rsidRPr="007621D2">
        <w:t xml:space="preserve"> </w:t>
      </w:r>
      <w:r w:rsidRPr="007621D2">
        <w:rPr>
          <w:sz w:val="16"/>
          <w:szCs w:val="16"/>
        </w:rPr>
        <w:t xml:space="preserve">Nature, </w:t>
      </w:r>
      <w:r w:rsidR="00C26D85" w:rsidRPr="00C26D85">
        <w:rPr>
          <w:sz w:val="16"/>
          <w:szCs w:val="16"/>
        </w:rPr>
        <w:t>2023,</w:t>
      </w:r>
      <w:r w:rsidR="000F536B" w:rsidRPr="00C26D85">
        <w:rPr>
          <w:sz w:val="16"/>
          <w:szCs w:val="16"/>
        </w:rPr>
        <w:t xml:space="preserve"> </w:t>
      </w:r>
      <w:r w:rsidR="007843D2" w:rsidRPr="00C26D85">
        <w:rPr>
          <w:sz w:val="16"/>
          <w:szCs w:val="16"/>
        </w:rPr>
        <w:t>https://www.nature.com/articles/s43247-023-01017-8#data-availability</w:t>
      </w:r>
    </w:p>
    <w:p w14:paraId="6460BA9A" w14:textId="6000BB46" w:rsidR="003D0992" w:rsidRPr="007621D2" w:rsidRDefault="003D0992">
      <w:pPr>
        <w:pStyle w:val="Notedebasdepage"/>
        <w:rPr>
          <w:lang w:val="en-US"/>
        </w:rPr>
      </w:pPr>
      <w:r w:rsidRPr="00E13EAF">
        <w:rPr>
          <w:sz w:val="16"/>
          <w:szCs w:val="16"/>
          <w:vertAlign w:val="superscript"/>
          <w:lang w:val="it-IT"/>
        </w:rPr>
        <w:t>2</w:t>
      </w:r>
      <w:r w:rsidR="00293CE4" w:rsidRPr="00E13EAF">
        <w:rPr>
          <w:sz w:val="16"/>
          <w:szCs w:val="16"/>
          <w:lang w:val="it-IT"/>
        </w:rPr>
        <w:t xml:space="preserve"> Allahdadi, Nabi &amp; Chegini, Vahid &amp; Fotouhi, Neda &amp; Golshani, Aliasghar</w:t>
      </w:r>
      <w:r w:rsidR="00293CE4" w:rsidRPr="007621D2">
        <w:rPr>
          <w:sz w:val="16"/>
          <w:szCs w:val="16"/>
          <w:lang w:val="it-IT"/>
        </w:rPr>
        <w:t xml:space="preserve">(2004). </w:t>
      </w:r>
      <w:r w:rsidR="00293CE4" w:rsidRPr="007621D2">
        <w:rPr>
          <w:sz w:val="16"/>
          <w:szCs w:val="16"/>
          <w:lang w:val="en-US"/>
        </w:rPr>
        <w:t>Wave Modeling of the Caspian Sea.</w:t>
      </w:r>
    </w:p>
  </w:footnote>
  <w:footnote w:id="3">
    <w:p w14:paraId="72674866" w14:textId="59930385" w:rsidR="00C27151" w:rsidRPr="00383F68" w:rsidRDefault="00C27151">
      <w:pPr>
        <w:pStyle w:val="Notedebasdepage"/>
        <w:rPr>
          <w:lang w:val="en-US"/>
        </w:rPr>
      </w:pPr>
      <w:r w:rsidRPr="00383F68">
        <w:rPr>
          <w:rStyle w:val="Appelnotedebasdep"/>
          <w:sz w:val="16"/>
          <w:szCs w:val="16"/>
        </w:rPr>
        <w:footnoteRef/>
      </w:r>
      <w:r w:rsidRPr="00383F68">
        <w:rPr>
          <w:sz w:val="16"/>
          <w:szCs w:val="16"/>
          <w:lang w:val="en-US"/>
        </w:rPr>
        <w:t xml:space="preserve"> https://climateactionaccelerator.org/solutions/white_roofs/</w:t>
      </w:r>
    </w:p>
  </w:footnote>
  <w:footnote w:id="4">
    <w:p w14:paraId="75ACDF46" w14:textId="77777777" w:rsidR="008B6A94" w:rsidRDefault="008B6A94" w:rsidP="008B6A94">
      <w:pPr>
        <w:pStyle w:val="Notedebasdepage"/>
      </w:pPr>
      <w:r>
        <w:rPr>
          <w:rStyle w:val="Appelnotedebasdep"/>
        </w:rPr>
        <w:footnoteRef/>
      </w:r>
      <w:r>
        <w:t xml:space="preserve"> R</w:t>
      </w:r>
      <w:r w:rsidRPr="00DB7077">
        <w:t>ésolution MEPC.350(78) – Directives de 2022 sur la méthode de calcul de l'indice de rendement énergétique des navires existants (EEXI) obtenu</w:t>
      </w:r>
    </w:p>
  </w:footnote>
  <w:footnote w:id="5">
    <w:p w14:paraId="03FE7B9E" w14:textId="77777777" w:rsidR="008B6A94" w:rsidRPr="00A7314A" w:rsidRDefault="008B6A94" w:rsidP="008B6A94">
      <w:pPr>
        <w:pStyle w:val="Notedebasdepage"/>
        <w:rPr>
          <w:lang w:val="en-US"/>
        </w:rPr>
      </w:pPr>
      <w:r>
        <w:rPr>
          <w:rStyle w:val="Appelnotedebasdep"/>
        </w:rPr>
        <w:footnoteRef/>
      </w:r>
      <w:r w:rsidRPr="00A7314A">
        <w:rPr>
          <w:lang w:val="en-US"/>
        </w:rPr>
        <w:t xml:space="preserve"> </w:t>
      </w:r>
      <w:hyperlink r:id="rId1" w:history="1">
        <w:r w:rsidRPr="00A7314A">
          <w:rPr>
            <w:rStyle w:val="Lienhypertexte"/>
            <w:lang w:val="en-US"/>
          </w:rPr>
          <w:t>31875b4f-39b9-4cde-a4e2-fbb8f65ee703_en</w:t>
        </w:r>
      </w:hyperlink>
    </w:p>
  </w:footnote>
  <w:footnote w:id="6">
    <w:p w14:paraId="54D90130" w14:textId="77777777" w:rsidR="008B6A94" w:rsidRPr="00851887" w:rsidRDefault="008B6A94" w:rsidP="008B6A94">
      <w:pPr>
        <w:pStyle w:val="Notedebasdepage"/>
        <w:rPr>
          <w:lang w:val="en-US"/>
        </w:rPr>
      </w:pPr>
      <w:r>
        <w:rPr>
          <w:rStyle w:val="Appelnotedebasdep"/>
        </w:rPr>
        <w:footnoteRef/>
      </w:r>
      <w:r w:rsidRPr="00851887">
        <w:rPr>
          <w:lang w:val="en-US"/>
        </w:rPr>
        <w:t xml:space="preserve"> </w:t>
      </w:r>
      <w:r>
        <w:rPr>
          <w:lang w:val="en-US"/>
        </w:rPr>
        <w:t xml:space="preserve">Resolution MEPC.346(78) – 2022 Guideline for the development of a ship energy efficiency management plan (SEEMP), available at this link: </w:t>
      </w:r>
      <w:hyperlink r:id="rId2" w:history="1">
        <w:r w:rsidRPr="00837534">
          <w:rPr>
            <w:rStyle w:val="Lienhypertexte"/>
            <w:lang w:val="en-US"/>
          </w:rPr>
          <w:t>MEPC 346 78</w:t>
        </w:r>
      </w:hyperlink>
    </w:p>
  </w:footnote>
  <w:footnote w:id="7">
    <w:p w14:paraId="7D1308D8" w14:textId="77777777" w:rsidR="008B6A94" w:rsidRPr="005D1319" w:rsidRDefault="008B6A94" w:rsidP="008B6A94">
      <w:pPr>
        <w:pStyle w:val="Notedebasdepage"/>
        <w:rPr>
          <w:sz w:val="14"/>
          <w:szCs w:val="14"/>
          <w:lang w:val="en-US"/>
        </w:rPr>
      </w:pPr>
      <w:r w:rsidRPr="005D1319">
        <w:rPr>
          <w:rStyle w:val="Appelnotedebasdep"/>
          <w:sz w:val="14"/>
          <w:szCs w:val="14"/>
        </w:rPr>
        <w:footnoteRef/>
      </w:r>
      <w:r w:rsidRPr="005D1319">
        <w:rPr>
          <w:sz w:val="14"/>
          <w:szCs w:val="14"/>
          <w:lang w:val="en-US"/>
        </w:rPr>
        <w:t xml:space="preserve"> Estimation based on provided data (transported weight and commercial route) and an average emission factor from ADEME </w:t>
      </w:r>
    </w:p>
  </w:footnote>
  <w:footnote w:id="8">
    <w:p w14:paraId="5E4754AE" w14:textId="77777777" w:rsidR="008B6A94" w:rsidRPr="005D1319" w:rsidRDefault="008B6A94" w:rsidP="008B6A94">
      <w:pPr>
        <w:pStyle w:val="Notedebasdepage"/>
        <w:rPr>
          <w:sz w:val="14"/>
          <w:szCs w:val="14"/>
          <w:lang w:val="en-US"/>
        </w:rPr>
      </w:pPr>
      <w:r w:rsidRPr="005D1319">
        <w:rPr>
          <w:rStyle w:val="Appelnotedebasdep"/>
          <w:sz w:val="14"/>
          <w:szCs w:val="14"/>
        </w:rPr>
        <w:footnoteRef/>
      </w:r>
      <w:r w:rsidRPr="005D1319">
        <w:rPr>
          <w:sz w:val="14"/>
          <w:szCs w:val="14"/>
          <w:lang w:val="en-US"/>
        </w:rPr>
        <w:t xml:space="preserve"> Average carbon price for EU-ETS in 2022 and 2023</w:t>
      </w:r>
    </w:p>
  </w:footnote>
  <w:footnote w:id="9">
    <w:p w14:paraId="71888E1F" w14:textId="77777777" w:rsidR="008B6A94" w:rsidRPr="005D1319" w:rsidRDefault="008B6A94" w:rsidP="008B6A94">
      <w:pPr>
        <w:pStyle w:val="Notedebasdepage"/>
        <w:rPr>
          <w:sz w:val="14"/>
          <w:szCs w:val="14"/>
          <w:lang w:val="en-US"/>
        </w:rPr>
      </w:pPr>
      <w:r w:rsidRPr="005D1319">
        <w:rPr>
          <w:rStyle w:val="Appelnotedebasdep"/>
          <w:sz w:val="14"/>
          <w:szCs w:val="14"/>
        </w:rPr>
        <w:footnoteRef/>
      </w:r>
      <w:r w:rsidRPr="005D1319">
        <w:rPr>
          <w:sz w:val="14"/>
          <w:szCs w:val="14"/>
          <w:lang w:val="en-US"/>
        </w:rPr>
        <w:t xml:space="preserve"> Sources of projections of EU-ETS carbon price: </w:t>
      </w:r>
      <w:r w:rsidRPr="005D1319">
        <w:rPr>
          <w:i/>
          <w:iCs/>
          <w:sz w:val="14"/>
          <w:szCs w:val="14"/>
          <w:lang w:val="en-US"/>
        </w:rPr>
        <w:t>Enerdata, Statistica</w:t>
      </w:r>
    </w:p>
  </w:footnote>
  <w:footnote w:id="10">
    <w:p w14:paraId="1EC11F38" w14:textId="77777777" w:rsidR="008B6A94" w:rsidRPr="00341728" w:rsidRDefault="008B6A94" w:rsidP="008B6A94">
      <w:pPr>
        <w:pStyle w:val="Notedebasdepage"/>
        <w:rPr>
          <w:lang w:val="en-US"/>
        </w:rPr>
      </w:pPr>
      <w:r w:rsidRPr="005D1319">
        <w:rPr>
          <w:rStyle w:val="Appelnotedebasdep"/>
          <w:sz w:val="14"/>
          <w:szCs w:val="14"/>
        </w:rPr>
        <w:footnoteRef/>
      </w:r>
      <w:r w:rsidRPr="005D1319">
        <w:rPr>
          <w:sz w:val="14"/>
          <w:szCs w:val="14"/>
          <w:lang w:val="en-US"/>
        </w:rPr>
        <w:t xml:space="preserve"> </w:t>
      </w:r>
      <w:r w:rsidRPr="00BF452C">
        <w:rPr>
          <w:lang w:val="en-US"/>
        </w:rPr>
        <w:t>Network for Greening the Financial System</w:t>
      </w:r>
    </w:p>
  </w:footnote>
  <w:footnote w:id="11">
    <w:p w14:paraId="5BE85F34" w14:textId="24F68A92" w:rsidR="00881ABC" w:rsidRPr="00A8415C" w:rsidRDefault="00881ABC">
      <w:pPr>
        <w:pStyle w:val="Notedebasdepage"/>
        <w:rPr>
          <w:lang w:val="en-US"/>
        </w:rPr>
      </w:pPr>
      <w:r>
        <w:rPr>
          <w:rStyle w:val="Appelnotedebasdep"/>
        </w:rPr>
        <w:footnoteRef/>
      </w:r>
      <w:r w:rsidRPr="00383F68">
        <w:rPr>
          <w:lang w:val="en-US"/>
        </w:rPr>
        <w:t xml:space="preserve"> </w:t>
      </w:r>
      <w:r w:rsidR="009F4D74" w:rsidRPr="00383F68">
        <w:rPr>
          <w:lang w:val="en-US"/>
        </w:rPr>
        <w:t>CDP, CDP Technical Note: Relevance of Scope 3 Categories by Sector</w:t>
      </w:r>
      <w:r w:rsidR="009F4D74">
        <w:rPr>
          <w:lang w:val="en-US"/>
        </w:rPr>
        <w:t>,</w:t>
      </w:r>
      <w:r w:rsidR="009F4D74" w:rsidRPr="00383F68">
        <w:rPr>
          <w:lang w:val="en-US"/>
        </w:rPr>
        <w:t xml:space="preserve"> 2021</w:t>
      </w:r>
      <w:r w:rsidR="009F4D74">
        <w:rPr>
          <w:sz w:val="22"/>
          <w:szCs w:val="22"/>
          <w:lang w:val="en-US"/>
        </w:rPr>
        <w:t xml:space="preserve">, </w:t>
      </w:r>
      <w:hyperlink r:id="rId3" w:history="1">
        <w:r w:rsidR="009F4D74" w:rsidRPr="00383F68">
          <w:rPr>
            <w:rStyle w:val="Lienhypertexte"/>
            <w:lang w:val="en-US"/>
          </w:rPr>
          <w:t>CDP-technical-note-scope-3-relevance-by-sector.pdf</w:t>
        </w:r>
      </w:hyperlink>
    </w:p>
  </w:footnote>
  <w:footnote w:id="12">
    <w:p w14:paraId="5F699EB1" w14:textId="77777777" w:rsidR="00653950" w:rsidRPr="00323DBB" w:rsidRDefault="00653950" w:rsidP="00653950">
      <w:pPr>
        <w:pStyle w:val="Notedebasdepage"/>
        <w:rPr>
          <w:lang w:val="en-US"/>
        </w:rPr>
      </w:pPr>
      <w:r>
        <w:rPr>
          <w:rStyle w:val="Appelnotedebasdep"/>
        </w:rPr>
        <w:footnoteRef/>
      </w:r>
      <w:r w:rsidRPr="00323DBB">
        <w:rPr>
          <w:lang w:val="en-US"/>
        </w:rPr>
        <w:t xml:space="preserve"> </w:t>
      </w:r>
      <w:r>
        <w:rPr>
          <w:lang w:val="en-US"/>
        </w:rPr>
        <w:t>DNV, Energy Transition Outlook 2024, Maritim Forecast 2050</w:t>
      </w:r>
    </w:p>
  </w:footnote>
  <w:footnote w:id="13">
    <w:p w14:paraId="504E7525" w14:textId="77777777" w:rsidR="008B6A94" w:rsidRPr="00E04ED0" w:rsidRDefault="008B6A94" w:rsidP="008B6A94">
      <w:pPr>
        <w:pStyle w:val="Notedebasdepage"/>
        <w:rPr>
          <w:lang w:val="en-US"/>
        </w:rPr>
      </w:pPr>
      <w:r>
        <w:rPr>
          <w:rStyle w:val="Appelnotedebasdep"/>
        </w:rPr>
        <w:footnoteRef/>
      </w:r>
      <w:r w:rsidRPr="00E04ED0">
        <w:rPr>
          <w:lang w:val="en-US"/>
        </w:rPr>
        <w:t xml:space="preserve"> </w:t>
      </w:r>
      <w:r>
        <w:rPr>
          <w:lang w:val="en-US"/>
        </w:rPr>
        <w:t>Lloyd’s Register and UMAS Research</w:t>
      </w:r>
    </w:p>
  </w:footnote>
  <w:footnote w:id="14">
    <w:p w14:paraId="591157EE" w14:textId="67A97509" w:rsidR="006E0921" w:rsidRPr="006E0921" w:rsidRDefault="006E0921">
      <w:pPr>
        <w:pStyle w:val="Notedebasdepage"/>
        <w:rPr>
          <w:lang w:val="en-US"/>
        </w:rPr>
      </w:pPr>
      <w:r>
        <w:rPr>
          <w:rStyle w:val="Appelnotedebasdep"/>
        </w:rPr>
        <w:footnoteRef/>
      </w:r>
      <w:r w:rsidRPr="006E0921">
        <w:rPr>
          <w:lang w:val="en-US"/>
        </w:rPr>
        <w:t xml:space="preserve"> </w:t>
      </w:r>
      <w:r>
        <w:rPr>
          <w:lang w:val="en-US"/>
        </w:rPr>
        <w:t>Fuel E</w:t>
      </w:r>
      <w:r w:rsidR="00966A5A">
        <w:rPr>
          <w:lang w:val="en-US"/>
        </w:rPr>
        <w:t>U</w:t>
      </w:r>
      <w:r>
        <w:rPr>
          <w:lang w:val="en-US"/>
        </w:rPr>
        <w:t xml:space="preserve"> Maritime Initiative, </w:t>
      </w:r>
      <w:hyperlink r:id="rId4" w:history="1">
        <w:r w:rsidRPr="00966A5A">
          <w:rPr>
            <w:lang w:val="en-US"/>
          </w:rPr>
          <w:t>Regulation on the use of renewable and low-carbon fuels in maritime transport</w:t>
        </w:r>
        <w:r w:rsidR="00966A5A" w:rsidRPr="00966A5A">
          <w:rPr>
            <w:lang w:val="en-US"/>
          </w:rPr>
          <w:t xml:space="preserve">, </w:t>
        </w:r>
        <w:r w:rsidRPr="00966A5A">
          <w:rPr>
            <w:lang w:val="en-US"/>
          </w:rPr>
          <w:t>25 July 2023</w:t>
        </w:r>
      </w:hyperlink>
    </w:p>
  </w:footnote>
  <w:footnote w:id="15">
    <w:p w14:paraId="6CF0DD23" w14:textId="77777777" w:rsidR="008B6A94" w:rsidRPr="001416FD" w:rsidRDefault="008B6A94" w:rsidP="008B6A94">
      <w:pPr>
        <w:pStyle w:val="Notedebasdepage"/>
        <w:rPr>
          <w:lang w:val="en-US"/>
        </w:rPr>
      </w:pPr>
      <w:r>
        <w:rPr>
          <w:rStyle w:val="Appelnotedebasdep"/>
        </w:rPr>
        <w:footnoteRef/>
      </w:r>
      <w:r w:rsidRPr="001416FD">
        <w:rPr>
          <w:lang w:val="en-US"/>
        </w:rPr>
        <w:t xml:space="preserve"> </w:t>
      </w:r>
      <w:r>
        <w:rPr>
          <w:lang w:val="en-US"/>
        </w:rPr>
        <w:t>DNV, Energy Transition Outlook 2024, Maritim Forecast 2050</w:t>
      </w:r>
    </w:p>
  </w:footnote>
  <w:footnote w:id="16">
    <w:p w14:paraId="13AC4CDA" w14:textId="61DA5F25" w:rsidR="00CA4A1E" w:rsidRPr="00D35043" w:rsidRDefault="00CA4A1E">
      <w:pPr>
        <w:pStyle w:val="Notedebasdepage"/>
        <w:rPr>
          <w:lang w:val="en-US"/>
        </w:rPr>
      </w:pPr>
      <w:r>
        <w:rPr>
          <w:rStyle w:val="Appelnotedebasdep"/>
        </w:rPr>
        <w:footnoteRef/>
      </w:r>
      <w:r w:rsidRPr="00D35043">
        <w:rPr>
          <w:lang w:val="en-US"/>
        </w:rPr>
        <w:t xml:space="preserve"> </w:t>
      </w:r>
      <w:r w:rsidR="00D35043" w:rsidRPr="00D35043">
        <w:rPr>
          <w:lang w:val="en-US"/>
        </w:rPr>
        <w:t xml:space="preserve">The royal institution of Naval Architects, </w:t>
      </w:r>
      <w:r w:rsidRPr="00D35043">
        <w:rPr>
          <w:lang w:val="en-US"/>
        </w:rPr>
        <w:t>Blending biofuel with conventional marine fuel shown to improve CII ratings</w:t>
      </w:r>
      <w:r w:rsidR="00D35043">
        <w:rPr>
          <w:lang w:val="en-US"/>
        </w:rPr>
        <w:t xml:space="preserve">, </w:t>
      </w:r>
      <w:r w:rsidR="00D35043" w:rsidRPr="00D35043">
        <w:rPr>
          <w:lang w:val="en-US"/>
        </w:rPr>
        <w:t>3rd August 2023</w:t>
      </w:r>
      <w:r w:rsidR="000F2B5E">
        <w:rPr>
          <w:lang w:val="en-US"/>
        </w:rPr>
        <w:t xml:space="preserve">, available here: </w:t>
      </w:r>
      <w:hyperlink r:id="rId5" w:anchor=":~:text=This%20suggests%20that%2C%20under%20certain,and%20regulatory%20questions%20are%20addressed." w:history="1">
        <w:r w:rsidR="000F2B5E" w:rsidRPr="000F2B5E">
          <w:rPr>
            <w:rStyle w:val="Lienhypertexte"/>
            <w:lang w:val="en-US"/>
          </w:rPr>
          <w:t>Blending biofuel with conventional marine fuel shown to improve CII ratings</w:t>
        </w:r>
      </w:hyperlink>
    </w:p>
  </w:footnote>
  <w:footnote w:id="17">
    <w:p w14:paraId="3310D74C" w14:textId="11478A0F" w:rsidR="005D462F" w:rsidRPr="005D462F" w:rsidRDefault="005D462F">
      <w:pPr>
        <w:pStyle w:val="Notedebasdepage"/>
        <w:rPr>
          <w:lang w:val="en-US"/>
        </w:rPr>
      </w:pPr>
      <w:r>
        <w:rPr>
          <w:rStyle w:val="Appelnotedebasdep"/>
        </w:rPr>
        <w:footnoteRef/>
      </w:r>
      <w:r w:rsidRPr="005D462F">
        <w:rPr>
          <w:lang w:val="en-US"/>
        </w:rPr>
        <w:t xml:space="preserve"> </w:t>
      </w:r>
      <w:r w:rsidR="007C16DB">
        <w:rPr>
          <w:lang w:val="en-US"/>
        </w:rPr>
        <w:t xml:space="preserve">Methanol Institute, Marine Methanol, May 2023, available here: </w:t>
      </w:r>
      <w:hyperlink r:id="rId6" w:history="1">
        <w:r w:rsidR="007C16DB" w:rsidRPr="007C16DB">
          <w:rPr>
            <w:rStyle w:val="Lienhypertexte"/>
            <w:lang w:val="en-US"/>
          </w:rPr>
          <w:t>methanol.org/wp-content/uploads/2023/05/Marine_Methanol_Report_Methanol_Institute_May_2023.pdf</w:t>
        </w:r>
      </w:hyperlink>
    </w:p>
  </w:footnote>
  <w:footnote w:id="18">
    <w:p w14:paraId="444CADE0" w14:textId="152B8FA4" w:rsidR="00544B98" w:rsidRPr="00544B98" w:rsidRDefault="00544B98">
      <w:pPr>
        <w:pStyle w:val="Notedebasdepage"/>
        <w:rPr>
          <w:b/>
          <w:bCs/>
          <w:lang w:val="en-US"/>
        </w:rPr>
      </w:pPr>
      <w:r>
        <w:rPr>
          <w:rStyle w:val="Appelnotedebasdep"/>
        </w:rPr>
        <w:footnoteRef/>
      </w:r>
      <w:r w:rsidRPr="00544B98">
        <w:rPr>
          <w:lang w:val="en-US"/>
        </w:rPr>
        <w:t xml:space="preserve"> </w:t>
      </w:r>
      <w:r>
        <w:rPr>
          <w:lang w:val="en-US"/>
        </w:rPr>
        <w:t>IEA</w:t>
      </w:r>
      <w:r w:rsidRPr="008C3F62">
        <w:rPr>
          <w:lang w:val="en-US"/>
        </w:rPr>
        <w:t>, The Role of E-fuels in Decarbonising Transport</w:t>
      </w:r>
      <w:r w:rsidR="008C3F62" w:rsidRPr="008C3F62">
        <w:rPr>
          <w:lang w:val="en-US"/>
        </w:rPr>
        <w:t>, December 2023</w:t>
      </w:r>
    </w:p>
  </w:footnote>
  <w:footnote w:id="19">
    <w:p w14:paraId="6F60799A" w14:textId="77777777" w:rsidR="008B6A94" w:rsidRPr="0098675E" w:rsidRDefault="008B6A94" w:rsidP="008B6A94">
      <w:pPr>
        <w:rPr>
          <w:lang w:val="en-US"/>
        </w:rPr>
      </w:pPr>
      <w:r>
        <w:rPr>
          <w:rStyle w:val="Appelnotedebasdep"/>
        </w:rPr>
        <w:footnoteRef/>
      </w:r>
      <w:r w:rsidRPr="0098675E">
        <w:rPr>
          <w:lang w:val="en-US"/>
        </w:rPr>
        <w:t xml:space="preserve"> </w:t>
      </w:r>
      <w:r w:rsidRPr="00A8415C">
        <w:rPr>
          <w:sz w:val="20"/>
          <w:szCs w:val="20"/>
          <w:lang w:val="en-US"/>
        </w:rPr>
        <w:t>Fuel Cost Calculator, Maersk Mc-Kinney Molller Center for Zero Carbon Shipping</w:t>
      </w:r>
    </w:p>
  </w:footnote>
  <w:footnote w:id="20">
    <w:p w14:paraId="150CDA7B" w14:textId="21DBEF53" w:rsidR="00BF452C" w:rsidRPr="00BF452C" w:rsidRDefault="00BF452C">
      <w:pPr>
        <w:pStyle w:val="Notedebasdepage"/>
        <w:rPr>
          <w:lang w:val="en-US"/>
        </w:rPr>
      </w:pPr>
      <w:r>
        <w:rPr>
          <w:rStyle w:val="Appelnotedebasdep"/>
        </w:rPr>
        <w:footnoteRef/>
      </w:r>
      <w:r w:rsidRPr="00BF452C">
        <w:rPr>
          <w:lang w:val="en-US"/>
        </w:rPr>
        <w:t xml:space="preserve"> </w:t>
      </w:r>
      <w:r>
        <w:rPr>
          <w:lang w:val="en-US"/>
        </w:rPr>
        <w:t>DNV, Energy Transition Outlook 2024, Maritim Forecast 2050</w:t>
      </w:r>
    </w:p>
  </w:footnote>
  <w:footnote w:id="21">
    <w:p w14:paraId="4AFE63AD" w14:textId="4B4F5349" w:rsidR="00F8306A" w:rsidRPr="00001C1C" w:rsidRDefault="00F8306A">
      <w:pPr>
        <w:pStyle w:val="Notedebasdepage"/>
      </w:pPr>
      <w:r>
        <w:rPr>
          <w:rStyle w:val="Appelnotedebasdep"/>
        </w:rPr>
        <w:footnoteRef/>
      </w:r>
      <w:r w:rsidRPr="00001C1C">
        <w:t xml:space="preserve"> </w:t>
      </w:r>
      <w:r w:rsidR="00001C1C" w:rsidRPr="00A8415C">
        <w:t>IFPEN, Tableau de bord des biocarburan</w:t>
      </w:r>
      <w:r w:rsidR="00001C1C">
        <w:t xml:space="preserve">ts 2023, </w:t>
      </w:r>
      <w:hyperlink r:id="rId7" w:history="1">
        <w:r w:rsidR="00001C1C" w:rsidRPr="00001C1C">
          <w:rPr>
            <w:rStyle w:val="Lienhypertexte"/>
          </w:rPr>
          <w:t>Tableau de bord biocarburants 2023 | IFPEN</w:t>
        </w:r>
      </w:hyperlink>
    </w:p>
  </w:footnote>
  <w:footnote w:id="22">
    <w:p w14:paraId="73DE8EB8" w14:textId="32064F26" w:rsidR="00B34A1B" w:rsidRPr="00A8415C" w:rsidRDefault="007F25AF">
      <w:pPr>
        <w:pStyle w:val="Notedebasdepage"/>
        <w:rPr>
          <w:b/>
          <w:lang w:val="en-US"/>
        </w:rPr>
      </w:pPr>
      <w:r>
        <w:rPr>
          <w:rStyle w:val="Appelnotedebasdep"/>
        </w:rPr>
        <w:footnoteRef/>
      </w:r>
      <w:r w:rsidRPr="00A8415C">
        <w:rPr>
          <w:lang w:val="en-US"/>
        </w:rPr>
        <w:t xml:space="preserve"> </w:t>
      </w:r>
      <w:r w:rsidR="00181127" w:rsidRPr="00A8415C">
        <w:rPr>
          <w:lang w:val="en-US"/>
        </w:rPr>
        <w:t xml:space="preserve">S&amp;P, 2024, </w:t>
      </w:r>
      <w:r w:rsidR="00181127" w:rsidRPr="00181127">
        <w:rPr>
          <w:b/>
          <w:bCs/>
          <w:lang w:val="en-US"/>
        </w:rPr>
        <w:t>Aviation, maritime demand to fuel global biofuel feedstock race by 2030</w:t>
      </w:r>
      <w:r w:rsidR="00181127">
        <w:rPr>
          <w:b/>
          <w:bCs/>
          <w:lang w:val="en-US"/>
        </w:rPr>
        <w:t>,</w:t>
      </w:r>
      <w:r w:rsidR="00181127" w:rsidRPr="00A8415C">
        <w:rPr>
          <w:sz w:val="22"/>
          <w:szCs w:val="22"/>
          <w:lang w:val="en-US"/>
        </w:rPr>
        <w:t xml:space="preserve"> </w:t>
      </w:r>
      <w:hyperlink r:id="rId8" w:history="1">
        <w:r w:rsidR="00181127" w:rsidRPr="00A8415C">
          <w:rPr>
            <w:rStyle w:val="Lienhypertexte"/>
            <w:b/>
            <w:bCs/>
            <w:lang w:val="en-US"/>
          </w:rPr>
          <w:t>Aviation, maritime demand to fuel global biofuel feedstock race by 2030 | S&amp;P Global Commodity Insights</w:t>
        </w:r>
      </w:hyperlink>
    </w:p>
  </w:footnote>
  <w:footnote w:id="23">
    <w:p w14:paraId="37AD5413" w14:textId="1ECB2548" w:rsidR="00B34A1B" w:rsidRPr="00A8415C" w:rsidRDefault="00B34A1B">
      <w:pPr>
        <w:pStyle w:val="Notedebasdepage"/>
        <w:rPr>
          <w:lang w:val="en-US"/>
        </w:rPr>
      </w:pPr>
    </w:p>
  </w:footnote>
  <w:footnote w:id="24">
    <w:p w14:paraId="5036CC65" w14:textId="61B94138" w:rsidR="00B04F4D" w:rsidRPr="00A8415C" w:rsidRDefault="00B04F4D">
      <w:pPr>
        <w:pStyle w:val="Notedebasdepage"/>
        <w:rPr>
          <w:lang w:val="en-US"/>
        </w:rPr>
      </w:pPr>
      <w:r>
        <w:rPr>
          <w:rStyle w:val="Appelnotedebasdep"/>
        </w:rPr>
        <w:footnoteRef/>
      </w:r>
      <w:r w:rsidRPr="00A8415C">
        <w:rPr>
          <w:lang w:val="en-US"/>
        </w:rPr>
        <w:t xml:space="preserve"> </w:t>
      </w:r>
      <w:r w:rsidR="00EA2D3B">
        <w:rPr>
          <w:lang w:val="en-US"/>
        </w:rPr>
        <w:t>DNV, Energy Transition Outlook 2024, Maritim Forecast 2050</w:t>
      </w:r>
    </w:p>
  </w:footnote>
  <w:footnote w:id="25">
    <w:p w14:paraId="2F4DBE1A" w14:textId="0D45BDD0" w:rsidR="00775990" w:rsidRPr="00A8415C" w:rsidRDefault="00775990">
      <w:pPr>
        <w:pStyle w:val="Notedebasdepage"/>
        <w:rPr>
          <w:b/>
          <w:lang w:val="en-US"/>
        </w:rPr>
      </w:pPr>
      <w:r>
        <w:rPr>
          <w:rStyle w:val="Appelnotedebasdep"/>
        </w:rPr>
        <w:footnoteRef/>
      </w:r>
      <w:r w:rsidRPr="00A8415C">
        <w:rPr>
          <w:lang w:val="en-US"/>
        </w:rPr>
        <w:t xml:space="preserve"> S&amp;P</w:t>
      </w:r>
      <w:r w:rsidR="00305A56">
        <w:rPr>
          <w:lang w:val="en-US"/>
        </w:rPr>
        <w:t xml:space="preserve">, 2024, </w:t>
      </w:r>
      <w:r w:rsidR="009607F1" w:rsidRPr="009607F1">
        <w:rPr>
          <w:b/>
          <w:bCs/>
          <w:lang w:val="en-US"/>
        </w:rPr>
        <w:t>Key considerations in Financing</w:t>
      </w:r>
      <w:r w:rsidR="009607F1" w:rsidRPr="009607F1">
        <w:rPr>
          <w:bCs/>
          <w:lang w:val="en-US"/>
        </w:rPr>
        <w:br/>
      </w:r>
      <w:r w:rsidR="009607F1" w:rsidRPr="009607F1">
        <w:rPr>
          <w:b/>
          <w:bCs/>
          <w:lang w:val="en-US"/>
        </w:rPr>
        <w:t>Biofuels related investments</w:t>
      </w:r>
      <w:r w:rsidR="00D63869">
        <w:rPr>
          <w:b/>
          <w:bCs/>
          <w:lang w:val="en-US"/>
        </w:rPr>
        <w:t xml:space="preserve">, </w:t>
      </w:r>
      <w:hyperlink r:id="rId9" w:history="1">
        <w:r w:rsidR="00D63869" w:rsidRPr="00A8415C">
          <w:rPr>
            <w:rStyle w:val="Lienhypertexte"/>
            <w:b/>
            <w:bCs/>
            <w:lang w:val="en-US"/>
          </w:rPr>
          <w:t>Financing Biofuels Related Investments | S&amp;P Global</w:t>
        </w:r>
      </w:hyperlink>
    </w:p>
  </w:footnote>
  <w:footnote w:id="26">
    <w:p w14:paraId="553D5E38" w14:textId="3F51C9AE" w:rsidR="000518D6" w:rsidRPr="00A8415C" w:rsidRDefault="000518D6">
      <w:pPr>
        <w:pStyle w:val="Notedebasdepage"/>
        <w:rPr>
          <w:lang w:val="en-US"/>
        </w:rPr>
      </w:pPr>
      <w:r>
        <w:rPr>
          <w:rStyle w:val="Appelnotedebasdep"/>
        </w:rPr>
        <w:footnoteRef/>
      </w:r>
      <w:r w:rsidRPr="00A8415C">
        <w:rPr>
          <w:lang w:val="en-US"/>
        </w:rPr>
        <w:t xml:space="preserve"> EU RED-III Guidelines, 2023</w:t>
      </w:r>
    </w:p>
  </w:footnote>
  <w:footnote w:id="27">
    <w:p w14:paraId="2BE86E9B" w14:textId="23F6AC9E" w:rsidR="00A74383" w:rsidRPr="00A8415C" w:rsidRDefault="00A74383">
      <w:pPr>
        <w:pStyle w:val="Notedebasdepage"/>
        <w:rPr>
          <w:lang w:val="en-US"/>
        </w:rPr>
      </w:pPr>
      <w:r>
        <w:rPr>
          <w:rStyle w:val="Appelnotedebasdep"/>
        </w:rPr>
        <w:footnoteRef/>
      </w:r>
      <w:r w:rsidRPr="00A8415C">
        <w:rPr>
          <w:lang w:val="en-US"/>
        </w:rPr>
        <w:t xml:space="preserve"> </w:t>
      </w:r>
      <w:r w:rsidR="00882E06" w:rsidRPr="00A8415C">
        <w:rPr>
          <w:lang w:val="en-US"/>
        </w:rPr>
        <w:t xml:space="preserve">IEA Bioenergy, </w:t>
      </w:r>
      <w:r w:rsidR="00084ABD" w:rsidRPr="00A8415C">
        <w:rPr>
          <w:lang w:val="en-US"/>
        </w:rPr>
        <w:t>2013,</w:t>
      </w:r>
      <w:r w:rsidR="00882E06" w:rsidRPr="00A8415C">
        <w:rPr>
          <w:lang w:val="en-US"/>
        </w:rPr>
        <w:t xml:space="preserve"> Bioenergy, Land Use Change and Climate Change Mitigation</w:t>
      </w:r>
    </w:p>
  </w:footnote>
  <w:footnote w:id="28">
    <w:p w14:paraId="5F589936" w14:textId="77777777" w:rsidR="00F97C0F" w:rsidRPr="00805DB2" w:rsidRDefault="00F97C0F" w:rsidP="00F97C0F">
      <w:pPr>
        <w:pStyle w:val="Notedebasdepage"/>
        <w:rPr>
          <w:lang w:val="en-US"/>
        </w:rPr>
      </w:pPr>
      <w:r>
        <w:rPr>
          <w:rStyle w:val="Appelnotedebasdep"/>
        </w:rPr>
        <w:footnoteRef/>
      </w:r>
      <w:r w:rsidRPr="00805DB2">
        <w:rPr>
          <w:lang w:val="en-US"/>
        </w:rPr>
        <w:t xml:space="preserve"> </w:t>
      </w:r>
      <w:r>
        <w:rPr>
          <w:lang w:val="en-US"/>
        </w:rPr>
        <w:t>DNV, Energy Transition Outlook 2024, Maritim Forecast 2050</w:t>
      </w:r>
    </w:p>
  </w:footnote>
  <w:footnote w:id="29">
    <w:p w14:paraId="3760E032" w14:textId="77777777" w:rsidR="008B6A94" w:rsidRPr="00E82CF6" w:rsidRDefault="008B6A94" w:rsidP="008B6A94">
      <w:pPr>
        <w:pStyle w:val="Notedebasdepage"/>
        <w:rPr>
          <w:lang w:val="en-US"/>
        </w:rPr>
      </w:pPr>
      <w:r>
        <w:rPr>
          <w:rStyle w:val="Appelnotedebasdep"/>
        </w:rPr>
        <w:footnoteRef/>
      </w:r>
      <w:r w:rsidRPr="00E82CF6">
        <w:rPr>
          <w:lang w:val="en-US"/>
        </w:rPr>
        <w:t xml:space="preserve"> </w:t>
      </w:r>
      <w:r>
        <w:rPr>
          <w:lang w:val="en-US"/>
        </w:rPr>
        <w:t>DNV, Energy Transition Outlook 2024, Maritim Forecast 2050</w:t>
      </w:r>
    </w:p>
  </w:footnote>
  <w:footnote w:id="30">
    <w:p w14:paraId="4F4C8354" w14:textId="2FBC3952" w:rsidR="0019382C" w:rsidRPr="007D4985" w:rsidRDefault="0019382C">
      <w:pPr>
        <w:pStyle w:val="Notedebasdepage"/>
        <w:rPr>
          <w:sz w:val="16"/>
          <w:szCs w:val="16"/>
          <w:lang w:val="en-US"/>
        </w:rPr>
      </w:pPr>
      <w:r w:rsidRPr="007D4985">
        <w:rPr>
          <w:rStyle w:val="Appelnotedebasdep"/>
          <w:sz w:val="16"/>
          <w:szCs w:val="16"/>
        </w:rPr>
        <w:footnoteRef/>
      </w:r>
      <w:r w:rsidRPr="007D4985">
        <w:rPr>
          <w:sz w:val="16"/>
          <w:szCs w:val="16"/>
          <w:lang w:val="en-US"/>
        </w:rPr>
        <w:t xml:space="preserve"> </w:t>
      </w:r>
      <w:r w:rsidR="00A40D61" w:rsidRPr="007D4985">
        <w:rPr>
          <w:sz w:val="16"/>
          <w:szCs w:val="16"/>
          <w:lang w:val="en-US"/>
        </w:rPr>
        <w:t>IEA</w:t>
      </w:r>
      <w:r w:rsidR="006D0FBE" w:rsidRPr="007D4985">
        <w:rPr>
          <w:sz w:val="16"/>
          <w:szCs w:val="16"/>
          <w:lang w:val="en-US"/>
        </w:rPr>
        <w:t>, 2024, World Energy Outlook 2024</w:t>
      </w:r>
    </w:p>
  </w:footnote>
  <w:footnote w:id="31">
    <w:p w14:paraId="2C8B7022" w14:textId="521015E6" w:rsidR="00AA7643" w:rsidRPr="007D4985" w:rsidRDefault="00AA7643">
      <w:pPr>
        <w:pStyle w:val="Notedebasdepage"/>
        <w:rPr>
          <w:sz w:val="16"/>
          <w:szCs w:val="16"/>
          <w:lang w:val="en-US"/>
        </w:rPr>
      </w:pPr>
      <w:r w:rsidRPr="007D4985">
        <w:rPr>
          <w:rStyle w:val="Appelnotedebasdep"/>
          <w:sz w:val="16"/>
          <w:szCs w:val="16"/>
        </w:rPr>
        <w:footnoteRef/>
      </w:r>
      <w:r w:rsidRPr="007D4985">
        <w:rPr>
          <w:sz w:val="16"/>
          <w:szCs w:val="16"/>
          <w:lang w:val="en-US"/>
        </w:rPr>
        <w:t xml:space="preserve"> STEPS</w:t>
      </w:r>
      <w:r w:rsidR="001E691E" w:rsidRPr="007D4985">
        <w:rPr>
          <w:sz w:val="16"/>
          <w:szCs w:val="16"/>
          <w:lang w:val="en-US"/>
        </w:rPr>
        <w:t>: IEA</w:t>
      </w:r>
      <w:r w:rsidRPr="007D4985">
        <w:rPr>
          <w:sz w:val="16"/>
          <w:szCs w:val="16"/>
          <w:lang w:val="en-US"/>
        </w:rPr>
        <w:t xml:space="preserve"> scenario</w:t>
      </w:r>
      <w:r w:rsidR="001E691E" w:rsidRPr="007D4985">
        <w:rPr>
          <w:sz w:val="16"/>
          <w:szCs w:val="16"/>
          <w:lang w:val="en-US"/>
        </w:rPr>
        <w:t xml:space="preserve"> c</w:t>
      </w:r>
      <w:r w:rsidR="00573278" w:rsidRPr="007D4985">
        <w:rPr>
          <w:sz w:val="16"/>
          <w:szCs w:val="16"/>
          <w:lang w:val="en-US"/>
        </w:rPr>
        <w:t xml:space="preserve">onsidering </w:t>
      </w:r>
      <w:r w:rsidR="00AD6CFB" w:rsidRPr="007D4985">
        <w:rPr>
          <w:sz w:val="16"/>
          <w:szCs w:val="16"/>
          <w:lang w:val="en-US"/>
        </w:rPr>
        <w:t>current policy landscape</w:t>
      </w:r>
    </w:p>
  </w:footnote>
  <w:footnote w:id="32">
    <w:p w14:paraId="2AB2F59D" w14:textId="79D5A88A" w:rsidR="00532818" w:rsidRPr="00532818" w:rsidRDefault="00532818">
      <w:pPr>
        <w:pStyle w:val="Notedebasdepage"/>
        <w:rPr>
          <w:lang w:val="en-US"/>
        </w:rPr>
      </w:pPr>
      <w:r w:rsidRPr="007D4985">
        <w:rPr>
          <w:rStyle w:val="Appelnotedebasdep"/>
          <w:sz w:val="16"/>
          <w:szCs w:val="16"/>
        </w:rPr>
        <w:footnoteRef/>
      </w:r>
      <w:r w:rsidRPr="007D4985">
        <w:rPr>
          <w:sz w:val="16"/>
          <w:szCs w:val="16"/>
          <w:lang w:val="en-US"/>
        </w:rPr>
        <w:t xml:space="preserve"> </w:t>
      </w:r>
      <w:r w:rsidR="007D4985">
        <w:rPr>
          <w:sz w:val="16"/>
          <w:szCs w:val="16"/>
          <w:lang w:val="en-US"/>
        </w:rPr>
        <w:t xml:space="preserve">Advanced economies in IEA: </w:t>
      </w:r>
      <w:r w:rsidR="00E63486" w:rsidRPr="007D4985">
        <w:rPr>
          <w:sz w:val="16"/>
          <w:szCs w:val="16"/>
          <w:lang w:val="en-US"/>
        </w:rPr>
        <w:t>OECD regional grouping and Bulgaria</w:t>
      </w:r>
      <w:r w:rsidR="007D4985" w:rsidRPr="007D4985">
        <w:rPr>
          <w:sz w:val="16"/>
          <w:szCs w:val="16"/>
          <w:lang w:val="en-US"/>
        </w:rPr>
        <w:t>, Croatia, Cyprus, Malta and Romania</w:t>
      </w:r>
    </w:p>
  </w:footnote>
  <w:footnote w:id="33">
    <w:p w14:paraId="20D05634" w14:textId="610AD748" w:rsidR="00B025F4" w:rsidRPr="00A8415C" w:rsidRDefault="00B025F4">
      <w:pPr>
        <w:pStyle w:val="Notedebasdepage"/>
        <w:rPr>
          <w:lang w:val="en-US"/>
        </w:rPr>
      </w:pPr>
      <w:r>
        <w:rPr>
          <w:rStyle w:val="Appelnotedebasdep"/>
        </w:rPr>
        <w:footnoteRef/>
      </w:r>
      <w:r w:rsidRPr="00A8415C">
        <w:rPr>
          <w:lang w:val="en-US"/>
        </w:rPr>
        <w:t xml:space="preserve"> </w:t>
      </w:r>
      <w:r w:rsidRPr="007D4985">
        <w:rPr>
          <w:sz w:val="16"/>
          <w:szCs w:val="16"/>
          <w:lang w:val="en-US"/>
        </w:rPr>
        <w:t>IEA, 2024, World Energy Outlook 2024</w:t>
      </w:r>
    </w:p>
  </w:footnote>
  <w:footnote w:id="34">
    <w:p w14:paraId="3EC0FEB0" w14:textId="519BAB9E" w:rsidR="00AA0922" w:rsidRPr="00AA0922" w:rsidRDefault="00AA0922">
      <w:pPr>
        <w:pStyle w:val="Notedebasdepage"/>
        <w:rPr>
          <w:lang w:val="en-US"/>
        </w:rPr>
      </w:pPr>
      <w:r>
        <w:rPr>
          <w:rStyle w:val="Appelnotedebasdep"/>
        </w:rPr>
        <w:footnoteRef/>
      </w:r>
      <w:r w:rsidRPr="00AA0922">
        <w:rPr>
          <w:lang w:val="en-US"/>
        </w:rPr>
        <w:t xml:space="preserve"> </w:t>
      </w:r>
      <w:r w:rsidR="00BA452B" w:rsidRPr="00F338F2">
        <w:rPr>
          <w:sz w:val="16"/>
          <w:szCs w:val="16"/>
          <w:lang w:val="en-US"/>
        </w:rPr>
        <w:t xml:space="preserve">BP, </w:t>
      </w:r>
      <w:r w:rsidR="00F338F2" w:rsidRPr="00F338F2">
        <w:rPr>
          <w:sz w:val="16"/>
          <w:szCs w:val="16"/>
          <w:lang w:val="en-US"/>
        </w:rPr>
        <w:t>2024, Energy Outlook 2024</w:t>
      </w:r>
    </w:p>
  </w:footnote>
  <w:footnote w:id="35">
    <w:p w14:paraId="6E3EFE76" w14:textId="1AA0B001" w:rsidR="00D9295B" w:rsidRPr="00D9295B" w:rsidRDefault="00D9295B">
      <w:pPr>
        <w:pStyle w:val="Notedebasdepage"/>
        <w:rPr>
          <w:lang w:val="en-US"/>
        </w:rPr>
      </w:pPr>
      <w:r w:rsidRPr="00D9295B">
        <w:rPr>
          <w:rStyle w:val="Appelnotedebasdep"/>
          <w:sz w:val="16"/>
          <w:szCs w:val="16"/>
        </w:rPr>
        <w:footnoteRef/>
      </w:r>
      <w:r w:rsidRPr="00D9295B">
        <w:rPr>
          <w:sz w:val="16"/>
          <w:szCs w:val="16"/>
          <w:lang w:val="en-US"/>
        </w:rPr>
        <w:t xml:space="preserve"> IEA, 2024, Energy Outlook 2024</w:t>
      </w:r>
    </w:p>
  </w:footnote>
  <w:footnote w:id="36">
    <w:p w14:paraId="42C0D892" w14:textId="4A27D016" w:rsidR="006702B7" w:rsidRPr="006702B7" w:rsidRDefault="006702B7">
      <w:pPr>
        <w:pStyle w:val="Notedebasdepage"/>
        <w:rPr>
          <w:lang w:val="en-US"/>
        </w:rPr>
      </w:pPr>
      <w:r w:rsidRPr="006702B7">
        <w:rPr>
          <w:rStyle w:val="Appelnotedebasdep"/>
          <w:sz w:val="16"/>
          <w:szCs w:val="16"/>
        </w:rPr>
        <w:footnoteRef/>
      </w:r>
      <w:r w:rsidRPr="006702B7">
        <w:rPr>
          <w:sz w:val="16"/>
          <w:szCs w:val="16"/>
          <w:lang w:val="en-US"/>
        </w:rPr>
        <w:t xml:space="preserve"> BP, 2024, Energy Outlook</w:t>
      </w:r>
    </w:p>
  </w:footnote>
  <w:footnote w:id="37">
    <w:p w14:paraId="22B0D864" w14:textId="3B5C1B8D" w:rsidR="001072F5" w:rsidRPr="008E31B3" w:rsidRDefault="001072F5">
      <w:pPr>
        <w:pStyle w:val="Notedebasdepage"/>
        <w:rPr>
          <w:lang w:val="en-US"/>
        </w:rPr>
      </w:pPr>
      <w:r w:rsidRPr="007F3170">
        <w:rPr>
          <w:rStyle w:val="Appelnotedebasdep"/>
          <w:sz w:val="16"/>
          <w:szCs w:val="16"/>
        </w:rPr>
        <w:footnoteRef/>
      </w:r>
      <w:r w:rsidRPr="007F3170">
        <w:rPr>
          <w:sz w:val="16"/>
          <w:szCs w:val="16"/>
          <w:lang w:val="en-US"/>
        </w:rPr>
        <w:t xml:space="preserve"> </w:t>
      </w:r>
      <w:r w:rsidR="00550D2B" w:rsidRPr="007F3170">
        <w:rPr>
          <w:sz w:val="16"/>
          <w:szCs w:val="16"/>
          <w:lang w:val="en-US"/>
        </w:rPr>
        <w:t>Europe, North America</w:t>
      </w:r>
      <w:r w:rsidR="007F3170" w:rsidRPr="007F3170">
        <w:rPr>
          <w:sz w:val="16"/>
          <w:szCs w:val="16"/>
          <w:lang w:val="en-US"/>
        </w:rPr>
        <w:t xml:space="preserve">, </w:t>
      </w:r>
      <w:r w:rsidR="00A332CA" w:rsidRPr="007F3170">
        <w:rPr>
          <w:sz w:val="16"/>
          <w:szCs w:val="16"/>
          <w:lang w:val="en-US"/>
        </w:rPr>
        <w:t>OECD</w:t>
      </w:r>
      <w:r w:rsidR="00886BD6" w:rsidRPr="007F3170">
        <w:rPr>
          <w:sz w:val="16"/>
          <w:szCs w:val="16"/>
          <w:lang w:val="en-US"/>
        </w:rPr>
        <w:t xml:space="preserve"> Asia</w:t>
      </w:r>
      <w:r w:rsidR="007F3170" w:rsidRPr="007F3170">
        <w:rPr>
          <w:sz w:val="16"/>
          <w:szCs w:val="16"/>
          <w:lang w:val="en-US"/>
        </w:rPr>
        <w:t xml:space="preserve"> and other high income Asian countries</w:t>
      </w:r>
    </w:p>
  </w:footnote>
  <w:footnote w:id="38">
    <w:p w14:paraId="6C31320E" w14:textId="085039CF" w:rsidR="009E4D18" w:rsidRPr="009E4D18" w:rsidRDefault="009E4D18">
      <w:pPr>
        <w:pStyle w:val="Notedebasdepage"/>
        <w:rPr>
          <w:lang w:val="en-US"/>
        </w:rPr>
      </w:pPr>
      <w:r w:rsidRPr="00CF6143">
        <w:rPr>
          <w:rStyle w:val="Appelnotedebasdep"/>
          <w:sz w:val="16"/>
          <w:szCs w:val="16"/>
        </w:rPr>
        <w:footnoteRef/>
      </w:r>
      <w:r w:rsidRPr="00CF6143">
        <w:rPr>
          <w:sz w:val="16"/>
          <w:szCs w:val="16"/>
          <w:lang w:val="en-US"/>
        </w:rPr>
        <w:t xml:space="preserve"> </w:t>
      </w:r>
      <w:r w:rsidR="00CF6143" w:rsidRPr="00CF6143">
        <w:rPr>
          <w:sz w:val="16"/>
          <w:szCs w:val="16"/>
          <w:lang w:val="en-US"/>
        </w:rPr>
        <w:t>All geographies not included in developed economies</w:t>
      </w:r>
    </w:p>
  </w:footnote>
  <w:footnote w:id="39">
    <w:p w14:paraId="357E34B4" w14:textId="049B39A2" w:rsidR="00BA69C7" w:rsidRPr="00AD10AE" w:rsidRDefault="00BA69C7">
      <w:pPr>
        <w:pStyle w:val="Notedebasdepage"/>
        <w:rPr>
          <w:lang w:val="en-US"/>
        </w:rPr>
      </w:pPr>
      <w:r w:rsidRPr="00A8415C">
        <w:rPr>
          <w:rStyle w:val="Appelnotedebasdep"/>
          <w:sz w:val="16"/>
          <w:szCs w:val="16"/>
        </w:rPr>
        <w:footnoteRef/>
      </w:r>
      <w:r w:rsidRPr="00A8415C">
        <w:rPr>
          <w:sz w:val="16"/>
          <w:szCs w:val="16"/>
          <w:lang w:val="en-US"/>
        </w:rPr>
        <w:t xml:space="preserve"> </w:t>
      </w:r>
      <w:hyperlink r:id="rId10" w:history="1">
        <w:r w:rsidR="00244B93" w:rsidRPr="00A8415C">
          <w:rPr>
            <w:rStyle w:val="Lienhypertexte"/>
            <w:sz w:val="16"/>
            <w:szCs w:val="16"/>
            <w:lang w:val="en-US"/>
          </w:rPr>
          <w:t>Global Wind Atlas</w:t>
        </w:r>
      </w:hyperlink>
    </w:p>
  </w:footnote>
  <w:footnote w:id="40">
    <w:p w14:paraId="52C5425F" w14:textId="35CCA4C3" w:rsidR="007F24CA" w:rsidRPr="00E67F51" w:rsidRDefault="007F24CA">
      <w:pPr>
        <w:pStyle w:val="Notedebasdepage"/>
        <w:rPr>
          <w:lang w:val="en-US"/>
        </w:rPr>
      </w:pPr>
      <w:r>
        <w:rPr>
          <w:rStyle w:val="Appelnotedebasdep"/>
        </w:rPr>
        <w:footnoteRef/>
      </w:r>
      <w:r w:rsidRPr="00E67F51">
        <w:rPr>
          <w:lang w:val="en-US"/>
        </w:rPr>
        <w:t xml:space="preserve"> Flooding data are not available f</w:t>
      </w:r>
      <w:r>
        <w:rPr>
          <w:lang w:val="en-US"/>
        </w:rPr>
        <w:t>or 2040.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0642D9" w14:textId="230031E4" w:rsidR="00E466A6" w:rsidRPr="00A8415C" w:rsidRDefault="007251C4" w:rsidP="00993FC5">
    <w:pPr>
      <w:pStyle w:val="En-tte"/>
      <w:spacing w:line="240" w:lineRule="auto"/>
      <w:jc w:val="center"/>
      <w:rPr>
        <w:rFonts w:ascii="EYInterstate Light" w:hAnsi="EYInterstate Light"/>
        <w:b/>
        <w:sz w:val="14"/>
        <w:szCs w:val="14"/>
        <w:lang w:val="en-US"/>
      </w:rPr>
    </w:pPr>
    <w:r w:rsidRPr="00A8415C">
      <w:rPr>
        <w:rFonts w:ascii="EYInterstate Light" w:hAnsi="EYInterstate Light"/>
        <w:b/>
        <w:color w:val="000000" w:themeColor="text1"/>
        <w:sz w:val="14"/>
        <w:szCs w:val="14"/>
        <w:lang w:val="en-US"/>
      </w:rPr>
      <w:t xml:space="preserve">ASCO – </w:t>
    </w:r>
    <w:r w:rsidR="00F96B59" w:rsidRPr="00A8415C">
      <w:rPr>
        <w:rFonts w:ascii="EYInterstate Light" w:hAnsi="EYInterstate Light"/>
        <w:noProof/>
        <w:sz w:val="14"/>
        <w:szCs w:val="14"/>
      </w:rPr>
      <mc:AlternateContent>
        <mc:Choice Requires="wps">
          <w:drawing>
            <wp:anchor distT="45720" distB="45720" distL="114300" distR="114300" simplePos="0" relativeHeight="251658240" behindDoc="1" locked="0" layoutInCell="1" allowOverlap="1" wp14:anchorId="244E2FB4" wp14:editId="2E6B7CBD">
              <wp:simplePos x="0" y="0"/>
              <wp:positionH relativeFrom="margin">
                <wp:align>center</wp:align>
              </wp:positionH>
              <wp:positionV relativeFrom="paragraph">
                <wp:posOffset>3688483</wp:posOffset>
              </wp:positionV>
              <wp:extent cx="7926705" cy="1404620"/>
              <wp:effectExtent l="2057718" t="56832" r="2151062" b="55563"/>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479011">
                        <a:off x="0" y="0"/>
                        <a:ext cx="7926705" cy="1404620"/>
                      </a:xfrm>
                      <a:prstGeom prst="rect">
                        <a:avLst/>
                      </a:prstGeom>
                      <a:solidFill>
                        <a:srgbClr val="FFFFFF"/>
                      </a:solidFill>
                      <a:ln w="9525">
                        <a:noFill/>
                        <a:miter lim="800000"/>
                        <a:headEnd/>
                        <a:tailEnd/>
                      </a:ln>
                    </wps:spPr>
                    <wps:txbx>
                      <w:txbxContent>
                        <w:p w14:paraId="42B55FA1" w14:textId="77777777" w:rsidR="00F96B59" w:rsidRPr="00A6756F" w:rsidRDefault="00F96B59" w:rsidP="00F96B59">
                          <w:pPr>
                            <w:spacing w:after="0"/>
                            <w:jc w:val="center"/>
                            <w:rPr>
                              <w:color w:val="E7E6E6" w:themeColor="background2"/>
                              <w:sz w:val="340"/>
                              <w:szCs w:val="340"/>
                            </w:rPr>
                          </w:pPr>
                          <w:r w:rsidRPr="00A6756F">
                            <w:rPr>
                              <w:color w:val="E7E6E6" w:themeColor="background2"/>
                              <w:sz w:val="340"/>
                              <w:szCs w:val="340"/>
                            </w:rPr>
                            <w:t>DRAFT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244E2FB4" id="_x0000_t202" coordsize="21600,21600" o:spt="202" path="m,l,21600r21600,l21600,xe">
              <v:stroke joinstyle="miter"/>
              <v:path gradientshapeok="t" o:connecttype="rect"/>
            </v:shapetype>
            <v:shape id="Text Box 7" o:spid="_x0000_s1029" type="#_x0000_t202" style="position:absolute;left:0;text-align:left;margin-left:0;margin-top:290.45pt;width:624.15pt;height:110.6pt;rotation:-3408952fd;z-index:-25165824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" stroked="f">
              <v:textbox style="mso-fit-shape-to-text:t">
                <w:txbxContent>
                  <w:p w14:paraId="42B55FA1" w14:textId="77777777" w:rsidR="00F96B59" w:rsidRPr="00A6756F" w:rsidRDefault="00F96B59" w:rsidP="00F96B59">
                    <w:pPr>
                      <w:spacing w:after="0"/>
                      <w:jc w:val="center"/>
                      <w:rPr>
                        <w:color w:val="E7E6E6" w:themeColor="background2"/>
                        <w:sz w:val="340"/>
                        <w:szCs w:val="340"/>
                      </w:rPr>
                    </w:pPr>
                    <w:r w:rsidRPr="00A6756F">
                      <w:rPr>
                        <w:color w:val="E7E6E6" w:themeColor="background2"/>
                        <w:sz w:val="340"/>
                        <w:szCs w:val="340"/>
                      </w:rPr>
                      <w:t>DRAFT</w:t>
                    </w:r>
                  </w:p>
                </w:txbxContent>
              </v:textbox>
              <w10:wrap anchorx="margin"/>
            </v:shape>
          </w:pict>
        </mc:Fallback>
      </mc:AlternateContent>
    </w:r>
    <w:r w:rsidR="000034D9" w:rsidRPr="00A8415C">
      <w:rPr>
        <w:rFonts w:ascii="EYInterstate Light" w:hAnsi="EYInterstate Light"/>
        <w:b/>
        <w:color w:val="000000" w:themeColor="text1"/>
        <w:sz w:val="14"/>
        <w:szCs w:val="14"/>
        <w:lang w:val="en-US"/>
      </w:rPr>
      <w:t>Corporate Climate Governance: Climate risk Scenario Analysis, Action Plan and Initial Climate Risk Dis</w:t>
    </w:r>
    <w:r w:rsidR="009C033A" w:rsidRPr="00A8415C">
      <w:rPr>
        <w:rFonts w:ascii="EYInterstate Light" w:hAnsi="EYInterstate Light"/>
        <w:b/>
        <w:color w:val="000000" w:themeColor="text1"/>
        <w:sz w:val="14"/>
        <w:szCs w:val="14"/>
        <w:lang w:val="en-US"/>
      </w:rPr>
      <w:t>closure</w:t>
    </w:r>
  </w:p>
  <w:p w14:paraId="1824BD31" w14:textId="77777777" w:rsidR="007251C4" w:rsidRPr="00E70CAB" w:rsidRDefault="007251C4" w:rsidP="007251C4">
    <w:pPr>
      <w:pStyle w:val="En-tte"/>
      <w:spacing w:line="240" w:lineRule="auto"/>
      <w:rPr>
        <w:rFonts w:ascii="EYInterstate Light" w:hAnsi="EYInterstate Light"/>
        <w:b/>
        <w:bCs/>
        <w:color w:val="000000" w:themeColor="text1"/>
        <w:sz w:val="22"/>
        <w:szCs w:val="22"/>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57EA5"/>
    <w:multiLevelType w:val="multilevel"/>
    <w:tmpl w:val="84623152"/>
    <w:lvl w:ilvl="0">
      <w:start w:val="1"/>
      <w:numFmt w:val="bullet"/>
      <w:lvlText w:val=""/>
      <w:lvlJc w:val="left"/>
      <w:pPr>
        <w:ind w:left="720" w:hanging="360"/>
      </w:pPr>
      <w:rPr>
        <w:rFonts w:ascii="Symbol" w:hAnsi="Symbol" w:hint="default"/>
      </w:rPr>
    </w:lvl>
    <w:lvl w:ilvl="1">
      <w:start w:val="1"/>
      <w:numFmt w:val="decimal"/>
      <w:isLgl/>
      <w:lvlText w:val="%1.%2"/>
      <w:lvlJc w:val="left"/>
      <w:pPr>
        <w:ind w:left="1080" w:hanging="360"/>
      </w:pPr>
      <w:rPr>
        <w:rFonts w:hint="default"/>
      </w:rPr>
    </w:lvl>
    <w:lvl w:ilvl="2">
      <w:start w:val="1"/>
      <w:numFmt w:val="bullet"/>
      <w:lvlText w:val=""/>
      <w:lvlJc w:val="left"/>
      <w:pPr>
        <w:ind w:left="1440" w:hanging="360"/>
      </w:pPr>
      <w:rPr>
        <w:rFonts w:ascii="Symbol" w:hAnsi="Symbol"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 w15:restartNumberingAfterBreak="0">
    <w:nsid w:val="02424999"/>
    <w:multiLevelType w:val="hybridMultilevel"/>
    <w:tmpl w:val="529220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5C514A8"/>
    <w:multiLevelType w:val="multilevel"/>
    <w:tmpl w:val="E70EB92C"/>
    <w:lvl w:ilvl="0">
      <w:start w:val="1"/>
      <w:numFmt w:val="decimal"/>
      <w:lvlRestart w:val="0"/>
      <w:pStyle w:val="EYHeading1"/>
      <w:lvlText w:val="%1."/>
      <w:lvlJc w:val="left"/>
      <w:pPr>
        <w:ind w:left="851" w:hanging="851"/>
      </w:pPr>
      <w:rPr>
        <w:rFonts w:ascii="Arial" w:hAnsi="Arial" w:cs="Arial" w:hint="default"/>
        <w:b/>
        <w:i w:val="0"/>
        <w:color w:val="7F7E82"/>
        <w:sz w:val="32"/>
      </w:rPr>
    </w:lvl>
    <w:lvl w:ilvl="1">
      <w:start w:val="1"/>
      <w:numFmt w:val="decimal"/>
      <w:pStyle w:val="EYHeading2"/>
      <w:lvlText w:val="%1.%2"/>
      <w:lvlJc w:val="left"/>
      <w:pPr>
        <w:tabs>
          <w:tab w:val="num" w:pos="0"/>
        </w:tabs>
        <w:ind w:left="851" w:hanging="851"/>
      </w:pPr>
      <w:rPr>
        <w:rFonts w:ascii="Arial" w:hAnsi="Arial" w:cs="Arial" w:hint="default"/>
        <w:b/>
        <w:i w:val="0"/>
        <w:color w:val="000000"/>
        <w:sz w:val="28"/>
      </w:rPr>
    </w:lvl>
    <w:lvl w:ilvl="2">
      <w:start w:val="1"/>
      <w:numFmt w:val="decimal"/>
      <w:pStyle w:val="EYHeading3"/>
      <w:lvlText w:val="%1.%2.%3"/>
      <w:lvlJc w:val="left"/>
      <w:pPr>
        <w:tabs>
          <w:tab w:val="num" w:pos="426"/>
        </w:tabs>
        <w:ind w:left="1277" w:hanging="851"/>
      </w:pPr>
      <w:rPr>
        <w:rFonts w:ascii="Arial" w:hAnsi="Arial" w:cs="Arial" w:hint="default"/>
        <w:b/>
        <w:i w:val="0"/>
        <w:color w:val="000000"/>
        <w:sz w:val="26"/>
      </w:rPr>
    </w:lvl>
    <w:lvl w:ilvl="3">
      <w:start w:val="1"/>
      <w:numFmt w:val="decimal"/>
      <w:pStyle w:val="EYHeading4"/>
      <w:lvlText w:val="%1.%2.%3.%4"/>
      <w:lvlJc w:val="left"/>
      <w:pPr>
        <w:tabs>
          <w:tab w:val="num" w:pos="0"/>
        </w:tabs>
        <w:ind w:left="851" w:hanging="851"/>
      </w:pPr>
      <w:rPr>
        <w:rFonts w:ascii="Arial" w:hAnsi="Arial" w:cs="Arial" w:hint="default"/>
        <w:b/>
        <w:i w:val="0"/>
        <w:color w:val="000000"/>
        <w:sz w:val="22"/>
      </w:rPr>
    </w:lvl>
    <w:lvl w:ilvl="4">
      <w:start w:val="1"/>
      <w:numFmt w:val="none"/>
      <w:lvlText w:val=""/>
      <w:lvlJc w:val="left"/>
      <w:pPr>
        <w:tabs>
          <w:tab w:val="num" w:pos="0"/>
        </w:tabs>
        <w:ind w:left="851" w:hanging="851"/>
      </w:pPr>
      <w:rPr>
        <w:rFonts w:hint="default"/>
      </w:rPr>
    </w:lvl>
    <w:lvl w:ilvl="5">
      <w:start w:val="1"/>
      <w:numFmt w:val="none"/>
      <w:lvlText w:val=""/>
      <w:lvlJc w:val="left"/>
      <w:pPr>
        <w:tabs>
          <w:tab w:val="num" w:pos="0"/>
        </w:tabs>
        <w:ind w:left="851" w:hanging="851"/>
      </w:pPr>
      <w:rPr>
        <w:rFonts w:hint="default"/>
      </w:rPr>
    </w:lvl>
    <w:lvl w:ilvl="6">
      <w:start w:val="1"/>
      <w:numFmt w:val="none"/>
      <w:lvlText w:val=""/>
      <w:lvlJc w:val="left"/>
      <w:pPr>
        <w:tabs>
          <w:tab w:val="num" w:pos="0"/>
        </w:tabs>
        <w:ind w:left="851" w:hanging="851"/>
      </w:pPr>
      <w:rPr>
        <w:rFonts w:hint="default"/>
      </w:rPr>
    </w:lvl>
    <w:lvl w:ilvl="7">
      <w:start w:val="1"/>
      <w:numFmt w:val="none"/>
      <w:lvlText w:val=""/>
      <w:lvlJc w:val="left"/>
      <w:pPr>
        <w:tabs>
          <w:tab w:val="num" w:pos="0"/>
        </w:tabs>
        <w:ind w:left="851" w:hanging="851"/>
      </w:pPr>
      <w:rPr>
        <w:rFonts w:hint="default"/>
      </w:rPr>
    </w:lvl>
    <w:lvl w:ilvl="8">
      <w:start w:val="1"/>
      <w:numFmt w:val="none"/>
      <w:lvlText w:val=""/>
      <w:lvlJc w:val="left"/>
      <w:pPr>
        <w:tabs>
          <w:tab w:val="num" w:pos="0"/>
        </w:tabs>
        <w:ind w:left="851" w:hanging="851"/>
      </w:pPr>
      <w:rPr>
        <w:rFonts w:hint="default"/>
      </w:rPr>
    </w:lvl>
  </w:abstractNum>
  <w:abstractNum w:abstractNumId="3" w15:restartNumberingAfterBreak="0">
    <w:nsid w:val="078A6616"/>
    <w:multiLevelType w:val="hybridMultilevel"/>
    <w:tmpl w:val="8F58CE6E"/>
    <w:lvl w:ilvl="0" w:tplc="05003F88">
      <w:start w:val="3"/>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7A20658"/>
    <w:multiLevelType w:val="hybridMultilevel"/>
    <w:tmpl w:val="0636C88C"/>
    <w:lvl w:ilvl="0" w:tplc="FFFFFFFF">
      <w:start w:val="1"/>
      <w:numFmt w:val="lowerRoman"/>
      <w:lvlText w:val="%1."/>
      <w:lvlJc w:val="right"/>
      <w:pPr>
        <w:ind w:left="1596" w:hanging="180"/>
      </w:pPr>
    </w:lvl>
    <w:lvl w:ilvl="1" w:tplc="04090019">
      <w:start w:val="1"/>
      <w:numFmt w:val="lowerLetter"/>
      <w:lvlText w:val="%2."/>
      <w:lvlJc w:val="left"/>
      <w:pPr>
        <w:ind w:left="876" w:hanging="360"/>
      </w:pPr>
    </w:lvl>
    <w:lvl w:ilvl="2" w:tplc="0409001B" w:tentative="1">
      <w:start w:val="1"/>
      <w:numFmt w:val="lowerRoman"/>
      <w:lvlText w:val="%3."/>
      <w:lvlJc w:val="right"/>
      <w:pPr>
        <w:ind w:left="1596" w:hanging="180"/>
      </w:pPr>
    </w:lvl>
    <w:lvl w:ilvl="3" w:tplc="0409000F" w:tentative="1">
      <w:start w:val="1"/>
      <w:numFmt w:val="decimal"/>
      <w:lvlText w:val="%4."/>
      <w:lvlJc w:val="left"/>
      <w:pPr>
        <w:ind w:left="2316" w:hanging="360"/>
      </w:pPr>
    </w:lvl>
    <w:lvl w:ilvl="4" w:tplc="04090019" w:tentative="1">
      <w:start w:val="1"/>
      <w:numFmt w:val="lowerLetter"/>
      <w:lvlText w:val="%5."/>
      <w:lvlJc w:val="left"/>
      <w:pPr>
        <w:ind w:left="3036" w:hanging="360"/>
      </w:pPr>
    </w:lvl>
    <w:lvl w:ilvl="5" w:tplc="0409001B" w:tentative="1">
      <w:start w:val="1"/>
      <w:numFmt w:val="lowerRoman"/>
      <w:lvlText w:val="%6."/>
      <w:lvlJc w:val="right"/>
      <w:pPr>
        <w:ind w:left="3756" w:hanging="180"/>
      </w:pPr>
    </w:lvl>
    <w:lvl w:ilvl="6" w:tplc="0409000F" w:tentative="1">
      <w:start w:val="1"/>
      <w:numFmt w:val="decimal"/>
      <w:lvlText w:val="%7."/>
      <w:lvlJc w:val="left"/>
      <w:pPr>
        <w:ind w:left="4476" w:hanging="360"/>
      </w:pPr>
    </w:lvl>
    <w:lvl w:ilvl="7" w:tplc="04090019" w:tentative="1">
      <w:start w:val="1"/>
      <w:numFmt w:val="lowerLetter"/>
      <w:lvlText w:val="%8."/>
      <w:lvlJc w:val="left"/>
      <w:pPr>
        <w:ind w:left="5196" w:hanging="360"/>
      </w:pPr>
    </w:lvl>
    <w:lvl w:ilvl="8" w:tplc="0409001B" w:tentative="1">
      <w:start w:val="1"/>
      <w:numFmt w:val="lowerRoman"/>
      <w:lvlText w:val="%9."/>
      <w:lvlJc w:val="right"/>
      <w:pPr>
        <w:ind w:left="5916" w:hanging="180"/>
      </w:pPr>
    </w:lvl>
  </w:abstractNum>
  <w:abstractNum w:abstractNumId="5" w15:restartNumberingAfterBreak="0">
    <w:nsid w:val="0954011A"/>
    <w:multiLevelType w:val="multilevel"/>
    <w:tmpl w:val="84FAF73C"/>
    <w:lvl w:ilvl="0">
      <w:start w:val="1"/>
      <w:numFmt w:val="decimal"/>
      <w:lvlText w:val="%1."/>
      <w:lvlJc w:val="left"/>
      <w:pPr>
        <w:ind w:left="720" w:hanging="360"/>
      </w:pPr>
      <w:rPr>
        <w:rFonts w:ascii="EYInterstate Light" w:eastAsiaTheme="majorEastAsia" w:hAnsi="EYInterstate Light" w:cstheme="majorBidi"/>
      </w:rPr>
    </w:lvl>
    <w:lvl w:ilvl="1">
      <w:start w:val="1"/>
      <w:numFmt w:val="decimal"/>
      <w:isLgl/>
      <w:lvlText w:val="%1.%2"/>
      <w:lvlJc w:val="left"/>
      <w:pPr>
        <w:ind w:left="927" w:hanging="360"/>
      </w:pPr>
      <w:rPr>
        <w:rFonts w:hint="default"/>
      </w:rPr>
    </w:lvl>
    <w:lvl w:ilvl="2">
      <w:start w:val="1"/>
      <w:numFmt w:val="decimal"/>
      <w:isLgl/>
      <w:lvlText w:val="%1.%2.%3"/>
      <w:lvlJc w:val="left"/>
      <w:pPr>
        <w:ind w:left="1800" w:hanging="720"/>
      </w:p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6" w15:restartNumberingAfterBreak="0">
    <w:nsid w:val="0BA16421"/>
    <w:multiLevelType w:val="hybridMultilevel"/>
    <w:tmpl w:val="2AA698B6"/>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0BD05B6C"/>
    <w:multiLevelType w:val="multilevel"/>
    <w:tmpl w:val="F4EA7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BDA6E6C"/>
    <w:multiLevelType w:val="hybridMultilevel"/>
    <w:tmpl w:val="1FA07F78"/>
    <w:lvl w:ilvl="0" w:tplc="F628F254">
      <w:start w:val="9"/>
      <w:numFmt w:val="lowerLetter"/>
      <w:lvlText w:val="%1."/>
      <w:lvlJc w:val="left"/>
      <w:pPr>
        <w:ind w:left="1776" w:hanging="360"/>
      </w:pPr>
      <w:rPr>
        <w:rFonts w:hint="default"/>
      </w:rPr>
    </w:lvl>
    <w:lvl w:ilvl="1" w:tplc="04090019" w:tentative="1">
      <w:start w:val="1"/>
      <w:numFmt w:val="lowerLetter"/>
      <w:lvlText w:val="%2."/>
      <w:lvlJc w:val="left"/>
      <w:pPr>
        <w:ind w:left="2496" w:hanging="360"/>
      </w:pPr>
    </w:lvl>
    <w:lvl w:ilvl="2" w:tplc="0409001B" w:tentative="1">
      <w:start w:val="1"/>
      <w:numFmt w:val="lowerRoman"/>
      <w:lvlText w:val="%3."/>
      <w:lvlJc w:val="right"/>
      <w:pPr>
        <w:ind w:left="3216" w:hanging="180"/>
      </w:pPr>
    </w:lvl>
    <w:lvl w:ilvl="3" w:tplc="0409000F" w:tentative="1">
      <w:start w:val="1"/>
      <w:numFmt w:val="decimal"/>
      <w:lvlText w:val="%4."/>
      <w:lvlJc w:val="left"/>
      <w:pPr>
        <w:ind w:left="3936" w:hanging="360"/>
      </w:pPr>
    </w:lvl>
    <w:lvl w:ilvl="4" w:tplc="04090019" w:tentative="1">
      <w:start w:val="1"/>
      <w:numFmt w:val="lowerLetter"/>
      <w:lvlText w:val="%5."/>
      <w:lvlJc w:val="left"/>
      <w:pPr>
        <w:ind w:left="4656" w:hanging="360"/>
      </w:pPr>
    </w:lvl>
    <w:lvl w:ilvl="5" w:tplc="0409001B" w:tentative="1">
      <w:start w:val="1"/>
      <w:numFmt w:val="lowerRoman"/>
      <w:lvlText w:val="%6."/>
      <w:lvlJc w:val="right"/>
      <w:pPr>
        <w:ind w:left="5376" w:hanging="180"/>
      </w:pPr>
    </w:lvl>
    <w:lvl w:ilvl="6" w:tplc="0409000F" w:tentative="1">
      <w:start w:val="1"/>
      <w:numFmt w:val="decimal"/>
      <w:lvlText w:val="%7."/>
      <w:lvlJc w:val="left"/>
      <w:pPr>
        <w:ind w:left="6096" w:hanging="360"/>
      </w:pPr>
    </w:lvl>
    <w:lvl w:ilvl="7" w:tplc="04090019" w:tentative="1">
      <w:start w:val="1"/>
      <w:numFmt w:val="lowerLetter"/>
      <w:lvlText w:val="%8."/>
      <w:lvlJc w:val="left"/>
      <w:pPr>
        <w:ind w:left="6816" w:hanging="360"/>
      </w:pPr>
    </w:lvl>
    <w:lvl w:ilvl="8" w:tplc="0409001B" w:tentative="1">
      <w:start w:val="1"/>
      <w:numFmt w:val="lowerRoman"/>
      <w:lvlText w:val="%9."/>
      <w:lvlJc w:val="right"/>
      <w:pPr>
        <w:ind w:left="7536" w:hanging="180"/>
      </w:pPr>
    </w:lvl>
  </w:abstractNum>
  <w:abstractNum w:abstractNumId="9" w15:restartNumberingAfterBreak="0">
    <w:nsid w:val="0DF93C91"/>
    <w:multiLevelType w:val="hybridMultilevel"/>
    <w:tmpl w:val="95A43626"/>
    <w:lvl w:ilvl="0" w:tplc="040C0019">
      <w:start w:val="1"/>
      <w:numFmt w:val="lowerLetter"/>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0" w15:restartNumberingAfterBreak="0">
    <w:nsid w:val="10856268"/>
    <w:multiLevelType w:val="multilevel"/>
    <w:tmpl w:val="3B3A85F0"/>
    <w:lvl w:ilvl="0">
      <w:start w:val="1"/>
      <w:numFmt w:val="bullet"/>
      <w:lvlText w:val=""/>
      <w:lvlJc w:val="left"/>
      <w:pPr>
        <w:ind w:left="720" w:hanging="360"/>
      </w:pPr>
      <w:rPr>
        <w:rFonts w:ascii="Symbol" w:hAnsi="Symbol"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1" w15:restartNumberingAfterBreak="0">
    <w:nsid w:val="10B10931"/>
    <w:multiLevelType w:val="hybridMultilevel"/>
    <w:tmpl w:val="B172D2C6"/>
    <w:lvl w:ilvl="0" w:tplc="51CC5EC4">
      <w:start w:val="1"/>
      <w:numFmt w:val="bullet"/>
      <w:lvlText w:val="•"/>
      <w:lvlJc w:val="left"/>
      <w:pPr>
        <w:ind w:left="720" w:hanging="360"/>
      </w:pPr>
      <w:rPr>
        <w:rFonts w:ascii="EYInterstate" w:hAnsi="EYInterstate" w:hint="default"/>
        <w:strike w:val="0"/>
        <w:color w:val="FFC000"/>
        <w:sz w:val="22"/>
        <w:szCs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1C45201"/>
    <w:multiLevelType w:val="hybridMultilevel"/>
    <w:tmpl w:val="8F10F7A6"/>
    <w:lvl w:ilvl="0" w:tplc="040C000F">
      <w:start w:val="1"/>
      <w:numFmt w:val="decimal"/>
      <w:lvlText w:val="%1."/>
      <w:lvlJc w:val="left"/>
      <w:pPr>
        <w:ind w:left="720" w:hanging="360"/>
      </w:pPr>
    </w:lvl>
    <w:lvl w:ilvl="1" w:tplc="040C0019">
      <w:start w:val="1"/>
      <w:numFmt w:val="lowerLetter"/>
      <w:lvlText w:val="%2."/>
      <w:lvlJc w:val="left"/>
      <w:pPr>
        <w:ind w:left="192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15F162ED"/>
    <w:multiLevelType w:val="hybridMultilevel"/>
    <w:tmpl w:val="17E8699A"/>
    <w:lvl w:ilvl="0" w:tplc="7D86E652">
      <w:start w:val="1"/>
      <w:numFmt w:val="bullet"/>
      <w:lvlText w:val=""/>
      <w:lvlJc w:val="left"/>
      <w:pPr>
        <w:ind w:left="720" w:hanging="360"/>
      </w:pPr>
      <w:rPr>
        <w:rFonts w:ascii="Symbol" w:hAnsi="Symbol" w:hint="default"/>
        <w:b w:val="0"/>
        <w:i w:val="0"/>
        <w:sz w:val="1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6C66A24"/>
    <w:multiLevelType w:val="hybridMultilevel"/>
    <w:tmpl w:val="88CEBF1C"/>
    <w:lvl w:ilvl="0" w:tplc="E5800EAC">
      <w:start w:val="1"/>
      <w:numFmt w:val="bullet"/>
      <w:lvlText w:val="•"/>
      <w:lvlJc w:val="left"/>
      <w:pPr>
        <w:ind w:left="720" w:hanging="360"/>
      </w:pPr>
      <w:rPr>
        <w:rFonts w:ascii="EYInterstate" w:hAnsi="EYInterstate" w:hint="default"/>
        <w:color w:val="FFC000" w:themeColor="accent4"/>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16FE30E3"/>
    <w:multiLevelType w:val="hybridMultilevel"/>
    <w:tmpl w:val="6B263308"/>
    <w:lvl w:ilvl="0" w:tplc="7D86E652">
      <w:start w:val="1"/>
      <w:numFmt w:val="bullet"/>
      <w:lvlText w:val=""/>
      <w:lvlJc w:val="left"/>
      <w:pPr>
        <w:tabs>
          <w:tab w:val="num" w:pos="720"/>
        </w:tabs>
        <w:ind w:left="720" w:hanging="360"/>
      </w:pPr>
      <w:rPr>
        <w:rFonts w:ascii="Symbol" w:hAnsi="Symbol" w:hint="default"/>
        <w:b w:val="0"/>
        <w:i w:val="0"/>
        <w:sz w:val="16"/>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207E49D5"/>
    <w:multiLevelType w:val="hybridMultilevel"/>
    <w:tmpl w:val="76D8B86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2148792F"/>
    <w:multiLevelType w:val="hybridMultilevel"/>
    <w:tmpl w:val="8E4ECF18"/>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8" w15:restartNumberingAfterBreak="0">
    <w:nsid w:val="25AF605D"/>
    <w:multiLevelType w:val="multilevel"/>
    <w:tmpl w:val="16A89F48"/>
    <w:lvl w:ilvl="0">
      <w:start w:val="1"/>
      <w:numFmt w:val="bullet"/>
      <w:lvlText w:val="-"/>
      <w:lvlJc w:val="left"/>
      <w:pPr>
        <w:ind w:left="720" w:hanging="360"/>
      </w:pPr>
      <w:rPr>
        <w:rFonts w:ascii="Calibri" w:eastAsiaTheme="minorHAnsi" w:hAnsi="Calibri" w:cs="Calibri"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9" w15:restartNumberingAfterBreak="0">
    <w:nsid w:val="268B655F"/>
    <w:multiLevelType w:val="hybridMultilevel"/>
    <w:tmpl w:val="7C9A89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29207A86"/>
    <w:multiLevelType w:val="hybridMultilevel"/>
    <w:tmpl w:val="5EA082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2AFD63F8"/>
    <w:multiLevelType w:val="hybridMultilevel"/>
    <w:tmpl w:val="31A62668"/>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2ED55189"/>
    <w:multiLevelType w:val="hybridMultilevel"/>
    <w:tmpl w:val="6728FB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33051489"/>
    <w:multiLevelType w:val="hybridMultilevel"/>
    <w:tmpl w:val="FD2AB9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33C84DBA"/>
    <w:multiLevelType w:val="hybridMultilevel"/>
    <w:tmpl w:val="4CEAFE04"/>
    <w:lvl w:ilvl="0" w:tplc="51CC5EC4">
      <w:start w:val="1"/>
      <w:numFmt w:val="bullet"/>
      <w:lvlText w:val="•"/>
      <w:lvlJc w:val="left"/>
      <w:pPr>
        <w:ind w:left="720" w:hanging="360"/>
      </w:pPr>
      <w:rPr>
        <w:rFonts w:ascii="EYInterstate" w:hAnsi="EYInterstate" w:hint="default"/>
        <w:strike w:val="0"/>
        <w:color w:val="FFC000"/>
        <w:sz w:val="22"/>
        <w:szCs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59C500D"/>
    <w:multiLevelType w:val="hybridMultilevel"/>
    <w:tmpl w:val="AC70D6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36E82F77"/>
    <w:multiLevelType w:val="hybridMultilevel"/>
    <w:tmpl w:val="6638E4D2"/>
    <w:lvl w:ilvl="0" w:tplc="040C001B">
      <w:start w:val="1"/>
      <w:numFmt w:val="lowerRoman"/>
      <w:lvlText w:val="%1."/>
      <w:lvlJc w:val="right"/>
      <w:pPr>
        <w:ind w:left="1881"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5C4D38"/>
    <w:multiLevelType w:val="hybridMultilevel"/>
    <w:tmpl w:val="3CE8FA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48076FC5"/>
    <w:multiLevelType w:val="multilevel"/>
    <w:tmpl w:val="6EB48188"/>
    <w:lvl w:ilvl="0">
      <w:start w:val="1"/>
      <w:numFmt w:val="decimal"/>
      <w:lvlText w:val="%1."/>
      <w:lvlJc w:val="left"/>
      <w:pPr>
        <w:ind w:left="720" w:hanging="360"/>
      </w:pPr>
      <w:rPr>
        <w:rFonts w:ascii="EYInterstate Light" w:eastAsiaTheme="majorEastAsia" w:hAnsi="EYInterstate Light" w:cstheme="majorBidi"/>
      </w:rPr>
    </w:lvl>
    <w:lvl w:ilvl="1">
      <w:start w:val="1"/>
      <w:numFmt w:val="decimal"/>
      <w:pStyle w:val="Titre21"/>
      <w:isLgl/>
      <w:lvlText w:val="%1.%2"/>
      <w:lvlJc w:val="left"/>
      <w:pPr>
        <w:ind w:left="927" w:hanging="360"/>
      </w:pPr>
      <w:rPr>
        <w:rFonts w:hint="default"/>
      </w:rPr>
    </w:lvl>
    <w:lvl w:ilvl="2">
      <w:start w:val="1"/>
      <w:numFmt w:val="decimal"/>
      <w:pStyle w:val="Soussoustitre"/>
      <w:isLgl/>
      <w:lvlText w:val="%1.%2.%3"/>
      <w:lvlJc w:val="left"/>
      <w:pPr>
        <w:ind w:left="1800" w:hanging="720"/>
      </w:p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9" w15:restartNumberingAfterBreak="0">
    <w:nsid w:val="49A04FB5"/>
    <w:multiLevelType w:val="hybridMultilevel"/>
    <w:tmpl w:val="AE64E7CC"/>
    <w:lvl w:ilvl="0" w:tplc="E5800EAC">
      <w:start w:val="1"/>
      <w:numFmt w:val="bullet"/>
      <w:lvlText w:val="•"/>
      <w:lvlJc w:val="left"/>
      <w:pPr>
        <w:ind w:left="720" w:hanging="360"/>
      </w:pPr>
      <w:rPr>
        <w:rFonts w:ascii="EYInterstate" w:hAnsi="EYInterstate" w:hint="default"/>
        <w:color w:val="FFC000" w:themeColor="accent4"/>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4F6511C1"/>
    <w:multiLevelType w:val="hybridMultilevel"/>
    <w:tmpl w:val="AB44EA54"/>
    <w:lvl w:ilvl="0" w:tplc="DD86E30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4FF231CB"/>
    <w:multiLevelType w:val="multilevel"/>
    <w:tmpl w:val="3B3A85F0"/>
    <w:lvl w:ilvl="0">
      <w:start w:val="1"/>
      <w:numFmt w:val="bullet"/>
      <w:lvlText w:val=""/>
      <w:lvlJc w:val="left"/>
      <w:pPr>
        <w:ind w:left="720" w:hanging="360"/>
      </w:pPr>
      <w:rPr>
        <w:rFonts w:ascii="Symbol" w:hAnsi="Symbol"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2" w15:restartNumberingAfterBreak="0">
    <w:nsid w:val="50B60D4D"/>
    <w:multiLevelType w:val="hybridMultilevel"/>
    <w:tmpl w:val="6102E0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544D577A"/>
    <w:multiLevelType w:val="hybridMultilevel"/>
    <w:tmpl w:val="F71CB1EE"/>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1EF474E"/>
    <w:multiLevelType w:val="multilevel"/>
    <w:tmpl w:val="87E6E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26E5704"/>
    <w:multiLevelType w:val="hybridMultilevel"/>
    <w:tmpl w:val="DCB0C6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B5B4B10"/>
    <w:multiLevelType w:val="hybridMultilevel"/>
    <w:tmpl w:val="EABA8896"/>
    <w:lvl w:ilvl="0" w:tplc="E5800EAC">
      <w:start w:val="1"/>
      <w:numFmt w:val="bullet"/>
      <w:lvlText w:val="•"/>
      <w:lvlJc w:val="left"/>
      <w:pPr>
        <w:ind w:left="720" w:hanging="360"/>
      </w:pPr>
      <w:rPr>
        <w:rFonts w:ascii="EYInterstate" w:hAnsi="EYInterstate" w:hint="default"/>
        <w:color w:val="FFC000" w:themeColor="accent4"/>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6B96353E"/>
    <w:multiLevelType w:val="hybridMultilevel"/>
    <w:tmpl w:val="9266EA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6BCC2E2D"/>
    <w:multiLevelType w:val="hybridMultilevel"/>
    <w:tmpl w:val="D81AD92E"/>
    <w:lvl w:ilvl="0" w:tplc="F6827176">
      <w:start w:val="4"/>
      <w:numFmt w:val="bullet"/>
      <w:lvlText w:val=""/>
      <w:lvlJc w:val="left"/>
      <w:pPr>
        <w:ind w:left="720" w:hanging="360"/>
      </w:pPr>
      <w:rPr>
        <w:rFonts w:ascii="Wingdings" w:eastAsiaTheme="minorHAnsi" w:hAnsi="Wingdings" w:cs="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6E4B0B45"/>
    <w:multiLevelType w:val="hybridMultilevel"/>
    <w:tmpl w:val="254E8A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6F39329E"/>
    <w:multiLevelType w:val="hybridMultilevel"/>
    <w:tmpl w:val="1512C044"/>
    <w:lvl w:ilvl="0" w:tplc="E5800EAC">
      <w:start w:val="1"/>
      <w:numFmt w:val="bullet"/>
      <w:lvlText w:val="•"/>
      <w:lvlJc w:val="left"/>
      <w:pPr>
        <w:ind w:left="360" w:hanging="360"/>
      </w:pPr>
      <w:rPr>
        <w:rFonts w:ascii="EYInterstate" w:hAnsi="EYInterstate" w:hint="default"/>
        <w:color w:val="FFC000" w:themeColor="accent4"/>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6FF42718"/>
    <w:multiLevelType w:val="multilevel"/>
    <w:tmpl w:val="3B3A85F0"/>
    <w:lvl w:ilvl="0">
      <w:start w:val="1"/>
      <w:numFmt w:val="bullet"/>
      <w:lvlText w:val=""/>
      <w:lvlJc w:val="left"/>
      <w:pPr>
        <w:ind w:left="720" w:hanging="360"/>
      </w:pPr>
      <w:rPr>
        <w:rFonts w:ascii="Symbol" w:hAnsi="Symbol"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2" w15:restartNumberingAfterBreak="0">
    <w:nsid w:val="74C577E8"/>
    <w:multiLevelType w:val="hybridMultilevel"/>
    <w:tmpl w:val="D8A6E7B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15:restartNumberingAfterBreak="0">
    <w:nsid w:val="76E6370B"/>
    <w:multiLevelType w:val="hybridMultilevel"/>
    <w:tmpl w:val="FB9C56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78257E52"/>
    <w:multiLevelType w:val="hybridMultilevel"/>
    <w:tmpl w:val="DFCE6412"/>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 w15:restartNumberingAfterBreak="0">
    <w:nsid w:val="79533D4A"/>
    <w:multiLevelType w:val="hybridMultilevel"/>
    <w:tmpl w:val="61FA2714"/>
    <w:styleLink w:val="List411"/>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7C54748C"/>
    <w:multiLevelType w:val="hybridMultilevel"/>
    <w:tmpl w:val="F772848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712846512">
    <w:abstractNumId w:val="28"/>
  </w:num>
  <w:num w:numId="2" w16cid:durableId="405037001">
    <w:abstractNumId w:val="45"/>
  </w:num>
  <w:num w:numId="3" w16cid:durableId="473835445">
    <w:abstractNumId w:val="18"/>
  </w:num>
  <w:num w:numId="4" w16cid:durableId="1569534511">
    <w:abstractNumId w:val="38"/>
  </w:num>
  <w:num w:numId="5" w16cid:durableId="1823233892">
    <w:abstractNumId w:val="29"/>
  </w:num>
  <w:num w:numId="6" w16cid:durableId="1382750967">
    <w:abstractNumId w:val="25"/>
  </w:num>
  <w:num w:numId="7" w16cid:durableId="1737623967">
    <w:abstractNumId w:val="5"/>
  </w:num>
  <w:num w:numId="8" w16cid:durableId="1645816934">
    <w:abstractNumId w:val="21"/>
  </w:num>
  <w:num w:numId="9" w16cid:durableId="892470324">
    <w:abstractNumId w:val="43"/>
  </w:num>
  <w:num w:numId="10" w16cid:durableId="490101464">
    <w:abstractNumId w:val="37"/>
  </w:num>
  <w:num w:numId="11" w16cid:durableId="1782333969">
    <w:abstractNumId w:val="32"/>
  </w:num>
  <w:num w:numId="12" w16cid:durableId="1009525643">
    <w:abstractNumId w:val="15"/>
  </w:num>
  <w:num w:numId="13" w16cid:durableId="1903561675">
    <w:abstractNumId w:val="13"/>
  </w:num>
  <w:num w:numId="14" w16cid:durableId="314334198">
    <w:abstractNumId w:val="40"/>
  </w:num>
  <w:num w:numId="15" w16cid:durableId="186337868">
    <w:abstractNumId w:val="14"/>
  </w:num>
  <w:num w:numId="16" w16cid:durableId="603659264">
    <w:abstractNumId w:val="36"/>
  </w:num>
  <w:num w:numId="17" w16cid:durableId="462311148">
    <w:abstractNumId w:val="33"/>
  </w:num>
  <w:num w:numId="18" w16cid:durableId="639112384">
    <w:abstractNumId w:val="22"/>
  </w:num>
  <w:num w:numId="19" w16cid:durableId="579874038">
    <w:abstractNumId w:val="17"/>
  </w:num>
  <w:num w:numId="20" w16cid:durableId="1642728916">
    <w:abstractNumId w:val="20"/>
  </w:num>
  <w:num w:numId="21" w16cid:durableId="302320296">
    <w:abstractNumId w:val="3"/>
  </w:num>
  <w:num w:numId="22" w16cid:durableId="72745672">
    <w:abstractNumId w:val="30"/>
  </w:num>
  <w:num w:numId="23" w16cid:durableId="822046831">
    <w:abstractNumId w:val="12"/>
  </w:num>
  <w:num w:numId="24" w16cid:durableId="1662662602">
    <w:abstractNumId w:val="44"/>
  </w:num>
  <w:num w:numId="25" w16cid:durableId="2021616908">
    <w:abstractNumId w:val="26"/>
  </w:num>
  <w:num w:numId="26" w16cid:durableId="1740443816">
    <w:abstractNumId w:val="23"/>
  </w:num>
  <w:num w:numId="27" w16cid:durableId="742143353">
    <w:abstractNumId w:val="16"/>
  </w:num>
  <w:num w:numId="28" w16cid:durableId="643388017">
    <w:abstractNumId w:val="4"/>
  </w:num>
  <w:num w:numId="29" w16cid:durableId="1364134771">
    <w:abstractNumId w:val="8"/>
  </w:num>
  <w:num w:numId="30" w16cid:durableId="469398943">
    <w:abstractNumId w:val="19"/>
  </w:num>
  <w:num w:numId="31" w16cid:durableId="168183585">
    <w:abstractNumId w:val="39"/>
  </w:num>
  <w:num w:numId="32" w16cid:durableId="1010108722">
    <w:abstractNumId w:val="35"/>
  </w:num>
  <w:num w:numId="33" w16cid:durableId="1106581732">
    <w:abstractNumId w:val="6"/>
  </w:num>
  <w:num w:numId="34" w16cid:durableId="2064984690">
    <w:abstractNumId w:val="9"/>
  </w:num>
  <w:num w:numId="35" w16cid:durableId="78798219">
    <w:abstractNumId w:val="42"/>
  </w:num>
  <w:num w:numId="36" w16cid:durableId="1946645760">
    <w:abstractNumId w:val="7"/>
  </w:num>
  <w:num w:numId="37" w16cid:durableId="1683362235">
    <w:abstractNumId w:val="34"/>
  </w:num>
  <w:num w:numId="38" w16cid:durableId="1879008879">
    <w:abstractNumId w:val="46"/>
  </w:num>
  <w:num w:numId="39" w16cid:durableId="1850291253">
    <w:abstractNumId w:val="41"/>
  </w:num>
  <w:num w:numId="40" w16cid:durableId="1659652562">
    <w:abstractNumId w:val="24"/>
  </w:num>
  <w:num w:numId="41" w16cid:durableId="433404037">
    <w:abstractNumId w:val="11"/>
  </w:num>
  <w:num w:numId="42" w16cid:durableId="44648799">
    <w:abstractNumId w:val="10"/>
  </w:num>
  <w:num w:numId="43" w16cid:durableId="548029192">
    <w:abstractNumId w:val="31"/>
  </w:num>
  <w:num w:numId="44" w16cid:durableId="1680958882">
    <w:abstractNumId w:val="0"/>
  </w:num>
  <w:num w:numId="45" w16cid:durableId="2007316329">
    <w:abstractNumId w:val="1"/>
  </w:num>
  <w:num w:numId="46" w16cid:durableId="922301574">
    <w:abstractNumId w:val="27"/>
  </w:num>
  <w:num w:numId="47" w16cid:durableId="1377513155">
    <w:abstractNumId w:val="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B9A"/>
    <w:rsid w:val="00000909"/>
    <w:rsid w:val="00000FEF"/>
    <w:rsid w:val="00001C1C"/>
    <w:rsid w:val="00001C5A"/>
    <w:rsid w:val="0000247E"/>
    <w:rsid w:val="00002707"/>
    <w:rsid w:val="00002725"/>
    <w:rsid w:val="000033EE"/>
    <w:rsid w:val="000034D9"/>
    <w:rsid w:val="00003CDD"/>
    <w:rsid w:val="00003F33"/>
    <w:rsid w:val="00003F84"/>
    <w:rsid w:val="00004C3C"/>
    <w:rsid w:val="00004F1A"/>
    <w:rsid w:val="000054D4"/>
    <w:rsid w:val="00005B40"/>
    <w:rsid w:val="00005BA2"/>
    <w:rsid w:val="00005E0D"/>
    <w:rsid w:val="000064A0"/>
    <w:rsid w:val="00006729"/>
    <w:rsid w:val="0000692A"/>
    <w:rsid w:val="0000702B"/>
    <w:rsid w:val="000070E7"/>
    <w:rsid w:val="00007CD7"/>
    <w:rsid w:val="00010597"/>
    <w:rsid w:val="00010C3E"/>
    <w:rsid w:val="000111A7"/>
    <w:rsid w:val="00011849"/>
    <w:rsid w:val="000119A1"/>
    <w:rsid w:val="00011B11"/>
    <w:rsid w:val="0001252B"/>
    <w:rsid w:val="00012932"/>
    <w:rsid w:val="000129CA"/>
    <w:rsid w:val="00012E87"/>
    <w:rsid w:val="00013832"/>
    <w:rsid w:val="000138FE"/>
    <w:rsid w:val="00013F2B"/>
    <w:rsid w:val="0001409B"/>
    <w:rsid w:val="0001433B"/>
    <w:rsid w:val="00014A0B"/>
    <w:rsid w:val="00014B9B"/>
    <w:rsid w:val="000150A0"/>
    <w:rsid w:val="00015192"/>
    <w:rsid w:val="00015A7E"/>
    <w:rsid w:val="00015DF2"/>
    <w:rsid w:val="00015F8E"/>
    <w:rsid w:val="000165D4"/>
    <w:rsid w:val="00016972"/>
    <w:rsid w:val="0001736F"/>
    <w:rsid w:val="0001749C"/>
    <w:rsid w:val="00017940"/>
    <w:rsid w:val="00017E33"/>
    <w:rsid w:val="0002072A"/>
    <w:rsid w:val="00020886"/>
    <w:rsid w:val="00020DD5"/>
    <w:rsid w:val="00021DB7"/>
    <w:rsid w:val="00022490"/>
    <w:rsid w:val="000225C9"/>
    <w:rsid w:val="0002277D"/>
    <w:rsid w:val="00022E3E"/>
    <w:rsid w:val="0002309F"/>
    <w:rsid w:val="0002351C"/>
    <w:rsid w:val="00023571"/>
    <w:rsid w:val="00023CAE"/>
    <w:rsid w:val="00023FBF"/>
    <w:rsid w:val="00024629"/>
    <w:rsid w:val="000246C5"/>
    <w:rsid w:val="00024934"/>
    <w:rsid w:val="00024AF6"/>
    <w:rsid w:val="00024BAB"/>
    <w:rsid w:val="00024DB2"/>
    <w:rsid w:val="0002582B"/>
    <w:rsid w:val="00025D16"/>
    <w:rsid w:val="00025DF3"/>
    <w:rsid w:val="00026963"/>
    <w:rsid w:val="00026E8F"/>
    <w:rsid w:val="00026FBF"/>
    <w:rsid w:val="0002715E"/>
    <w:rsid w:val="0003013F"/>
    <w:rsid w:val="000306CB"/>
    <w:rsid w:val="000309A9"/>
    <w:rsid w:val="00031671"/>
    <w:rsid w:val="00031B6F"/>
    <w:rsid w:val="00031B80"/>
    <w:rsid w:val="000323BB"/>
    <w:rsid w:val="00032AF3"/>
    <w:rsid w:val="0003309B"/>
    <w:rsid w:val="0003347D"/>
    <w:rsid w:val="0003359D"/>
    <w:rsid w:val="00034131"/>
    <w:rsid w:val="000341DF"/>
    <w:rsid w:val="0003438A"/>
    <w:rsid w:val="00034DFC"/>
    <w:rsid w:val="00035340"/>
    <w:rsid w:val="00035508"/>
    <w:rsid w:val="00035D20"/>
    <w:rsid w:val="00036E5E"/>
    <w:rsid w:val="00036F3B"/>
    <w:rsid w:val="00037133"/>
    <w:rsid w:val="000404AE"/>
    <w:rsid w:val="000412AC"/>
    <w:rsid w:val="00041E4A"/>
    <w:rsid w:val="00042D5A"/>
    <w:rsid w:val="0004377D"/>
    <w:rsid w:val="00043BA7"/>
    <w:rsid w:val="00043F5D"/>
    <w:rsid w:val="000443A9"/>
    <w:rsid w:val="000444BA"/>
    <w:rsid w:val="000445A4"/>
    <w:rsid w:val="000449F0"/>
    <w:rsid w:val="00045029"/>
    <w:rsid w:val="000454E7"/>
    <w:rsid w:val="00045C61"/>
    <w:rsid w:val="0004657F"/>
    <w:rsid w:val="0004698E"/>
    <w:rsid w:val="00046C7C"/>
    <w:rsid w:val="00046E3E"/>
    <w:rsid w:val="00047101"/>
    <w:rsid w:val="000475E9"/>
    <w:rsid w:val="000478A6"/>
    <w:rsid w:val="000502F4"/>
    <w:rsid w:val="00050414"/>
    <w:rsid w:val="00050726"/>
    <w:rsid w:val="00050920"/>
    <w:rsid w:val="00050FBB"/>
    <w:rsid w:val="00051169"/>
    <w:rsid w:val="000518D6"/>
    <w:rsid w:val="00051A8A"/>
    <w:rsid w:val="00051BD0"/>
    <w:rsid w:val="00052061"/>
    <w:rsid w:val="000527FA"/>
    <w:rsid w:val="00052D63"/>
    <w:rsid w:val="00053BD1"/>
    <w:rsid w:val="0005435C"/>
    <w:rsid w:val="0005455C"/>
    <w:rsid w:val="0005461A"/>
    <w:rsid w:val="00054D9A"/>
    <w:rsid w:val="0005514F"/>
    <w:rsid w:val="00055666"/>
    <w:rsid w:val="000556BC"/>
    <w:rsid w:val="00055A7F"/>
    <w:rsid w:val="000563F9"/>
    <w:rsid w:val="00056597"/>
    <w:rsid w:val="00056713"/>
    <w:rsid w:val="00056775"/>
    <w:rsid w:val="00056E53"/>
    <w:rsid w:val="00057796"/>
    <w:rsid w:val="00057AC3"/>
    <w:rsid w:val="000600E4"/>
    <w:rsid w:val="00060201"/>
    <w:rsid w:val="000603D0"/>
    <w:rsid w:val="00060EDB"/>
    <w:rsid w:val="0006144D"/>
    <w:rsid w:val="000615AC"/>
    <w:rsid w:val="00062285"/>
    <w:rsid w:val="00062C14"/>
    <w:rsid w:val="00062E3D"/>
    <w:rsid w:val="0006332A"/>
    <w:rsid w:val="00064530"/>
    <w:rsid w:val="00064829"/>
    <w:rsid w:val="00065812"/>
    <w:rsid w:val="00065AAD"/>
    <w:rsid w:val="00065FBE"/>
    <w:rsid w:val="00066017"/>
    <w:rsid w:val="000662BC"/>
    <w:rsid w:val="000669B1"/>
    <w:rsid w:val="00066F08"/>
    <w:rsid w:val="0006718D"/>
    <w:rsid w:val="00070084"/>
    <w:rsid w:val="00070B58"/>
    <w:rsid w:val="000710FC"/>
    <w:rsid w:val="0007113A"/>
    <w:rsid w:val="000716AE"/>
    <w:rsid w:val="00071C56"/>
    <w:rsid w:val="00072E9F"/>
    <w:rsid w:val="0007324E"/>
    <w:rsid w:val="000735DB"/>
    <w:rsid w:val="00073A9A"/>
    <w:rsid w:val="00074CC5"/>
    <w:rsid w:val="000752D5"/>
    <w:rsid w:val="00075499"/>
    <w:rsid w:val="000763D4"/>
    <w:rsid w:val="00076516"/>
    <w:rsid w:val="0007658F"/>
    <w:rsid w:val="000765F2"/>
    <w:rsid w:val="000765F9"/>
    <w:rsid w:val="00076AB6"/>
    <w:rsid w:val="00076E87"/>
    <w:rsid w:val="0007713E"/>
    <w:rsid w:val="00080E2D"/>
    <w:rsid w:val="000813C0"/>
    <w:rsid w:val="000817C0"/>
    <w:rsid w:val="00081C2E"/>
    <w:rsid w:val="00081E23"/>
    <w:rsid w:val="000826B2"/>
    <w:rsid w:val="00083220"/>
    <w:rsid w:val="000836A1"/>
    <w:rsid w:val="000839F1"/>
    <w:rsid w:val="000848A0"/>
    <w:rsid w:val="00084A3E"/>
    <w:rsid w:val="00084ABD"/>
    <w:rsid w:val="000850CD"/>
    <w:rsid w:val="000852B2"/>
    <w:rsid w:val="00085A4C"/>
    <w:rsid w:val="00086027"/>
    <w:rsid w:val="00086106"/>
    <w:rsid w:val="00086201"/>
    <w:rsid w:val="000869E0"/>
    <w:rsid w:val="0008755E"/>
    <w:rsid w:val="00087DD8"/>
    <w:rsid w:val="0009008D"/>
    <w:rsid w:val="0009042D"/>
    <w:rsid w:val="0009045C"/>
    <w:rsid w:val="00091097"/>
    <w:rsid w:val="0009109D"/>
    <w:rsid w:val="00091111"/>
    <w:rsid w:val="000911FA"/>
    <w:rsid w:val="00091604"/>
    <w:rsid w:val="00091930"/>
    <w:rsid w:val="00091A9B"/>
    <w:rsid w:val="000925D8"/>
    <w:rsid w:val="000933BE"/>
    <w:rsid w:val="000933EC"/>
    <w:rsid w:val="00093605"/>
    <w:rsid w:val="00093949"/>
    <w:rsid w:val="00093DDA"/>
    <w:rsid w:val="00093EE9"/>
    <w:rsid w:val="0009401D"/>
    <w:rsid w:val="000940DD"/>
    <w:rsid w:val="00094E25"/>
    <w:rsid w:val="00094F49"/>
    <w:rsid w:val="0009591E"/>
    <w:rsid w:val="00095E79"/>
    <w:rsid w:val="0009649D"/>
    <w:rsid w:val="0009658D"/>
    <w:rsid w:val="000966AC"/>
    <w:rsid w:val="00097B65"/>
    <w:rsid w:val="00097B93"/>
    <w:rsid w:val="00097C41"/>
    <w:rsid w:val="000A08A6"/>
    <w:rsid w:val="000A0B94"/>
    <w:rsid w:val="000A0D9D"/>
    <w:rsid w:val="000A1064"/>
    <w:rsid w:val="000A14F1"/>
    <w:rsid w:val="000A189F"/>
    <w:rsid w:val="000A1F58"/>
    <w:rsid w:val="000A264B"/>
    <w:rsid w:val="000A3572"/>
    <w:rsid w:val="000A3757"/>
    <w:rsid w:val="000A55BE"/>
    <w:rsid w:val="000A5B3E"/>
    <w:rsid w:val="000A5DF2"/>
    <w:rsid w:val="000A6188"/>
    <w:rsid w:val="000A6951"/>
    <w:rsid w:val="000A6C11"/>
    <w:rsid w:val="000A6CEA"/>
    <w:rsid w:val="000A79D1"/>
    <w:rsid w:val="000A7B19"/>
    <w:rsid w:val="000A7F3E"/>
    <w:rsid w:val="000B0F6B"/>
    <w:rsid w:val="000B1D4B"/>
    <w:rsid w:val="000B248E"/>
    <w:rsid w:val="000B25B0"/>
    <w:rsid w:val="000B27F2"/>
    <w:rsid w:val="000B28A4"/>
    <w:rsid w:val="000B2B50"/>
    <w:rsid w:val="000B3030"/>
    <w:rsid w:val="000B312A"/>
    <w:rsid w:val="000B4A0E"/>
    <w:rsid w:val="000B4BAC"/>
    <w:rsid w:val="000B501B"/>
    <w:rsid w:val="000B51DF"/>
    <w:rsid w:val="000B5B37"/>
    <w:rsid w:val="000B5C1F"/>
    <w:rsid w:val="000B6160"/>
    <w:rsid w:val="000B66C3"/>
    <w:rsid w:val="000B6965"/>
    <w:rsid w:val="000C0DC7"/>
    <w:rsid w:val="000C1615"/>
    <w:rsid w:val="000C1A68"/>
    <w:rsid w:val="000C26F3"/>
    <w:rsid w:val="000C2B11"/>
    <w:rsid w:val="000C2ECA"/>
    <w:rsid w:val="000C3F0F"/>
    <w:rsid w:val="000C4E55"/>
    <w:rsid w:val="000C51DB"/>
    <w:rsid w:val="000C588D"/>
    <w:rsid w:val="000C5F83"/>
    <w:rsid w:val="000C6812"/>
    <w:rsid w:val="000C71BF"/>
    <w:rsid w:val="000C747D"/>
    <w:rsid w:val="000C75F1"/>
    <w:rsid w:val="000C7A48"/>
    <w:rsid w:val="000D026C"/>
    <w:rsid w:val="000D0275"/>
    <w:rsid w:val="000D078E"/>
    <w:rsid w:val="000D0A9A"/>
    <w:rsid w:val="000D0AFF"/>
    <w:rsid w:val="000D0B0C"/>
    <w:rsid w:val="000D0D52"/>
    <w:rsid w:val="000D19D1"/>
    <w:rsid w:val="000D1AD6"/>
    <w:rsid w:val="000D1C6E"/>
    <w:rsid w:val="000D2102"/>
    <w:rsid w:val="000D27A6"/>
    <w:rsid w:val="000D345E"/>
    <w:rsid w:val="000D3507"/>
    <w:rsid w:val="000D3552"/>
    <w:rsid w:val="000D35F9"/>
    <w:rsid w:val="000D3AA2"/>
    <w:rsid w:val="000D3BC4"/>
    <w:rsid w:val="000D3F5E"/>
    <w:rsid w:val="000D49BD"/>
    <w:rsid w:val="000D4A7A"/>
    <w:rsid w:val="000D5167"/>
    <w:rsid w:val="000D5452"/>
    <w:rsid w:val="000D59AF"/>
    <w:rsid w:val="000D5D00"/>
    <w:rsid w:val="000D6323"/>
    <w:rsid w:val="000D7399"/>
    <w:rsid w:val="000D73AE"/>
    <w:rsid w:val="000D79FB"/>
    <w:rsid w:val="000D7E81"/>
    <w:rsid w:val="000E048D"/>
    <w:rsid w:val="000E18A2"/>
    <w:rsid w:val="000E1D5A"/>
    <w:rsid w:val="000E2361"/>
    <w:rsid w:val="000E250B"/>
    <w:rsid w:val="000E2C71"/>
    <w:rsid w:val="000E3551"/>
    <w:rsid w:val="000E3773"/>
    <w:rsid w:val="000E3A26"/>
    <w:rsid w:val="000E3C85"/>
    <w:rsid w:val="000E3CAD"/>
    <w:rsid w:val="000E3D40"/>
    <w:rsid w:val="000E4923"/>
    <w:rsid w:val="000E4ABE"/>
    <w:rsid w:val="000E4C4A"/>
    <w:rsid w:val="000E4D40"/>
    <w:rsid w:val="000E4E9A"/>
    <w:rsid w:val="000E5130"/>
    <w:rsid w:val="000E55BE"/>
    <w:rsid w:val="000E5E57"/>
    <w:rsid w:val="000E6442"/>
    <w:rsid w:val="000E6934"/>
    <w:rsid w:val="000E736F"/>
    <w:rsid w:val="000E73E7"/>
    <w:rsid w:val="000E7A0C"/>
    <w:rsid w:val="000E7A87"/>
    <w:rsid w:val="000E7DBD"/>
    <w:rsid w:val="000E7F87"/>
    <w:rsid w:val="000F0DC7"/>
    <w:rsid w:val="000F180F"/>
    <w:rsid w:val="000F1AF3"/>
    <w:rsid w:val="000F1ECD"/>
    <w:rsid w:val="000F1FBC"/>
    <w:rsid w:val="000F2400"/>
    <w:rsid w:val="000F2893"/>
    <w:rsid w:val="000F2B09"/>
    <w:rsid w:val="000F2B5E"/>
    <w:rsid w:val="000F2D9F"/>
    <w:rsid w:val="000F3465"/>
    <w:rsid w:val="000F3A5A"/>
    <w:rsid w:val="000F4641"/>
    <w:rsid w:val="000F4EE6"/>
    <w:rsid w:val="000F536B"/>
    <w:rsid w:val="000F5E90"/>
    <w:rsid w:val="000F6D13"/>
    <w:rsid w:val="000F6DAD"/>
    <w:rsid w:val="000F73EA"/>
    <w:rsid w:val="000F7589"/>
    <w:rsid w:val="00100357"/>
    <w:rsid w:val="00100B21"/>
    <w:rsid w:val="00100C9A"/>
    <w:rsid w:val="00100D3E"/>
    <w:rsid w:val="00100D40"/>
    <w:rsid w:val="00101056"/>
    <w:rsid w:val="00101F31"/>
    <w:rsid w:val="00101F3F"/>
    <w:rsid w:val="00103AE0"/>
    <w:rsid w:val="00103B10"/>
    <w:rsid w:val="001047FB"/>
    <w:rsid w:val="001049E9"/>
    <w:rsid w:val="001055D5"/>
    <w:rsid w:val="00105D01"/>
    <w:rsid w:val="00106272"/>
    <w:rsid w:val="001066B5"/>
    <w:rsid w:val="00106861"/>
    <w:rsid w:val="001072F5"/>
    <w:rsid w:val="00107AD6"/>
    <w:rsid w:val="00107D57"/>
    <w:rsid w:val="00107F33"/>
    <w:rsid w:val="0011028F"/>
    <w:rsid w:val="001103CF"/>
    <w:rsid w:val="001104B6"/>
    <w:rsid w:val="001107A6"/>
    <w:rsid w:val="001107B4"/>
    <w:rsid w:val="0011170C"/>
    <w:rsid w:val="001117FD"/>
    <w:rsid w:val="00111AAC"/>
    <w:rsid w:val="00111C85"/>
    <w:rsid w:val="00111E8D"/>
    <w:rsid w:val="00112207"/>
    <w:rsid w:val="00112379"/>
    <w:rsid w:val="00112758"/>
    <w:rsid w:val="00112B8B"/>
    <w:rsid w:val="00112FCF"/>
    <w:rsid w:val="001130A0"/>
    <w:rsid w:val="00113E5A"/>
    <w:rsid w:val="00114CED"/>
    <w:rsid w:val="00114F4C"/>
    <w:rsid w:val="001150D0"/>
    <w:rsid w:val="001156B7"/>
    <w:rsid w:val="00115A7E"/>
    <w:rsid w:val="00115BCD"/>
    <w:rsid w:val="00116487"/>
    <w:rsid w:val="001166FD"/>
    <w:rsid w:val="0011688A"/>
    <w:rsid w:val="00117070"/>
    <w:rsid w:val="00117196"/>
    <w:rsid w:val="00117448"/>
    <w:rsid w:val="0011791B"/>
    <w:rsid w:val="001203C0"/>
    <w:rsid w:val="00121267"/>
    <w:rsid w:val="0012175E"/>
    <w:rsid w:val="00121B42"/>
    <w:rsid w:val="00121D3C"/>
    <w:rsid w:val="00122956"/>
    <w:rsid w:val="00122D5F"/>
    <w:rsid w:val="00123EA0"/>
    <w:rsid w:val="00123FEA"/>
    <w:rsid w:val="001248CE"/>
    <w:rsid w:val="00124AB2"/>
    <w:rsid w:val="00124FA1"/>
    <w:rsid w:val="001252C3"/>
    <w:rsid w:val="00125B4B"/>
    <w:rsid w:val="0012679F"/>
    <w:rsid w:val="001268CF"/>
    <w:rsid w:val="00126D61"/>
    <w:rsid w:val="00127207"/>
    <w:rsid w:val="00127586"/>
    <w:rsid w:val="00127967"/>
    <w:rsid w:val="0013009F"/>
    <w:rsid w:val="00130510"/>
    <w:rsid w:val="001308A0"/>
    <w:rsid w:val="00130FB9"/>
    <w:rsid w:val="001317D3"/>
    <w:rsid w:val="00131E9F"/>
    <w:rsid w:val="0013207D"/>
    <w:rsid w:val="00134362"/>
    <w:rsid w:val="00134B10"/>
    <w:rsid w:val="001354FA"/>
    <w:rsid w:val="00135C62"/>
    <w:rsid w:val="00135DE3"/>
    <w:rsid w:val="00136213"/>
    <w:rsid w:val="00136224"/>
    <w:rsid w:val="00137468"/>
    <w:rsid w:val="001379FC"/>
    <w:rsid w:val="001404D4"/>
    <w:rsid w:val="001409D8"/>
    <w:rsid w:val="00140A32"/>
    <w:rsid w:val="001416FD"/>
    <w:rsid w:val="001417FD"/>
    <w:rsid w:val="00142ED3"/>
    <w:rsid w:val="00143649"/>
    <w:rsid w:val="00143C97"/>
    <w:rsid w:val="00144194"/>
    <w:rsid w:val="001446C6"/>
    <w:rsid w:val="0014509C"/>
    <w:rsid w:val="0014527E"/>
    <w:rsid w:val="001453EF"/>
    <w:rsid w:val="001477FF"/>
    <w:rsid w:val="00147C69"/>
    <w:rsid w:val="00147F3C"/>
    <w:rsid w:val="00150244"/>
    <w:rsid w:val="00150E39"/>
    <w:rsid w:val="00151038"/>
    <w:rsid w:val="0015176D"/>
    <w:rsid w:val="00151858"/>
    <w:rsid w:val="00151E99"/>
    <w:rsid w:val="00152CD1"/>
    <w:rsid w:val="00152D1D"/>
    <w:rsid w:val="00153394"/>
    <w:rsid w:val="00153DD5"/>
    <w:rsid w:val="00153EB9"/>
    <w:rsid w:val="00154291"/>
    <w:rsid w:val="001548C8"/>
    <w:rsid w:val="001549A7"/>
    <w:rsid w:val="00154D52"/>
    <w:rsid w:val="00155B61"/>
    <w:rsid w:val="00155CF3"/>
    <w:rsid w:val="001565E1"/>
    <w:rsid w:val="00156BF5"/>
    <w:rsid w:val="00156C13"/>
    <w:rsid w:val="00156C88"/>
    <w:rsid w:val="00156C9C"/>
    <w:rsid w:val="00156F19"/>
    <w:rsid w:val="00157064"/>
    <w:rsid w:val="0015711E"/>
    <w:rsid w:val="001605E0"/>
    <w:rsid w:val="00160ACF"/>
    <w:rsid w:val="00160BD5"/>
    <w:rsid w:val="00161DAE"/>
    <w:rsid w:val="00161DF0"/>
    <w:rsid w:val="00162838"/>
    <w:rsid w:val="00162A87"/>
    <w:rsid w:val="00162F08"/>
    <w:rsid w:val="00163016"/>
    <w:rsid w:val="001631EB"/>
    <w:rsid w:val="001644FC"/>
    <w:rsid w:val="00164746"/>
    <w:rsid w:val="00164E03"/>
    <w:rsid w:val="00165211"/>
    <w:rsid w:val="00165BC3"/>
    <w:rsid w:val="00166874"/>
    <w:rsid w:val="0016694C"/>
    <w:rsid w:val="00166BB6"/>
    <w:rsid w:val="00166CB2"/>
    <w:rsid w:val="00166D82"/>
    <w:rsid w:val="00167768"/>
    <w:rsid w:val="00167F8C"/>
    <w:rsid w:val="00170273"/>
    <w:rsid w:val="001709A1"/>
    <w:rsid w:val="00170A0C"/>
    <w:rsid w:val="00170BD1"/>
    <w:rsid w:val="00170D05"/>
    <w:rsid w:val="00171AA4"/>
    <w:rsid w:val="00172554"/>
    <w:rsid w:val="0017260E"/>
    <w:rsid w:val="00172B85"/>
    <w:rsid w:val="00172EF5"/>
    <w:rsid w:val="001735B9"/>
    <w:rsid w:val="001738AD"/>
    <w:rsid w:val="0017391E"/>
    <w:rsid w:val="001751B0"/>
    <w:rsid w:val="00175431"/>
    <w:rsid w:val="0017550D"/>
    <w:rsid w:val="001757AB"/>
    <w:rsid w:val="00175C9D"/>
    <w:rsid w:val="00175D66"/>
    <w:rsid w:val="001760C2"/>
    <w:rsid w:val="00176255"/>
    <w:rsid w:val="00176478"/>
    <w:rsid w:val="001769AD"/>
    <w:rsid w:val="00176CC0"/>
    <w:rsid w:val="00176D22"/>
    <w:rsid w:val="0018006F"/>
    <w:rsid w:val="001800D9"/>
    <w:rsid w:val="0018031A"/>
    <w:rsid w:val="0018074B"/>
    <w:rsid w:val="00180DE3"/>
    <w:rsid w:val="00180ECF"/>
    <w:rsid w:val="00181127"/>
    <w:rsid w:val="00181F28"/>
    <w:rsid w:val="00181F6A"/>
    <w:rsid w:val="00184F1E"/>
    <w:rsid w:val="00185FCE"/>
    <w:rsid w:val="00187853"/>
    <w:rsid w:val="00187A73"/>
    <w:rsid w:val="00187D98"/>
    <w:rsid w:val="001903E3"/>
    <w:rsid w:val="00190F89"/>
    <w:rsid w:val="00191610"/>
    <w:rsid w:val="00191800"/>
    <w:rsid w:val="001926EB"/>
    <w:rsid w:val="00192995"/>
    <w:rsid w:val="00192BFF"/>
    <w:rsid w:val="00192DC2"/>
    <w:rsid w:val="0019369B"/>
    <w:rsid w:val="0019382C"/>
    <w:rsid w:val="00194201"/>
    <w:rsid w:val="00194700"/>
    <w:rsid w:val="001947CF"/>
    <w:rsid w:val="00194E27"/>
    <w:rsid w:val="001950DA"/>
    <w:rsid w:val="0019519E"/>
    <w:rsid w:val="00195D15"/>
    <w:rsid w:val="001971F4"/>
    <w:rsid w:val="001A0563"/>
    <w:rsid w:val="001A1AFB"/>
    <w:rsid w:val="001A1B03"/>
    <w:rsid w:val="001A1C40"/>
    <w:rsid w:val="001A1FCE"/>
    <w:rsid w:val="001A3214"/>
    <w:rsid w:val="001A427E"/>
    <w:rsid w:val="001A4840"/>
    <w:rsid w:val="001A5037"/>
    <w:rsid w:val="001A5ECA"/>
    <w:rsid w:val="001A6268"/>
    <w:rsid w:val="001A62D0"/>
    <w:rsid w:val="001A69AF"/>
    <w:rsid w:val="001A7E83"/>
    <w:rsid w:val="001A7F3E"/>
    <w:rsid w:val="001B10B6"/>
    <w:rsid w:val="001B1433"/>
    <w:rsid w:val="001B1A99"/>
    <w:rsid w:val="001B2390"/>
    <w:rsid w:val="001B27E7"/>
    <w:rsid w:val="001B2A89"/>
    <w:rsid w:val="001B32B3"/>
    <w:rsid w:val="001B33E7"/>
    <w:rsid w:val="001B3CA9"/>
    <w:rsid w:val="001B418E"/>
    <w:rsid w:val="001B4AFE"/>
    <w:rsid w:val="001B4D34"/>
    <w:rsid w:val="001B62C6"/>
    <w:rsid w:val="001B666E"/>
    <w:rsid w:val="001B6D81"/>
    <w:rsid w:val="001B6FC4"/>
    <w:rsid w:val="001C0E94"/>
    <w:rsid w:val="001C1C4C"/>
    <w:rsid w:val="001C2077"/>
    <w:rsid w:val="001C258C"/>
    <w:rsid w:val="001C33AA"/>
    <w:rsid w:val="001C3463"/>
    <w:rsid w:val="001C3B11"/>
    <w:rsid w:val="001C40A1"/>
    <w:rsid w:val="001C4111"/>
    <w:rsid w:val="001C4473"/>
    <w:rsid w:val="001C5231"/>
    <w:rsid w:val="001C61F0"/>
    <w:rsid w:val="001C6444"/>
    <w:rsid w:val="001C695A"/>
    <w:rsid w:val="001C6BAB"/>
    <w:rsid w:val="001C6D32"/>
    <w:rsid w:val="001C6F72"/>
    <w:rsid w:val="001C6FAD"/>
    <w:rsid w:val="001C778E"/>
    <w:rsid w:val="001D007E"/>
    <w:rsid w:val="001D00AC"/>
    <w:rsid w:val="001D0C10"/>
    <w:rsid w:val="001D1591"/>
    <w:rsid w:val="001D1FA9"/>
    <w:rsid w:val="001D2485"/>
    <w:rsid w:val="001D3687"/>
    <w:rsid w:val="001D3913"/>
    <w:rsid w:val="001D4C6A"/>
    <w:rsid w:val="001D4FD4"/>
    <w:rsid w:val="001D4FE8"/>
    <w:rsid w:val="001D5062"/>
    <w:rsid w:val="001D51F8"/>
    <w:rsid w:val="001D521E"/>
    <w:rsid w:val="001D5262"/>
    <w:rsid w:val="001D54BD"/>
    <w:rsid w:val="001D5894"/>
    <w:rsid w:val="001D5AB0"/>
    <w:rsid w:val="001D5C58"/>
    <w:rsid w:val="001D6105"/>
    <w:rsid w:val="001D67E0"/>
    <w:rsid w:val="001D68B0"/>
    <w:rsid w:val="001D761F"/>
    <w:rsid w:val="001D7B8A"/>
    <w:rsid w:val="001D7FD8"/>
    <w:rsid w:val="001E09AB"/>
    <w:rsid w:val="001E0A0D"/>
    <w:rsid w:val="001E1126"/>
    <w:rsid w:val="001E113F"/>
    <w:rsid w:val="001E1814"/>
    <w:rsid w:val="001E22C8"/>
    <w:rsid w:val="001E23AA"/>
    <w:rsid w:val="001E2659"/>
    <w:rsid w:val="001E28C5"/>
    <w:rsid w:val="001E3459"/>
    <w:rsid w:val="001E3857"/>
    <w:rsid w:val="001E5C1D"/>
    <w:rsid w:val="001E666D"/>
    <w:rsid w:val="001E691E"/>
    <w:rsid w:val="001E6BFB"/>
    <w:rsid w:val="001E6D86"/>
    <w:rsid w:val="001E6EA7"/>
    <w:rsid w:val="001E70DC"/>
    <w:rsid w:val="001E7A3F"/>
    <w:rsid w:val="001E7B9F"/>
    <w:rsid w:val="001E7D4A"/>
    <w:rsid w:val="001E7DE4"/>
    <w:rsid w:val="001E7FBE"/>
    <w:rsid w:val="001F0344"/>
    <w:rsid w:val="001F0B95"/>
    <w:rsid w:val="001F0D29"/>
    <w:rsid w:val="001F0D67"/>
    <w:rsid w:val="001F1069"/>
    <w:rsid w:val="001F1BA9"/>
    <w:rsid w:val="001F21CD"/>
    <w:rsid w:val="001F2232"/>
    <w:rsid w:val="001F293D"/>
    <w:rsid w:val="001F2F8A"/>
    <w:rsid w:val="001F3CA0"/>
    <w:rsid w:val="001F4807"/>
    <w:rsid w:val="001F4929"/>
    <w:rsid w:val="001F4E96"/>
    <w:rsid w:val="001F589E"/>
    <w:rsid w:val="001F5D7C"/>
    <w:rsid w:val="001F6789"/>
    <w:rsid w:val="001F6980"/>
    <w:rsid w:val="001F7352"/>
    <w:rsid w:val="001F752C"/>
    <w:rsid w:val="001F7EED"/>
    <w:rsid w:val="00200006"/>
    <w:rsid w:val="00200231"/>
    <w:rsid w:val="00200243"/>
    <w:rsid w:val="00200608"/>
    <w:rsid w:val="002006D1"/>
    <w:rsid w:val="002009E1"/>
    <w:rsid w:val="00200DE6"/>
    <w:rsid w:val="0020143E"/>
    <w:rsid w:val="00202325"/>
    <w:rsid w:val="002024B5"/>
    <w:rsid w:val="002025C8"/>
    <w:rsid w:val="00202BD7"/>
    <w:rsid w:val="002031D7"/>
    <w:rsid w:val="00203562"/>
    <w:rsid w:val="00203571"/>
    <w:rsid w:val="00203F10"/>
    <w:rsid w:val="00205ABD"/>
    <w:rsid w:val="0020607E"/>
    <w:rsid w:val="002065AE"/>
    <w:rsid w:val="00206A96"/>
    <w:rsid w:val="00206BCF"/>
    <w:rsid w:val="0020764E"/>
    <w:rsid w:val="00207956"/>
    <w:rsid w:val="00210F4E"/>
    <w:rsid w:val="00210F82"/>
    <w:rsid w:val="00211817"/>
    <w:rsid w:val="00211A70"/>
    <w:rsid w:val="00211ED5"/>
    <w:rsid w:val="00212DDE"/>
    <w:rsid w:val="002132D6"/>
    <w:rsid w:val="00213469"/>
    <w:rsid w:val="002135BC"/>
    <w:rsid w:val="00213D4E"/>
    <w:rsid w:val="00214484"/>
    <w:rsid w:val="002146D1"/>
    <w:rsid w:val="00214718"/>
    <w:rsid w:val="00214AC6"/>
    <w:rsid w:val="00214B9A"/>
    <w:rsid w:val="002150A7"/>
    <w:rsid w:val="00215212"/>
    <w:rsid w:val="00215277"/>
    <w:rsid w:val="002156A7"/>
    <w:rsid w:val="00215B93"/>
    <w:rsid w:val="00215E28"/>
    <w:rsid w:val="0021614D"/>
    <w:rsid w:val="00216E43"/>
    <w:rsid w:val="0021760C"/>
    <w:rsid w:val="00220603"/>
    <w:rsid w:val="0022069D"/>
    <w:rsid w:val="00220F56"/>
    <w:rsid w:val="002221FC"/>
    <w:rsid w:val="00222D42"/>
    <w:rsid w:val="00222E76"/>
    <w:rsid w:val="00223998"/>
    <w:rsid w:val="00223F4B"/>
    <w:rsid w:val="00224DA0"/>
    <w:rsid w:val="00224FED"/>
    <w:rsid w:val="00224FF0"/>
    <w:rsid w:val="0022710F"/>
    <w:rsid w:val="002277C9"/>
    <w:rsid w:val="00227941"/>
    <w:rsid w:val="00231367"/>
    <w:rsid w:val="0023160B"/>
    <w:rsid w:val="002316F0"/>
    <w:rsid w:val="0023209F"/>
    <w:rsid w:val="002323E3"/>
    <w:rsid w:val="00232872"/>
    <w:rsid w:val="0023372C"/>
    <w:rsid w:val="00233FF2"/>
    <w:rsid w:val="002345BE"/>
    <w:rsid w:val="00234743"/>
    <w:rsid w:val="00234868"/>
    <w:rsid w:val="002353EE"/>
    <w:rsid w:val="00235B23"/>
    <w:rsid w:val="002364C2"/>
    <w:rsid w:val="00236C8A"/>
    <w:rsid w:val="00236F84"/>
    <w:rsid w:val="002377F0"/>
    <w:rsid w:val="002378B4"/>
    <w:rsid w:val="00240228"/>
    <w:rsid w:val="0024082D"/>
    <w:rsid w:val="00240878"/>
    <w:rsid w:val="00240EE7"/>
    <w:rsid w:val="002412F4"/>
    <w:rsid w:val="00242112"/>
    <w:rsid w:val="0024241A"/>
    <w:rsid w:val="00242990"/>
    <w:rsid w:val="002431AD"/>
    <w:rsid w:val="00243C14"/>
    <w:rsid w:val="00244589"/>
    <w:rsid w:val="0024478C"/>
    <w:rsid w:val="00244B93"/>
    <w:rsid w:val="00245364"/>
    <w:rsid w:val="00245765"/>
    <w:rsid w:val="00245827"/>
    <w:rsid w:val="00245828"/>
    <w:rsid w:val="00246577"/>
    <w:rsid w:val="00246A9C"/>
    <w:rsid w:val="00246D5B"/>
    <w:rsid w:val="00247057"/>
    <w:rsid w:val="002470CA"/>
    <w:rsid w:val="00247414"/>
    <w:rsid w:val="002474DE"/>
    <w:rsid w:val="002476B4"/>
    <w:rsid w:val="00247D1F"/>
    <w:rsid w:val="002507D5"/>
    <w:rsid w:val="00250B3E"/>
    <w:rsid w:val="0025215F"/>
    <w:rsid w:val="002521CA"/>
    <w:rsid w:val="00252B95"/>
    <w:rsid w:val="00252D7A"/>
    <w:rsid w:val="00252DA1"/>
    <w:rsid w:val="002531B8"/>
    <w:rsid w:val="0025387B"/>
    <w:rsid w:val="0025399F"/>
    <w:rsid w:val="002544F5"/>
    <w:rsid w:val="0025473C"/>
    <w:rsid w:val="00254821"/>
    <w:rsid w:val="00254DA0"/>
    <w:rsid w:val="00254EE7"/>
    <w:rsid w:val="00255953"/>
    <w:rsid w:val="00256435"/>
    <w:rsid w:val="00256B05"/>
    <w:rsid w:val="00256F1B"/>
    <w:rsid w:val="002570D6"/>
    <w:rsid w:val="00257226"/>
    <w:rsid w:val="0025725E"/>
    <w:rsid w:val="00257A63"/>
    <w:rsid w:val="00257D08"/>
    <w:rsid w:val="002606F3"/>
    <w:rsid w:val="00260BFC"/>
    <w:rsid w:val="00260C03"/>
    <w:rsid w:val="002614D5"/>
    <w:rsid w:val="00262183"/>
    <w:rsid w:val="0026234C"/>
    <w:rsid w:val="002636B2"/>
    <w:rsid w:val="002637ED"/>
    <w:rsid w:val="00263897"/>
    <w:rsid w:val="00263C09"/>
    <w:rsid w:val="002648B0"/>
    <w:rsid w:val="00264B41"/>
    <w:rsid w:val="00265364"/>
    <w:rsid w:val="00265946"/>
    <w:rsid w:val="00265CD5"/>
    <w:rsid w:val="00265D06"/>
    <w:rsid w:val="00265F2B"/>
    <w:rsid w:val="0026671D"/>
    <w:rsid w:val="00266986"/>
    <w:rsid w:val="002669DD"/>
    <w:rsid w:val="0027066B"/>
    <w:rsid w:val="00270A3A"/>
    <w:rsid w:val="0027108C"/>
    <w:rsid w:val="002714C8"/>
    <w:rsid w:val="00271720"/>
    <w:rsid w:val="0027282B"/>
    <w:rsid w:val="00273495"/>
    <w:rsid w:val="00273635"/>
    <w:rsid w:val="0027387D"/>
    <w:rsid w:val="00273C72"/>
    <w:rsid w:val="002746DF"/>
    <w:rsid w:val="0027489F"/>
    <w:rsid w:val="002748A7"/>
    <w:rsid w:val="00274C99"/>
    <w:rsid w:val="00276A16"/>
    <w:rsid w:val="00277F86"/>
    <w:rsid w:val="00280418"/>
    <w:rsid w:val="00280B82"/>
    <w:rsid w:val="00280F23"/>
    <w:rsid w:val="0028100B"/>
    <w:rsid w:val="00281211"/>
    <w:rsid w:val="00281935"/>
    <w:rsid w:val="0028197F"/>
    <w:rsid w:val="00282143"/>
    <w:rsid w:val="00282228"/>
    <w:rsid w:val="0028281B"/>
    <w:rsid w:val="002828ED"/>
    <w:rsid w:val="0028365E"/>
    <w:rsid w:val="00283B04"/>
    <w:rsid w:val="00283CF1"/>
    <w:rsid w:val="0028410D"/>
    <w:rsid w:val="0028421A"/>
    <w:rsid w:val="00284533"/>
    <w:rsid w:val="00284801"/>
    <w:rsid w:val="00284C09"/>
    <w:rsid w:val="00285124"/>
    <w:rsid w:val="00285408"/>
    <w:rsid w:val="00285B01"/>
    <w:rsid w:val="00285FC0"/>
    <w:rsid w:val="002864F2"/>
    <w:rsid w:val="00286A21"/>
    <w:rsid w:val="00287020"/>
    <w:rsid w:val="002870B6"/>
    <w:rsid w:val="00287418"/>
    <w:rsid w:val="0028774F"/>
    <w:rsid w:val="00287FE8"/>
    <w:rsid w:val="00290689"/>
    <w:rsid w:val="002907DC"/>
    <w:rsid w:val="00290AB5"/>
    <w:rsid w:val="00290DC3"/>
    <w:rsid w:val="00290FCC"/>
    <w:rsid w:val="00291283"/>
    <w:rsid w:val="0029162E"/>
    <w:rsid w:val="00291EE1"/>
    <w:rsid w:val="00291F14"/>
    <w:rsid w:val="00292EE7"/>
    <w:rsid w:val="0029330A"/>
    <w:rsid w:val="00293B88"/>
    <w:rsid w:val="00293CE4"/>
    <w:rsid w:val="00294110"/>
    <w:rsid w:val="0029424F"/>
    <w:rsid w:val="00294574"/>
    <w:rsid w:val="00294686"/>
    <w:rsid w:val="00294B7F"/>
    <w:rsid w:val="002950B2"/>
    <w:rsid w:val="00295406"/>
    <w:rsid w:val="002954F3"/>
    <w:rsid w:val="00295537"/>
    <w:rsid w:val="00296417"/>
    <w:rsid w:val="002964B8"/>
    <w:rsid w:val="002969F2"/>
    <w:rsid w:val="00297037"/>
    <w:rsid w:val="002974CD"/>
    <w:rsid w:val="002977AA"/>
    <w:rsid w:val="00297AA0"/>
    <w:rsid w:val="00297F47"/>
    <w:rsid w:val="002A056D"/>
    <w:rsid w:val="002A0E45"/>
    <w:rsid w:val="002A162B"/>
    <w:rsid w:val="002A1CF9"/>
    <w:rsid w:val="002A1E48"/>
    <w:rsid w:val="002A2B26"/>
    <w:rsid w:val="002A3257"/>
    <w:rsid w:val="002A348D"/>
    <w:rsid w:val="002A355F"/>
    <w:rsid w:val="002A3B56"/>
    <w:rsid w:val="002A3CB0"/>
    <w:rsid w:val="002A3D5B"/>
    <w:rsid w:val="002A44DB"/>
    <w:rsid w:val="002A4B88"/>
    <w:rsid w:val="002A52BF"/>
    <w:rsid w:val="002A532D"/>
    <w:rsid w:val="002A53AB"/>
    <w:rsid w:val="002A5FD8"/>
    <w:rsid w:val="002A6B4A"/>
    <w:rsid w:val="002A6D05"/>
    <w:rsid w:val="002A755E"/>
    <w:rsid w:val="002A7A4F"/>
    <w:rsid w:val="002A7A50"/>
    <w:rsid w:val="002B097D"/>
    <w:rsid w:val="002B0B1E"/>
    <w:rsid w:val="002B0B29"/>
    <w:rsid w:val="002B1AFD"/>
    <w:rsid w:val="002B1E0F"/>
    <w:rsid w:val="002B1EAA"/>
    <w:rsid w:val="002B1F86"/>
    <w:rsid w:val="002B1FF2"/>
    <w:rsid w:val="002B221D"/>
    <w:rsid w:val="002B2369"/>
    <w:rsid w:val="002B2CB9"/>
    <w:rsid w:val="002B460B"/>
    <w:rsid w:val="002B468B"/>
    <w:rsid w:val="002B4709"/>
    <w:rsid w:val="002B4878"/>
    <w:rsid w:val="002B4D4F"/>
    <w:rsid w:val="002B4FDD"/>
    <w:rsid w:val="002B558E"/>
    <w:rsid w:val="002B5F50"/>
    <w:rsid w:val="002B6092"/>
    <w:rsid w:val="002B65E8"/>
    <w:rsid w:val="002B6A88"/>
    <w:rsid w:val="002B7DF8"/>
    <w:rsid w:val="002B7FE1"/>
    <w:rsid w:val="002C05E7"/>
    <w:rsid w:val="002C113E"/>
    <w:rsid w:val="002C1372"/>
    <w:rsid w:val="002C13A1"/>
    <w:rsid w:val="002C1E0E"/>
    <w:rsid w:val="002C2009"/>
    <w:rsid w:val="002C26EB"/>
    <w:rsid w:val="002C293C"/>
    <w:rsid w:val="002C2A37"/>
    <w:rsid w:val="002C2CE1"/>
    <w:rsid w:val="002C332A"/>
    <w:rsid w:val="002C409C"/>
    <w:rsid w:val="002C4538"/>
    <w:rsid w:val="002C4D85"/>
    <w:rsid w:val="002C51E4"/>
    <w:rsid w:val="002C5622"/>
    <w:rsid w:val="002C588A"/>
    <w:rsid w:val="002C6C89"/>
    <w:rsid w:val="002C6E0B"/>
    <w:rsid w:val="002C70A5"/>
    <w:rsid w:val="002C7CB0"/>
    <w:rsid w:val="002D10F4"/>
    <w:rsid w:val="002D11F8"/>
    <w:rsid w:val="002D1512"/>
    <w:rsid w:val="002D1A81"/>
    <w:rsid w:val="002D1E9C"/>
    <w:rsid w:val="002D2BDC"/>
    <w:rsid w:val="002D2E29"/>
    <w:rsid w:val="002D3287"/>
    <w:rsid w:val="002D4542"/>
    <w:rsid w:val="002D489D"/>
    <w:rsid w:val="002D53F5"/>
    <w:rsid w:val="002D6275"/>
    <w:rsid w:val="002D66BD"/>
    <w:rsid w:val="002D6AE5"/>
    <w:rsid w:val="002D6E2A"/>
    <w:rsid w:val="002D6EAE"/>
    <w:rsid w:val="002D70F6"/>
    <w:rsid w:val="002D7C3A"/>
    <w:rsid w:val="002D7F90"/>
    <w:rsid w:val="002E08F0"/>
    <w:rsid w:val="002E0CF8"/>
    <w:rsid w:val="002E0D69"/>
    <w:rsid w:val="002E0FA7"/>
    <w:rsid w:val="002E1016"/>
    <w:rsid w:val="002E1184"/>
    <w:rsid w:val="002E287A"/>
    <w:rsid w:val="002E2A68"/>
    <w:rsid w:val="002E32DC"/>
    <w:rsid w:val="002E36D2"/>
    <w:rsid w:val="002E4030"/>
    <w:rsid w:val="002E4830"/>
    <w:rsid w:val="002E4B8E"/>
    <w:rsid w:val="002E5106"/>
    <w:rsid w:val="002E53D7"/>
    <w:rsid w:val="002E5A88"/>
    <w:rsid w:val="002E65F7"/>
    <w:rsid w:val="002E6695"/>
    <w:rsid w:val="002E66AC"/>
    <w:rsid w:val="002E6D66"/>
    <w:rsid w:val="002E6D80"/>
    <w:rsid w:val="002E6F75"/>
    <w:rsid w:val="002E6FFB"/>
    <w:rsid w:val="002E775B"/>
    <w:rsid w:val="002E7811"/>
    <w:rsid w:val="002E7ADA"/>
    <w:rsid w:val="002F05B9"/>
    <w:rsid w:val="002F0DA7"/>
    <w:rsid w:val="002F0E5F"/>
    <w:rsid w:val="002F0F9E"/>
    <w:rsid w:val="002F129F"/>
    <w:rsid w:val="002F1A79"/>
    <w:rsid w:val="002F1B9B"/>
    <w:rsid w:val="002F1F80"/>
    <w:rsid w:val="002F23E7"/>
    <w:rsid w:val="002F2994"/>
    <w:rsid w:val="002F2B30"/>
    <w:rsid w:val="002F3484"/>
    <w:rsid w:val="002F34C5"/>
    <w:rsid w:val="002F396A"/>
    <w:rsid w:val="002F40B2"/>
    <w:rsid w:val="002F4346"/>
    <w:rsid w:val="002F4509"/>
    <w:rsid w:val="002F45EF"/>
    <w:rsid w:val="002F4EFA"/>
    <w:rsid w:val="002F52A7"/>
    <w:rsid w:val="002F538A"/>
    <w:rsid w:val="002F5422"/>
    <w:rsid w:val="002F7AC6"/>
    <w:rsid w:val="002F7E22"/>
    <w:rsid w:val="002F7F93"/>
    <w:rsid w:val="003000B7"/>
    <w:rsid w:val="003009D4"/>
    <w:rsid w:val="003009E6"/>
    <w:rsid w:val="00300AF2"/>
    <w:rsid w:val="0030113F"/>
    <w:rsid w:val="003012FA"/>
    <w:rsid w:val="003014EE"/>
    <w:rsid w:val="00301599"/>
    <w:rsid w:val="00301C15"/>
    <w:rsid w:val="00301E13"/>
    <w:rsid w:val="00302136"/>
    <w:rsid w:val="00302446"/>
    <w:rsid w:val="003025DB"/>
    <w:rsid w:val="0030266B"/>
    <w:rsid w:val="0030290C"/>
    <w:rsid w:val="00302BF4"/>
    <w:rsid w:val="003031B9"/>
    <w:rsid w:val="003032AE"/>
    <w:rsid w:val="00303874"/>
    <w:rsid w:val="00303BD3"/>
    <w:rsid w:val="00304064"/>
    <w:rsid w:val="0030464A"/>
    <w:rsid w:val="00304682"/>
    <w:rsid w:val="003058A2"/>
    <w:rsid w:val="00305A56"/>
    <w:rsid w:val="00306261"/>
    <w:rsid w:val="00306410"/>
    <w:rsid w:val="0030653E"/>
    <w:rsid w:val="0030665E"/>
    <w:rsid w:val="003068AC"/>
    <w:rsid w:val="00306B27"/>
    <w:rsid w:val="00306B93"/>
    <w:rsid w:val="00306CA9"/>
    <w:rsid w:val="00306D67"/>
    <w:rsid w:val="00306FB0"/>
    <w:rsid w:val="003074E3"/>
    <w:rsid w:val="003075A2"/>
    <w:rsid w:val="003076FC"/>
    <w:rsid w:val="00307FF2"/>
    <w:rsid w:val="003110C6"/>
    <w:rsid w:val="00311889"/>
    <w:rsid w:val="00311C09"/>
    <w:rsid w:val="00312714"/>
    <w:rsid w:val="003129E0"/>
    <w:rsid w:val="00312A8B"/>
    <w:rsid w:val="00312CA9"/>
    <w:rsid w:val="00312F47"/>
    <w:rsid w:val="003135D1"/>
    <w:rsid w:val="003139B5"/>
    <w:rsid w:val="00313AA6"/>
    <w:rsid w:val="00313EE5"/>
    <w:rsid w:val="00314AF1"/>
    <w:rsid w:val="00314E8F"/>
    <w:rsid w:val="00315499"/>
    <w:rsid w:val="003157C3"/>
    <w:rsid w:val="0031590A"/>
    <w:rsid w:val="00315CAF"/>
    <w:rsid w:val="003162CF"/>
    <w:rsid w:val="00316793"/>
    <w:rsid w:val="00316FC4"/>
    <w:rsid w:val="00317A60"/>
    <w:rsid w:val="00320271"/>
    <w:rsid w:val="003208B7"/>
    <w:rsid w:val="003209C6"/>
    <w:rsid w:val="00320A92"/>
    <w:rsid w:val="003216EB"/>
    <w:rsid w:val="00322019"/>
    <w:rsid w:val="00322775"/>
    <w:rsid w:val="00322A33"/>
    <w:rsid w:val="00322D0A"/>
    <w:rsid w:val="003231EE"/>
    <w:rsid w:val="0032363B"/>
    <w:rsid w:val="00323DBB"/>
    <w:rsid w:val="00323FCD"/>
    <w:rsid w:val="0032451F"/>
    <w:rsid w:val="00325311"/>
    <w:rsid w:val="00325470"/>
    <w:rsid w:val="0032555B"/>
    <w:rsid w:val="003265B6"/>
    <w:rsid w:val="00326658"/>
    <w:rsid w:val="00326878"/>
    <w:rsid w:val="003268C4"/>
    <w:rsid w:val="0032765A"/>
    <w:rsid w:val="00327E7B"/>
    <w:rsid w:val="003303D1"/>
    <w:rsid w:val="003304FC"/>
    <w:rsid w:val="003306E6"/>
    <w:rsid w:val="00331788"/>
    <w:rsid w:val="00331CE4"/>
    <w:rsid w:val="00331F57"/>
    <w:rsid w:val="00332047"/>
    <w:rsid w:val="0033290B"/>
    <w:rsid w:val="00332E1E"/>
    <w:rsid w:val="003336BE"/>
    <w:rsid w:val="00334790"/>
    <w:rsid w:val="0033494B"/>
    <w:rsid w:val="00334A6B"/>
    <w:rsid w:val="00335F4A"/>
    <w:rsid w:val="00336170"/>
    <w:rsid w:val="003361A7"/>
    <w:rsid w:val="003363CB"/>
    <w:rsid w:val="0033658B"/>
    <w:rsid w:val="00336631"/>
    <w:rsid w:val="003367B9"/>
    <w:rsid w:val="00336F3D"/>
    <w:rsid w:val="00336FDE"/>
    <w:rsid w:val="003401EE"/>
    <w:rsid w:val="0034146A"/>
    <w:rsid w:val="00341728"/>
    <w:rsid w:val="003421EC"/>
    <w:rsid w:val="00342384"/>
    <w:rsid w:val="003432AE"/>
    <w:rsid w:val="00343421"/>
    <w:rsid w:val="00344022"/>
    <w:rsid w:val="00344593"/>
    <w:rsid w:val="00345680"/>
    <w:rsid w:val="00345B91"/>
    <w:rsid w:val="00346102"/>
    <w:rsid w:val="0034719C"/>
    <w:rsid w:val="0034753E"/>
    <w:rsid w:val="0035086A"/>
    <w:rsid w:val="003509BD"/>
    <w:rsid w:val="00350B39"/>
    <w:rsid w:val="00350B60"/>
    <w:rsid w:val="00351AEF"/>
    <w:rsid w:val="00351B29"/>
    <w:rsid w:val="00351DEB"/>
    <w:rsid w:val="00352877"/>
    <w:rsid w:val="0035299E"/>
    <w:rsid w:val="003532B1"/>
    <w:rsid w:val="00353370"/>
    <w:rsid w:val="0035340C"/>
    <w:rsid w:val="00353678"/>
    <w:rsid w:val="003538D4"/>
    <w:rsid w:val="00353B4A"/>
    <w:rsid w:val="00353F3C"/>
    <w:rsid w:val="0035469E"/>
    <w:rsid w:val="00354954"/>
    <w:rsid w:val="00354D97"/>
    <w:rsid w:val="003557C2"/>
    <w:rsid w:val="00355994"/>
    <w:rsid w:val="00355A0E"/>
    <w:rsid w:val="00355DFF"/>
    <w:rsid w:val="00355E57"/>
    <w:rsid w:val="00356146"/>
    <w:rsid w:val="003579E1"/>
    <w:rsid w:val="00357EAF"/>
    <w:rsid w:val="0036037C"/>
    <w:rsid w:val="00360A56"/>
    <w:rsid w:val="00360AAC"/>
    <w:rsid w:val="003622B6"/>
    <w:rsid w:val="00362DF1"/>
    <w:rsid w:val="00363131"/>
    <w:rsid w:val="00364720"/>
    <w:rsid w:val="00364CB6"/>
    <w:rsid w:val="00364DD0"/>
    <w:rsid w:val="00365112"/>
    <w:rsid w:val="00365A84"/>
    <w:rsid w:val="00365D62"/>
    <w:rsid w:val="00365E40"/>
    <w:rsid w:val="00365E8A"/>
    <w:rsid w:val="00366F81"/>
    <w:rsid w:val="00367C0B"/>
    <w:rsid w:val="00370146"/>
    <w:rsid w:val="0037037E"/>
    <w:rsid w:val="00370921"/>
    <w:rsid w:val="00370D06"/>
    <w:rsid w:val="003711FE"/>
    <w:rsid w:val="00371932"/>
    <w:rsid w:val="003720BF"/>
    <w:rsid w:val="0037220E"/>
    <w:rsid w:val="00372AA6"/>
    <w:rsid w:val="00372B11"/>
    <w:rsid w:val="00372C9B"/>
    <w:rsid w:val="0037397B"/>
    <w:rsid w:val="00373A4C"/>
    <w:rsid w:val="00373A55"/>
    <w:rsid w:val="00373D8E"/>
    <w:rsid w:val="0037463A"/>
    <w:rsid w:val="003748F5"/>
    <w:rsid w:val="00374F9C"/>
    <w:rsid w:val="003752DF"/>
    <w:rsid w:val="003757F0"/>
    <w:rsid w:val="00375A7C"/>
    <w:rsid w:val="00376530"/>
    <w:rsid w:val="00376C31"/>
    <w:rsid w:val="003770CC"/>
    <w:rsid w:val="00377877"/>
    <w:rsid w:val="00377B71"/>
    <w:rsid w:val="00377E02"/>
    <w:rsid w:val="00377F7C"/>
    <w:rsid w:val="0038004C"/>
    <w:rsid w:val="003800C2"/>
    <w:rsid w:val="00380294"/>
    <w:rsid w:val="003804BD"/>
    <w:rsid w:val="00381584"/>
    <w:rsid w:val="00381810"/>
    <w:rsid w:val="0038184F"/>
    <w:rsid w:val="00381A71"/>
    <w:rsid w:val="0038271C"/>
    <w:rsid w:val="00382BDC"/>
    <w:rsid w:val="00383155"/>
    <w:rsid w:val="003834E3"/>
    <w:rsid w:val="0038386C"/>
    <w:rsid w:val="00383A82"/>
    <w:rsid w:val="00383C3F"/>
    <w:rsid w:val="00383F68"/>
    <w:rsid w:val="003841AA"/>
    <w:rsid w:val="00384380"/>
    <w:rsid w:val="00384562"/>
    <w:rsid w:val="00384799"/>
    <w:rsid w:val="00385473"/>
    <w:rsid w:val="0038588F"/>
    <w:rsid w:val="00385927"/>
    <w:rsid w:val="00385B9F"/>
    <w:rsid w:val="00385CF5"/>
    <w:rsid w:val="00386B13"/>
    <w:rsid w:val="00386C32"/>
    <w:rsid w:val="00386E48"/>
    <w:rsid w:val="0038782A"/>
    <w:rsid w:val="00387E71"/>
    <w:rsid w:val="00390AE9"/>
    <w:rsid w:val="0039112A"/>
    <w:rsid w:val="0039134D"/>
    <w:rsid w:val="00391992"/>
    <w:rsid w:val="00391D3D"/>
    <w:rsid w:val="0039201C"/>
    <w:rsid w:val="0039284B"/>
    <w:rsid w:val="00392FCC"/>
    <w:rsid w:val="00393C53"/>
    <w:rsid w:val="003940E7"/>
    <w:rsid w:val="0039429A"/>
    <w:rsid w:val="00394C5D"/>
    <w:rsid w:val="00394C5F"/>
    <w:rsid w:val="00394E34"/>
    <w:rsid w:val="0039540B"/>
    <w:rsid w:val="00396216"/>
    <w:rsid w:val="0039675B"/>
    <w:rsid w:val="00396CCC"/>
    <w:rsid w:val="00397506"/>
    <w:rsid w:val="00397605"/>
    <w:rsid w:val="003979C2"/>
    <w:rsid w:val="00397E78"/>
    <w:rsid w:val="00397EE8"/>
    <w:rsid w:val="003A0AB0"/>
    <w:rsid w:val="003A0E35"/>
    <w:rsid w:val="003A109D"/>
    <w:rsid w:val="003A1F48"/>
    <w:rsid w:val="003A1FC7"/>
    <w:rsid w:val="003A2381"/>
    <w:rsid w:val="003A25D3"/>
    <w:rsid w:val="003A3329"/>
    <w:rsid w:val="003A3771"/>
    <w:rsid w:val="003A4313"/>
    <w:rsid w:val="003A43F4"/>
    <w:rsid w:val="003A4C76"/>
    <w:rsid w:val="003A50FC"/>
    <w:rsid w:val="003A5676"/>
    <w:rsid w:val="003A5813"/>
    <w:rsid w:val="003A5830"/>
    <w:rsid w:val="003A5B91"/>
    <w:rsid w:val="003A5FC8"/>
    <w:rsid w:val="003A7E81"/>
    <w:rsid w:val="003A7F2D"/>
    <w:rsid w:val="003B0716"/>
    <w:rsid w:val="003B15FE"/>
    <w:rsid w:val="003B1A1D"/>
    <w:rsid w:val="003B1A90"/>
    <w:rsid w:val="003B264B"/>
    <w:rsid w:val="003B2DB6"/>
    <w:rsid w:val="003B30CD"/>
    <w:rsid w:val="003B335D"/>
    <w:rsid w:val="003B352C"/>
    <w:rsid w:val="003B37EA"/>
    <w:rsid w:val="003B3AA7"/>
    <w:rsid w:val="003B3FE9"/>
    <w:rsid w:val="003B416A"/>
    <w:rsid w:val="003B418F"/>
    <w:rsid w:val="003B46BC"/>
    <w:rsid w:val="003B6A51"/>
    <w:rsid w:val="003B6E80"/>
    <w:rsid w:val="003B71CB"/>
    <w:rsid w:val="003B7756"/>
    <w:rsid w:val="003B7C9A"/>
    <w:rsid w:val="003B7F2B"/>
    <w:rsid w:val="003C01C9"/>
    <w:rsid w:val="003C0837"/>
    <w:rsid w:val="003C0854"/>
    <w:rsid w:val="003C0965"/>
    <w:rsid w:val="003C151A"/>
    <w:rsid w:val="003C181A"/>
    <w:rsid w:val="003C190B"/>
    <w:rsid w:val="003C2610"/>
    <w:rsid w:val="003C2878"/>
    <w:rsid w:val="003C2E51"/>
    <w:rsid w:val="003C323B"/>
    <w:rsid w:val="003C3456"/>
    <w:rsid w:val="003C4576"/>
    <w:rsid w:val="003C4D3F"/>
    <w:rsid w:val="003C6243"/>
    <w:rsid w:val="003C6315"/>
    <w:rsid w:val="003C68A4"/>
    <w:rsid w:val="003C6A76"/>
    <w:rsid w:val="003C6F05"/>
    <w:rsid w:val="003C71F1"/>
    <w:rsid w:val="003D03F7"/>
    <w:rsid w:val="003D0992"/>
    <w:rsid w:val="003D0A4F"/>
    <w:rsid w:val="003D0E21"/>
    <w:rsid w:val="003D0F10"/>
    <w:rsid w:val="003D14D7"/>
    <w:rsid w:val="003D174A"/>
    <w:rsid w:val="003D1C08"/>
    <w:rsid w:val="003D1D96"/>
    <w:rsid w:val="003D1E40"/>
    <w:rsid w:val="003D28CB"/>
    <w:rsid w:val="003D2AF0"/>
    <w:rsid w:val="003D2AFD"/>
    <w:rsid w:val="003D2D1E"/>
    <w:rsid w:val="003D2E76"/>
    <w:rsid w:val="003D3157"/>
    <w:rsid w:val="003D31BE"/>
    <w:rsid w:val="003D36D7"/>
    <w:rsid w:val="003D42C5"/>
    <w:rsid w:val="003D46D4"/>
    <w:rsid w:val="003D492E"/>
    <w:rsid w:val="003D4BCA"/>
    <w:rsid w:val="003D4C16"/>
    <w:rsid w:val="003D52AE"/>
    <w:rsid w:val="003D554F"/>
    <w:rsid w:val="003D56A9"/>
    <w:rsid w:val="003D5D2A"/>
    <w:rsid w:val="003D67C5"/>
    <w:rsid w:val="003D748D"/>
    <w:rsid w:val="003D74F7"/>
    <w:rsid w:val="003E03C5"/>
    <w:rsid w:val="003E0E68"/>
    <w:rsid w:val="003E186C"/>
    <w:rsid w:val="003E18E2"/>
    <w:rsid w:val="003E2132"/>
    <w:rsid w:val="003E2393"/>
    <w:rsid w:val="003E2745"/>
    <w:rsid w:val="003E321F"/>
    <w:rsid w:val="003E384A"/>
    <w:rsid w:val="003E395E"/>
    <w:rsid w:val="003E4481"/>
    <w:rsid w:val="003E4622"/>
    <w:rsid w:val="003E4ABE"/>
    <w:rsid w:val="003E4F59"/>
    <w:rsid w:val="003E4FEF"/>
    <w:rsid w:val="003E545C"/>
    <w:rsid w:val="003E5B17"/>
    <w:rsid w:val="003E5CA5"/>
    <w:rsid w:val="003E5F21"/>
    <w:rsid w:val="003E607A"/>
    <w:rsid w:val="003E612D"/>
    <w:rsid w:val="003E6306"/>
    <w:rsid w:val="003E649B"/>
    <w:rsid w:val="003E6E65"/>
    <w:rsid w:val="003E7A1E"/>
    <w:rsid w:val="003E7A9D"/>
    <w:rsid w:val="003E7DF5"/>
    <w:rsid w:val="003F02D0"/>
    <w:rsid w:val="003F06E1"/>
    <w:rsid w:val="003F0DB2"/>
    <w:rsid w:val="003F11EC"/>
    <w:rsid w:val="003F14DF"/>
    <w:rsid w:val="003F1EC3"/>
    <w:rsid w:val="003F23CC"/>
    <w:rsid w:val="003F260E"/>
    <w:rsid w:val="003F3488"/>
    <w:rsid w:val="003F35E0"/>
    <w:rsid w:val="003F3651"/>
    <w:rsid w:val="003F3AFA"/>
    <w:rsid w:val="003F3ED8"/>
    <w:rsid w:val="003F3FD4"/>
    <w:rsid w:val="003F467B"/>
    <w:rsid w:val="003F4B79"/>
    <w:rsid w:val="003F4D57"/>
    <w:rsid w:val="003F5331"/>
    <w:rsid w:val="003F632C"/>
    <w:rsid w:val="003F6A0B"/>
    <w:rsid w:val="003F6B68"/>
    <w:rsid w:val="003F7ECD"/>
    <w:rsid w:val="0040054A"/>
    <w:rsid w:val="0040064F"/>
    <w:rsid w:val="00400809"/>
    <w:rsid w:val="004008C0"/>
    <w:rsid w:val="004009BF"/>
    <w:rsid w:val="00400C7A"/>
    <w:rsid w:val="00400E02"/>
    <w:rsid w:val="004012D7"/>
    <w:rsid w:val="004014D7"/>
    <w:rsid w:val="00401E38"/>
    <w:rsid w:val="00401EE7"/>
    <w:rsid w:val="00402E7A"/>
    <w:rsid w:val="00403D54"/>
    <w:rsid w:val="00403DD1"/>
    <w:rsid w:val="00403F79"/>
    <w:rsid w:val="004044DE"/>
    <w:rsid w:val="00404856"/>
    <w:rsid w:val="00404F09"/>
    <w:rsid w:val="00405378"/>
    <w:rsid w:val="00405B3B"/>
    <w:rsid w:val="004064FE"/>
    <w:rsid w:val="00406E5B"/>
    <w:rsid w:val="00407619"/>
    <w:rsid w:val="00407AC2"/>
    <w:rsid w:val="00407C94"/>
    <w:rsid w:val="004108B0"/>
    <w:rsid w:val="00410ADC"/>
    <w:rsid w:val="00410BF0"/>
    <w:rsid w:val="00410C84"/>
    <w:rsid w:val="00410F7F"/>
    <w:rsid w:val="00411008"/>
    <w:rsid w:val="004112B6"/>
    <w:rsid w:val="00411339"/>
    <w:rsid w:val="00411372"/>
    <w:rsid w:val="004117D6"/>
    <w:rsid w:val="0041188D"/>
    <w:rsid w:val="00411FB3"/>
    <w:rsid w:val="004129E5"/>
    <w:rsid w:val="00412BC8"/>
    <w:rsid w:val="00412CD8"/>
    <w:rsid w:val="00413348"/>
    <w:rsid w:val="00413CC0"/>
    <w:rsid w:val="0041427D"/>
    <w:rsid w:val="00414748"/>
    <w:rsid w:val="0041501D"/>
    <w:rsid w:val="00415054"/>
    <w:rsid w:val="00416C7C"/>
    <w:rsid w:val="00416D42"/>
    <w:rsid w:val="004174A7"/>
    <w:rsid w:val="00417538"/>
    <w:rsid w:val="004176D4"/>
    <w:rsid w:val="00417F04"/>
    <w:rsid w:val="00420049"/>
    <w:rsid w:val="004207CF"/>
    <w:rsid w:val="00420CB7"/>
    <w:rsid w:val="00421581"/>
    <w:rsid w:val="00421AF5"/>
    <w:rsid w:val="00421D3A"/>
    <w:rsid w:val="00423933"/>
    <w:rsid w:val="00424169"/>
    <w:rsid w:val="00424E4E"/>
    <w:rsid w:val="00424E68"/>
    <w:rsid w:val="00425580"/>
    <w:rsid w:val="00425C99"/>
    <w:rsid w:val="00426024"/>
    <w:rsid w:val="0042669A"/>
    <w:rsid w:val="0042688B"/>
    <w:rsid w:val="004274DB"/>
    <w:rsid w:val="00430B1C"/>
    <w:rsid w:val="00430E49"/>
    <w:rsid w:val="0043144E"/>
    <w:rsid w:val="004319A9"/>
    <w:rsid w:val="00432EFA"/>
    <w:rsid w:val="004332A6"/>
    <w:rsid w:val="00433668"/>
    <w:rsid w:val="0043369D"/>
    <w:rsid w:val="004340FB"/>
    <w:rsid w:val="004346E4"/>
    <w:rsid w:val="00434B67"/>
    <w:rsid w:val="004359FC"/>
    <w:rsid w:val="00436333"/>
    <w:rsid w:val="004368A8"/>
    <w:rsid w:val="00436A19"/>
    <w:rsid w:val="00437FBF"/>
    <w:rsid w:val="0044005F"/>
    <w:rsid w:val="0044090F"/>
    <w:rsid w:val="004418EC"/>
    <w:rsid w:val="00441D3C"/>
    <w:rsid w:val="00441FCA"/>
    <w:rsid w:val="00442608"/>
    <w:rsid w:val="004426E1"/>
    <w:rsid w:val="004429B8"/>
    <w:rsid w:val="00442A29"/>
    <w:rsid w:val="00442CF7"/>
    <w:rsid w:val="00442D31"/>
    <w:rsid w:val="0044314C"/>
    <w:rsid w:val="00443B41"/>
    <w:rsid w:val="00443B49"/>
    <w:rsid w:val="00443CDF"/>
    <w:rsid w:val="00444263"/>
    <w:rsid w:val="004442FC"/>
    <w:rsid w:val="004450B4"/>
    <w:rsid w:val="0044550F"/>
    <w:rsid w:val="00445608"/>
    <w:rsid w:val="00445AFE"/>
    <w:rsid w:val="00445BF1"/>
    <w:rsid w:val="00447F47"/>
    <w:rsid w:val="00450866"/>
    <w:rsid w:val="00450CE9"/>
    <w:rsid w:val="00451330"/>
    <w:rsid w:val="004515BE"/>
    <w:rsid w:val="00451A57"/>
    <w:rsid w:val="00451FAA"/>
    <w:rsid w:val="004520CE"/>
    <w:rsid w:val="0045225A"/>
    <w:rsid w:val="00452B8D"/>
    <w:rsid w:val="00452FF0"/>
    <w:rsid w:val="0045325E"/>
    <w:rsid w:val="004538AB"/>
    <w:rsid w:val="00453948"/>
    <w:rsid w:val="00453ED1"/>
    <w:rsid w:val="00453F8E"/>
    <w:rsid w:val="00454AC2"/>
    <w:rsid w:val="00455331"/>
    <w:rsid w:val="0045540B"/>
    <w:rsid w:val="0045641D"/>
    <w:rsid w:val="00456A4C"/>
    <w:rsid w:val="00456D45"/>
    <w:rsid w:val="00457120"/>
    <w:rsid w:val="0045738D"/>
    <w:rsid w:val="004579E4"/>
    <w:rsid w:val="00457B6A"/>
    <w:rsid w:val="00457D0F"/>
    <w:rsid w:val="0046009F"/>
    <w:rsid w:val="00460165"/>
    <w:rsid w:val="004603CB"/>
    <w:rsid w:val="00460553"/>
    <w:rsid w:val="004605AC"/>
    <w:rsid w:val="004606AC"/>
    <w:rsid w:val="00460811"/>
    <w:rsid w:val="004616B7"/>
    <w:rsid w:val="004621A8"/>
    <w:rsid w:val="004622D4"/>
    <w:rsid w:val="00462B05"/>
    <w:rsid w:val="00462DCF"/>
    <w:rsid w:val="00462DE4"/>
    <w:rsid w:val="00463040"/>
    <w:rsid w:val="00463512"/>
    <w:rsid w:val="0046354E"/>
    <w:rsid w:val="004637AC"/>
    <w:rsid w:val="004637FA"/>
    <w:rsid w:val="004637FC"/>
    <w:rsid w:val="00463D85"/>
    <w:rsid w:val="00463EED"/>
    <w:rsid w:val="00464118"/>
    <w:rsid w:val="004642B8"/>
    <w:rsid w:val="00464303"/>
    <w:rsid w:val="0046439E"/>
    <w:rsid w:val="00465172"/>
    <w:rsid w:val="00465EEB"/>
    <w:rsid w:val="00466A59"/>
    <w:rsid w:val="0046701E"/>
    <w:rsid w:val="004676AD"/>
    <w:rsid w:val="00467855"/>
    <w:rsid w:val="0047014D"/>
    <w:rsid w:val="00470315"/>
    <w:rsid w:val="00470697"/>
    <w:rsid w:val="00470D54"/>
    <w:rsid w:val="0047142F"/>
    <w:rsid w:val="004721A1"/>
    <w:rsid w:val="004729C1"/>
    <w:rsid w:val="00472EAA"/>
    <w:rsid w:val="00473298"/>
    <w:rsid w:val="00473911"/>
    <w:rsid w:val="00473D5C"/>
    <w:rsid w:val="004741AE"/>
    <w:rsid w:val="00475884"/>
    <w:rsid w:val="00476908"/>
    <w:rsid w:val="00476FB2"/>
    <w:rsid w:val="0047707F"/>
    <w:rsid w:val="004770D4"/>
    <w:rsid w:val="00477134"/>
    <w:rsid w:val="00477160"/>
    <w:rsid w:val="00477295"/>
    <w:rsid w:val="0047751D"/>
    <w:rsid w:val="0047763F"/>
    <w:rsid w:val="00477651"/>
    <w:rsid w:val="0047768A"/>
    <w:rsid w:val="00480E12"/>
    <w:rsid w:val="004811D5"/>
    <w:rsid w:val="0048125D"/>
    <w:rsid w:val="004812D8"/>
    <w:rsid w:val="004814D1"/>
    <w:rsid w:val="004814E6"/>
    <w:rsid w:val="0048183D"/>
    <w:rsid w:val="00481998"/>
    <w:rsid w:val="00481F8F"/>
    <w:rsid w:val="00481FF7"/>
    <w:rsid w:val="00482025"/>
    <w:rsid w:val="004824C8"/>
    <w:rsid w:val="004824DB"/>
    <w:rsid w:val="0048296C"/>
    <w:rsid w:val="0048351D"/>
    <w:rsid w:val="0048372A"/>
    <w:rsid w:val="004839B4"/>
    <w:rsid w:val="00484220"/>
    <w:rsid w:val="00484376"/>
    <w:rsid w:val="00484639"/>
    <w:rsid w:val="004846AB"/>
    <w:rsid w:val="0048470F"/>
    <w:rsid w:val="00484868"/>
    <w:rsid w:val="00484E9A"/>
    <w:rsid w:val="0048505D"/>
    <w:rsid w:val="004850CF"/>
    <w:rsid w:val="004859F7"/>
    <w:rsid w:val="00485DF9"/>
    <w:rsid w:val="00487411"/>
    <w:rsid w:val="00487EC0"/>
    <w:rsid w:val="00490135"/>
    <w:rsid w:val="00490255"/>
    <w:rsid w:val="00490697"/>
    <w:rsid w:val="00490C4D"/>
    <w:rsid w:val="00490DE9"/>
    <w:rsid w:val="00491367"/>
    <w:rsid w:val="00491A45"/>
    <w:rsid w:val="00491CE7"/>
    <w:rsid w:val="00492035"/>
    <w:rsid w:val="004933A3"/>
    <w:rsid w:val="00493F1F"/>
    <w:rsid w:val="004943D7"/>
    <w:rsid w:val="00494546"/>
    <w:rsid w:val="004945AD"/>
    <w:rsid w:val="004945F6"/>
    <w:rsid w:val="00494836"/>
    <w:rsid w:val="00495425"/>
    <w:rsid w:val="00495C1D"/>
    <w:rsid w:val="0049612E"/>
    <w:rsid w:val="0049677F"/>
    <w:rsid w:val="00497278"/>
    <w:rsid w:val="00497836"/>
    <w:rsid w:val="0049794A"/>
    <w:rsid w:val="00497B37"/>
    <w:rsid w:val="00497C19"/>
    <w:rsid w:val="00497C1A"/>
    <w:rsid w:val="004A001F"/>
    <w:rsid w:val="004A0A30"/>
    <w:rsid w:val="004A15F8"/>
    <w:rsid w:val="004A1CB8"/>
    <w:rsid w:val="004A1D43"/>
    <w:rsid w:val="004A23BB"/>
    <w:rsid w:val="004A2FA6"/>
    <w:rsid w:val="004A3499"/>
    <w:rsid w:val="004A35B1"/>
    <w:rsid w:val="004A4301"/>
    <w:rsid w:val="004A47DC"/>
    <w:rsid w:val="004A48B8"/>
    <w:rsid w:val="004A50D7"/>
    <w:rsid w:val="004A5B8A"/>
    <w:rsid w:val="004A5DB4"/>
    <w:rsid w:val="004A5EEE"/>
    <w:rsid w:val="004A61A0"/>
    <w:rsid w:val="004A6A41"/>
    <w:rsid w:val="004A6A54"/>
    <w:rsid w:val="004A6AA9"/>
    <w:rsid w:val="004A6F8D"/>
    <w:rsid w:val="004A7071"/>
    <w:rsid w:val="004A7443"/>
    <w:rsid w:val="004A7932"/>
    <w:rsid w:val="004B092F"/>
    <w:rsid w:val="004B0B5D"/>
    <w:rsid w:val="004B0F7E"/>
    <w:rsid w:val="004B13FA"/>
    <w:rsid w:val="004B1B93"/>
    <w:rsid w:val="004B1F19"/>
    <w:rsid w:val="004B233B"/>
    <w:rsid w:val="004B3596"/>
    <w:rsid w:val="004B36CB"/>
    <w:rsid w:val="004B3B37"/>
    <w:rsid w:val="004B48DD"/>
    <w:rsid w:val="004B4BEA"/>
    <w:rsid w:val="004B4C48"/>
    <w:rsid w:val="004B53BE"/>
    <w:rsid w:val="004B58E2"/>
    <w:rsid w:val="004B5956"/>
    <w:rsid w:val="004B5E21"/>
    <w:rsid w:val="004B6604"/>
    <w:rsid w:val="004B72FE"/>
    <w:rsid w:val="004B7DF1"/>
    <w:rsid w:val="004B7EE6"/>
    <w:rsid w:val="004B7F54"/>
    <w:rsid w:val="004C028C"/>
    <w:rsid w:val="004C06C9"/>
    <w:rsid w:val="004C0781"/>
    <w:rsid w:val="004C09B8"/>
    <w:rsid w:val="004C0D1E"/>
    <w:rsid w:val="004C0E15"/>
    <w:rsid w:val="004C1074"/>
    <w:rsid w:val="004C108E"/>
    <w:rsid w:val="004C1415"/>
    <w:rsid w:val="004C1E50"/>
    <w:rsid w:val="004C1F3B"/>
    <w:rsid w:val="004C2129"/>
    <w:rsid w:val="004C25FD"/>
    <w:rsid w:val="004C2982"/>
    <w:rsid w:val="004C298F"/>
    <w:rsid w:val="004C2D38"/>
    <w:rsid w:val="004C305C"/>
    <w:rsid w:val="004C3B89"/>
    <w:rsid w:val="004C3D9E"/>
    <w:rsid w:val="004C3DE9"/>
    <w:rsid w:val="004C42CB"/>
    <w:rsid w:val="004C441D"/>
    <w:rsid w:val="004C4595"/>
    <w:rsid w:val="004C461F"/>
    <w:rsid w:val="004C4B5D"/>
    <w:rsid w:val="004C4FB9"/>
    <w:rsid w:val="004C522F"/>
    <w:rsid w:val="004C5A50"/>
    <w:rsid w:val="004C5C50"/>
    <w:rsid w:val="004C5E24"/>
    <w:rsid w:val="004C627C"/>
    <w:rsid w:val="004C665B"/>
    <w:rsid w:val="004C6A4B"/>
    <w:rsid w:val="004C6ADB"/>
    <w:rsid w:val="004C6F25"/>
    <w:rsid w:val="004C7685"/>
    <w:rsid w:val="004D061E"/>
    <w:rsid w:val="004D085F"/>
    <w:rsid w:val="004D0863"/>
    <w:rsid w:val="004D0C1E"/>
    <w:rsid w:val="004D0F63"/>
    <w:rsid w:val="004D111A"/>
    <w:rsid w:val="004D13AC"/>
    <w:rsid w:val="004D16AE"/>
    <w:rsid w:val="004D21D8"/>
    <w:rsid w:val="004D278B"/>
    <w:rsid w:val="004D29A9"/>
    <w:rsid w:val="004D2ABE"/>
    <w:rsid w:val="004D2DA3"/>
    <w:rsid w:val="004D3275"/>
    <w:rsid w:val="004D36FF"/>
    <w:rsid w:val="004D4095"/>
    <w:rsid w:val="004D4128"/>
    <w:rsid w:val="004D424E"/>
    <w:rsid w:val="004D46B2"/>
    <w:rsid w:val="004D4E0F"/>
    <w:rsid w:val="004D55CB"/>
    <w:rsid w:val="004D59D4"/>
    <w:rsid w:val="004D5B48"/>
    <w:rsid w:val="004D5C4C"/>
    <w:rsid w:val="004D627F"/>
    <w:rsid w:val="004E0229"/>
    <w:rsid w:val="004E0A54"/>
    <w:rsid w:val="004E0D5A"/>
    <w:rsid w:val="004E0F1B"/>
    <w:rsid w:val="004E11CB"/>
    <w:rsid w:val="004E12ED"/>
    <w:rsid w:val="004E1407"/>
    <w:rsid w:val="004E1558"/>
    <w:rsid w:val="004E1C8D"/>
    <w:rsid w:val="004E233F"/>
    <w:rsid w:val="004E2393"/>
    <w:rsid w:val="004E283D"/>
    <w:rsid w:val="004E339C"/>
    <w:rsid w:val="004E3779"/>
    <w:rsid w:val="004E3F98"/>
    <w:rsid w:val="004E4305"/>
    <w:rsid w:val="004E4C16"/>
    <w:rsid w:val="004E4DDD"/>
    <w:rsid w:val="004E4E24"/>
    <w:rsid w:val="004E4E26"/>
    <w:rsid w:val="004E4EC4"/>
    <w:rsid w:val="004E5121"/>
    <w:rsid w:val="004E55A1"/>
    <w:rsid w:val="004E5C8B"/>
    <w:rsid w:val="004E5F4D"/>
    <w:rsid w:val="004E6138"/>
    <w:rsid w:val="004E6CB4"/>
    <w:rsid w:val="004F000A"/>
    <w:rsid w:val="004F029F"/>
    <w:rsid w:val="004F0333"/>
    <w:rsid w:val="004F0D1B"/>
    <w:rsid w:val="004F15D5"/>
    <w:rsid w:val="004F17D1"/>
    <w:rsid w:val="004F1A59"/>
    <w:rsid w:val="004F3EFF"/>
    <w:rsid w:val="004F4051"/>
    <w:rsid w:val="004F4497"/>
    <w:rsid w:val="004F4805"/>
    <w:rsid w:val="004F4877"/>
    <w:rsid w:val="004F5B6E"/>
    <w:rsid w:val="004F6B1D"/>
    <w:rsid w:val="004F6C0B"/>
    <w:rsid w:val="004F6DBA"/>
    <w:rsid w:val="004F6F31"/>
    <w:rsid w:val="0050103A"/>
    <w:rsid w:val="0050152C"/>
    <w:rsid w:val="00501D08"/>
    <w:rsid w:val="00502070"/>
    <w:rsid w:val="00502221"/>
    <w:rsid w:val="005025BE"/>
    <w:rsid w:val="00502C90"/>
    <w:rsid w:val="00502E44"/>
    <w:rsid w:val="00502EBB"/>
    <w:rsid w:val="00503A88"/>
    <w:rsid w:val="00503B10"/>
    <w:rsid w:val="00503BCF"/>
    <w:rsid w:val="00504611"/>
    <w:rsid w:val="00504C27"/>
    <w:rsid w:val="00504EC3"/>
    <w:rsid w:val="00505DAF"/>
    <w:rsid w:val="00505FAF"/>
    <w:rsid w:val="00505FF2"/>
    <w:rsid w:val="00507A3D"/>
    <w:rsid w:val="00507ED9"/>
    <w:rsid w:val="00507F8F"/>
    <w:rsid w:val="0051007D"/>
    <w:rsid w:val="0051038D"/>
    <w:rsid w:val="00510CDF"/>
    <w:rsid w:val="00511030"/>
    <w:rsid w:val="00511D04"/>
    <w:rsid w:val="0051201B"/>
    <w:rsid w:val="0051285F"/>
    <w:rsid w:val="00512B80"/>
    <w:rsid w:val="00512E5D"/>
    <w:rsid w:val="00512EA6"/>
    <w:rsid w:val="005131D1"/>
    <w:rsid w:val="00513AE8"/>
    <w:rsid w:val="00514E15"/>
    <w:rsid w:val="0051595D"/>
    <w:rsid w:val="00515DBD"/>
    <w:rsid w:val="00515FFE"/>
    <w:rsid w:val="00516AF5"/>
    <w:rsid w:val="00516B74"/>
    <w:rsid w:val="00516D01"/>
    <w:rsid w:val="0051786A"/>
    <w:rsid w:val="00517D96"/>
    <w:rsid w:val="0052030F"/>
    <w:rsid w:val="00520A1D"/>
    <w:rsid w:val="00520B6C"/>
    <w:rsid w:val="00520D9A"/>
    <w:rsid w:val="00521238"/>
    <w:rsid w:val="0052226D"/>
    <w:rsid w:val="00522958"/>
    <w:rsid w:val="00522B4D"/>
    <w:rsid w:val="00522E91"/>
    <w:rsid w:val="00522F2C"/>
    <w:rsid w:val="00523007"/>
    <w:rsid w:val="005232A6"/>
    <w:rsid w:val="0052389D"/>
    <w:rsid w:val="0052393F"/>
    <w:rsid w:val="00523F9C"/>
    <w:rsid w:val="00524F08"/>
    <w:rsid w:val="00526910"/>
    <w:rsid w:val="00527CB1"/>
    <w:rsid w:val="00527F53"/>
    <w:rsid w:val="00530102"/>
    <w:rsid w:val="005302B2"/>
    <w:rsid w:val="005308BD"/>
    <w:rsid w:val="00530905"/>
    <w:rsid w:val="00530CFA"/>
    <w:rsid w:val="00530EEA"/>
    <w:rsid w:val="00530F93"/>
    <w:rsid w:val="0053121C"/>
    <w:rsid w:val="005319FE"/>
    <w:rsid w:val="00532184"/>
    <w:rsid w:val="00532340"/>
    <w:rsid w:val="0053269A"/>
    <w:rsid w:val="00532818"/>
    <w:rsid w:val="00532B23"/>
    <w:rsid w:val="005339E0"/>
    <w:rsid w:val="00533F70"/>
    <w:rsid w:val="00533FA6"/>
    <w:rsid w:val="0053406D"/>
    <w:rsid w:val="005344B8"/>
    <w:rsid w:val="005364D8"/>
    <w:rsid w:val="00536843"/>
    <w:rsid w:val="00536C3F"/>
    <w:rsid w:val="00537490"/>
    <w:rsid w:val="00540AB9"/>
    <w:rsid w:val="00540B6A"/>
    <w:rsid w:val="00540D9A"/>
    <w:rsid w:val="0054100D"/>
    <w:rsid w:val="00541254"/>
    <w:rsid w:val="00541A64"/>
    <w:rsid w:val="00541BFD"/>
    <w:rsid w:val="00541FFA"/>
    <w:rsid w:val="0054239B"/>
    <w:rsid w:val="00542755"/>
    <w:rsid w:val="00542F53"/>
    <w:rsid w:val="0054310A"/>
    <w:rsid w:val="00543570"/>
    <w:rsid w:val="00544087"/>
    <w:rsid w:val="00544B98"/>
    <w:rsid w:val="005453E3"/>
    <w:rsid w:val="005454F4"/>
    <w:rsid w:val="00545B09"/>
    <w:rsid w:val="00545BD2"/>
    <w:rsid w:val="00545E8A"/>
    <w:rsid w:val="00545F85"/>
    <w:rsid w:val="005466F0"/>
    <w:rsid w:val="00546A47"/>
    <w:rsid w:val="00546FD9"/>
    <w:rsid w:val="00547AE2"/>
    <w:rsid w:val="00547C7A"/>
    <w:rsid w:val="00550018"/>
    <w:rsid w:val="0055054A"/>
    <w:rsid w:val="00550C1F"/>
    <w:rsid w:val="00550D2B"/>
    <w:rsid w:val="0055121D"/>
    <w:rsid w:val="00551597"/>
    <w:rsid w:val="00552479"/>
    <w:rsid w:val="0055262E"/>
    <w:rsid w:val="00552B3B"/>
    <w:rsid w:val="00552D4B"/>
    <w:rsid w:val="00553156"/>
    <w:rsid w:val="005531CB"/>
    <w:rsid w:val="005539AB"/>
    <w:rsid w:val="005540B0"/>
    <w:rsid w:val="005547D5"/>
    <w:rsid w:val="00554BC9"/>
    <w:rsid w:val="00554C2B"/>
    <w:rsid w:val="005550FF"/>
    <w:rsid w:val="0055561C"/>
    <w:rsid w:val="00555FC6"/>
    <w:rsid w:val="00556713"/>
    <w:rsid w:val="00556C5C"/>
    <w:rsid w:val="00556C74"/>
    <w:rsid w:val="00556FE7"/>
    <w:rsid w:val="005570A3"/>
    <w:rsid w:val="0055723E"/>
    <w:rsid w:val="005576AA"/>
    <w:rsid w:val="00557709"/>
    <w:rsid w:val="005578AA"/>
    <w:rsid w:val="00557CC4"/>
    <w:rsid w:val="00557EF8"/>
    <w:rsid w:val="00560670"/>
    <w:rsid w:val="00560869"/>
    <w:rsid w:val="00560C4A"/>
    <w:rsid w:val="005614F8"/>
    <w:rsid w:val="005615C5"/>
    <w:rsid w:val="0056222E"/>
    <w:rsid w:val="005625B2"/>
    <w:rsid w:val="005625C0"/>
    <w:rsid w:val="00562614"/>
    <w:rsid w:val="00562919"/>
    <w:rsid w:val="00562E79"/>
    <w:rsid w:val="0056323B"/>
    <w:rsid w:val="005637B1"/>
    <w:rsid w:val="00564A49"/>
    <w:rsid w:val="00564D5B"/>
    <w:rsid w:val="005659EB"/>
    <w:rsid w:val="00566224"/>
    <w:rsid w:val="005663B5"/>
    <w:rsid w:val="00566679"/>
    <w:rsid w:val="0056692A"/>
    <w:rsid w:val="00566FB4"/>
    <w:rsid w:val="00567BC7"/>
    <w:rsid w:val="00567D29"/>
    <w:rsid w:val="005701A1"/>
    <w:rsid w:val="00570B99"/>
    <w:rsid w:val="00570C2F"/>
    <w:rsid w:val="00570E43"/>
    <w:rsid w:val="005715ED"/>
    <w:rsid w:val="00571C06"/>
    <w:rsid w:val="0057209F"/>
    <w:rsid w:val="00572AA5"/>
    <w:rsid w:val="00572F6A"/>
    <w:rsid w:val="005730DA"/>
    <w:rsid w:val="00573278"/>
    <w:rsid w:val="00573A0A"/>
    <w:rsid w:val="00573D9C"/>
    <w:rsid w:val="00574393"/>
    <w:rsid w:val="0057470E"/>
    <w:rsid w:val="0057494B"/>
    <w:rsid w:val="00574E78"/>
    <w:rsid w:val="00574F61"/>
    <w:rsid w:val="005758CC"/>
    <w:rsid w:val="00575E6F"/>
    <w:rsid w:val="0057601C"/>
    <w:rsid w:val="0057644B"/>
    <w:rsid w:val="005767CE"/>
    <w:rsid w:val="00576E8B"/>
    <w:rsid w:val="005772D0"/>
    <w:rsid w:val="0057781E"/>
    <w:rsid w:val="00580A06"/>
    <w:rsid w:val="00580CC4"/>
    <w:rsid w:val="00581399"/>
    <w:rsid w:val="00581520"/>
    <w:rsid w:val="00581CC0"/>
    <w:rsid w:val="0058205C"/>
    <w:rsid w:val="00582CAD"/>
    <w:rsid w:val="00582EF9"/>
    <w:rsid w:val="00583527"/>
    <w:rsid w:val="005839D3"/>
    <w:rsid w:val="005839F4"/>
    <w:rsid w:val="00583B0F"/>
    <w:rsid w:val="005843F8"/>
    <w:rsid w:val="005850FE"/>
    <w:rsid w:val="00585DF0"/>
    <w:rsid w:val="005862A3"/>
    <w:rsid w:val="0058655C"/>
    <w:rsid w:val="00586A85"/>
    <w:rsid w:val="005874F3"/>
    <w:rsid w:val="005875DD"/>
    <w:rsid w:val="005918B6"/>
    <w:rsid w:val="00592DC9"/>
    <w:rsid w:val="00593B85"/>
    <w:rsid w:val="00593CF0"/>
    <w:rsid w:val="00595887"/>
    <w:rsid w:val="00595F67"/>
    <w:rsid w:val="0059678C"/>
    <w:rsid w:val="00597090"/>
    <w:rsid w:val="00597525"/>
    <w:rsid w:val="00597A5A"/>
    <w:rsid w:val="005A0925"/>
    <w:rsid w:val="005A181B"/>
    <w:rsid w:val="005A1E0D"/>
    <w:rsid w:val="005A2058"/>
    <w:rsid w:val="005A25CA"/>
    <w:rsid w:val="005A2B3D"/>
    <w:rsid w:val="005A2E1E"/>
    <w:rsid w:val="005A3293"/>
    <w:rsid w:val="005A36A1"/>
    <w:rsid w:val="005A3DF1"/>
    <w:rsid w:val="005A4104"/>
    <w:rsid w:val="005A51B8"/>
    <w:rsid w:val="005A568C"/>
    <w:rsid w:val="005A6305"/>
    <w:rsid w:val="005A64A6"/>
    <w:rsid w:val="005A6724"/>
    <w:rsid w:val="005A6C64"/>
    <w:rsid w:val="005A6E9C"/>
    <w:rsid w:val="005A6F3D"/>
    <w:rsid w:val="005A7131"/>
    <w:rsid w:val="005A7155"/>
    <w:rsid w:val="005A736A"/>
    <w:rsid w:val="005A74B9"/>
    <w:rsid w:val="005B0E46"/>
    <w:rsid w:val="005B1703"/>
    <w:rsid w:val="005B18BD"/>
    <w:rsid w:val="005B18FB"/>
    <w:rsid w:val="005B1B2E"/>
    <w:rsid w:val="005B2117"/>
    <w:rsid w:val="005B2E4E"/>
    <w:rsid w:val="005B384F"/>
    <w:rsid w:val="005B44BA"/>
    <w:rsid w:val="005B4A09"/>
    <w:rsid w:val="005B4E0B"/>
    <w:rsid w:val="005B4F16"/>
    <w:rsid w:val="005B4F25"/>
    <w:rsid w:val="005B5587"/>
    <w:rsid w:val="005B55F4"/>
    <w:rsid w:val="005B5D0A"/>
    <w:rsid w:val="005B7100"/>
    <w:rsid w:val="005B7C0F"/>
    <w:rsid w:val="005B7C3F"/>
    <w:rsid w:val="005B7CA4"/>
    <w:rsid w:val="005C04D0"/>
    <w:rsid w:val="005C07F8"/>
    <w:rsid w:val="005C13CF"/>
    <w:rsid w:val="005C170C"/>
    <w:rsid w:val="005C18D1"/>
    <w:rsid w:val="005C1C2A"/>
    <w:rsid w:val="005C297A"/>
    <w:rsid w:val="005C349A"/>
    <w:rsid w:val="005C37CE"/>
    <w:rsid w:val="005C4B02"/>
    <w:rsid w:val="005C4D65"/>
    <w:rsid w:val="005C5425"/>
    <w:rsid w:val="005C5C25"/>
    <w:rsid w:val="005C60D1"/>
    <w:rsid w:val="005C694B"/>
    <w:rsid w:val="005C70F7"/>
    <w:rsid w:val="005C7297"/>
    <w:rsid w:val="005C7CBA"/>
    <w:rsid w:val="005C7E06"/>
    <w:rsid w:val="005D025B"/>
    <w:rsid w:val="005D0369"/>
    <w:rsid w:val="005D099B"/>
    <w:rsid w:val="005D10D9"/>
    <w:rsid w:val="005D1319"/>
    <w:rsid w:val="005D191C"/>
    <w:rsid w:val="005D217F"/>
    <w:rsid w:val="005D24EB"/>
    <w:rsid w:val="005D28D2"/>
    <w:rsid w:val="005D29C2"/>
    <w:rsid w:val="005D2CA7"/>
    <w:rsid w:val="005D34A9"/>
    <w:rsid w:val="005D35EB"/>
    <w:rsid w:val="005D3ACA"/>
    <w:rsid w:val="005D3AE2"/>
    <w:rsid w:val="005D3AF2"/>
    <w:rsid w:val="005D3FE4"/>
    <w:rsid w:val="005D4247"/>
    <w:rsid w:val="005D462F"/>
    <w:rsid w:val="005D4B5F"/>
    <w:rsid w:val="005D56EB"/>
    <w:rsid w:val="005D5BF6"/>
    <w:rsid w:val="005D702F"/>
    <w:rsid w:val="005D76B3"/>
    <w:rsid w:val="005D7F94"/>
    <w:rsid w:val="005E01A5"/>
    <w:rsid w:val="005E07FD"/>
    <w:rsid w:val="005E0866"/>
    <w:rsid w:val="005E0E92"/>
    <w:rsid w:val="005E0F09"/>
    <w:rsid w:val="005E10E7"/>
    <w:rsid w:val="005E1111"/>
    <w:rsid w:val="005E1226"/>
    <w:rsid w:val="005E1245"/>
    <w:rsid w:val="005E1324"/>
    <w:rsid w:val="005E37E4"/>
    <w:rsid w:val="005E4062"/>
    <w:rsid w:val="005E42A8"/>
    <w:rsid w:val="005E4373"/>
    <w:rsid w:val="005E542C"/>
    <w:rsid w:val="005E5489"/>
    <w:rsid w:val="005E64C8"/>
    <w:rsid w:val="005E6783"/>
    <w:rsid w:val="005E6B92"/>
    <w:rsid w:val="005E7134"/>
    <w:rsid w:val="005E7563"/>
    <w:rsid w:val="005E77B9"/>
    <w:rsid w:val="005F00DC"/>
    <w:rsid w:val="005F043C"/>
    <w:rsid w:val="005F0553"/>
    <w:rsid w:val="005F1071"/>
    <w:rsid w:val="005F15EC"/>
    <w:rsid w:val="005F190E"/>
    <w:rsid w:val="005F1A00"/>
    <w:rsid w:val="005F2C26"/>
    <w:rsid w:val="005F3A5F"/>
    <w:rsid w:val="005F3C1F"/>
    <w:rsid w:val="005F402C"/>
    <w:rsid w:val="005F4833"/>
    <w:rsid w:val="005F4B6E"/>
    <w:rsid w:val="005F4BBD"/>
    <w:rsid w:val="005F5769"/>
    <w:rsid w:val="005F5B49"/>
    <w:rsid w:val="005F69EC"/>
    <w:rsid w:val="005F71C7"/>
    <w:rsid w:val="00601310"/>
    <w:rsid w:val="006013B2"/>
    <w:rsid w:val="006017F2"/>
    <w:rsid w:val="006018B6"/>
    <w:rsid w:val="00601B84"/>
    <w:rsid w:val="00601DA7"/>
    <w:rsid w:val="00602295"/>
    <w:rsid w:val="00602568"/>
    <w:rsid w:val="00602AE6"/>
    <w:rsid w:val="00603A29"/>
    <w:rsid w:val="00603A2C"/>
    <w:rsid w:val="00603AB7"/>
    <w:rsid w:val="006048DE"/>
    <w:rsid w:val="00604977"/>
    <w:rsid w:val="00604999"/>
    <w:rsid w:val="00605224"/>
    <w:rsid w:val="006056B6"/>
    <w:rsid w:val="006057F2"/>
    <w:rsid w:val="00605FDB"/>
    <w:rsid w:val="00606082"/>
    <w:rsid w:val="006067D2"/>
    <w:rsid w:val="006069BC"/>
    <w:rsid w:val="00607876"/>
    <w:rsid w:val="00607BC1"/>
    <w:rsid w:val="00607C38"/>
    <w:rsid w:val="00607F8D"/>
    <w:rsid w:val="0061046E"/>
    <w:rsid w:val="006115AA"/>
    <w:rsid w:val="00611F28"/>
    <w:rsid w:val="00611FEC"/>
    <w:rsid w:val="006123B6"/>
    <w:rsid w:val="00612DA4"/>
    <w:rsid w:val="0061333C"/>
    <w:rsid w:val="00613EA5"/>
    <w:rsid w:val="00614F9D"/>
    <w:rsid w:val="006153BE"/>
    <w:rsid w:val="0061550F"/>
    <w:rsid w:val="0061574B"/>
    <w:rsid w:val="00615A50"/>
    <w:rsid w:val="00615C9E"/>
    <w:rsid w:val="00615EB3"/>
    <w:rsid w:val="0061605A"/>
    <w:rsid w:val="006164A6"/>
    <w:rsid w:val="006166B7"/>
    <w:rsid w:val="00616CC1"/>
    <w:rsid w:val="00616CC7"/>
    <w:rsid w:val="0061712F"/>
    <w:rsid w:val="006179B2"/>
    <w:rsid w:val="0062151E"/>
    <w:rsid w:val="006215B4"/>
    <w:rsid w:val="006217FB"/>
    <w:rsid w:val="00622CBB"/>
    <w:rsid w:val="00622FC4"/>
    <w:rsid w:val="0062344F"/>
    <w:rsid w:val="006237BB"/>
    <w:rsid w:val="00623918"/>
    <w:rsid w:val="00623D5F"/>
    <w:rsid w:val="00623E30"/>
    <w:rsid w:val="00624854"/>
    <w:rsid w:val="00624BF0"/>
    <w:rsid w:val="00624D42"/>
    <w:rsid w:val="0062530D"/>
    <w:rsid w:val="006256AF"/>
    <w:rsid w:val="00625C26"/>
    <w:rsid w:val="00625E1A"/>
    <w:rsid w:val="00625E26"/>
    <w:rsid w:val="0062600A"/>
    <w:rsid w:val="00627E19"/>
    <w:rsid w:val="0063057F"/>
    <w:rsid w:val="00630F57"/>
    <w:rsid w:val="00631070"/>
    <w:rsid w:val="006311F0"/>
    <w:rsid w:val="00631292"/>
    <w:rsid w:val="00631413"/>
    <w:rsid w:val="006316CD"/>
    <w:rsid w:val="006318D4"/>
    <w:rsid w:val="00632A37"/>
    <w:rsid w:val="00632A6B"/>
    <w:rsid w:val="00632A8D"/>
    <w:rsid w:val="00632B5A"/>
    <w:rsid w:val="00632F58"/>
    <w:rsid w:val="00633082"/>
    <w:rsid w:val="00633241"/>
    <w:rsid w:val="00633656"/>
    <w:rsid w:val="006336E7"/>
    <w:rsid w:val="0063377C"/>
    <w:rsid w:val="00633F92"/>
    <w:rsid w:val="006347FE"/>
    <w:rsid w:val="006348DE"/>
    <w:rsid w:val="00634996"/>
    <w:rsid w:val="00634F4A"/>
    <w:rsid w:val="0063576B"/>
    <w:rsid w:val="00635835"/>
    <w:rsid w:val="00636353"/>
    <w:rsid w:val="00637391"/>
    <w:rsid w:val="006377FD"/>
    <w:rsid w:val="00637877"/>
    <w:rsid w:val="006400B4"/>
    <w:rsid w:val="00640876"/>
    <w:rsid w:val="00640FF0"/>
    <w:rsid w:val="006414ED"/>
    <w:rsid w:val="006417BC"/>
    <w:rsid w:val="006422B8"/>
    <w:rsid w:val="0064234B"/>
    <w:rsid w:val="00642A04"/>
    <w:rsid w:val="00642C9D"/>
    <w:rsid w:val="0064359C"/>
    <w:rsid w:val="00643CC2"/>
    <w:rsid w:val="00643EFA"/>
    <w:rsid w:val="00644F50"/>
    <w:rsid w:val="00645714"/>
    <w:rsid w:val="0064593C"/>
    <w:rsid w:val="0064658A"/>
    <w:rsid w:val="00646C25"/>
    <w:rsid w:val="00647966"/>
    <w:rsid w:val="00647F06"/>
    <w:rsid w:val="006502E2"/>
    <w:rsid w:val="00650D10"/>
    <w:rsid w:val="00651B51"/>
    <w:rsid w:val="00652361"/>
    <w:rsid w:val="00652BBD"/>
    <w:rsid w:val="0065353A"/>
    <w:rsid w:val="00653784"/>
    <w:rsid w:val="00653900"/>
    <w:rsid w:val="00653950"/>
    <w:rsid w:val="00653CD9"/>
    <w:rsid w:val="00654356"/>
    <w:rsid w:val="006545F6"/>
    <w:rsid w:val="006546BA"/>
    <w:rsid w:val="0065476B"/>
    <w:rsid w:val="006550A1"/>
    <w:rsid w:val="00655251"/>
    <w:rsid w:val="006552EE"/>
    <w:rsid w:val="0065554E"/>
    <w:rsid w:val="00655845"/>
    <w:rsid w:val="00655A4E"/>
    <w:rsid w:val="00656A6B"/>
    <w:rsid w:val="00656DE0"/>
    <w:rsid w:val="0065711B"/>
    <w:rsid w:val="0065767A"/>
    <w:rsid w:val="00657705"/>
    <w:rsid w:val="00660929"/>
    <w:rsid w:val="00660B81"/>
    <w:rsid w:val="0066121D"/>
    <w:rsid w:val="00661589"/>
    <w:rsid w:val="0066291F"/>
    <w:rsid w:val="00662943"/>
    <w:rsid w:val="00662ADE"/>
    <w:rsid w:val="00664188"/>
    <w:rsid w:val="0066456E"/>
    <w:rsid w:val="0066472D"/>
    <w:rsid w:val="00664AB1"/>
    <w:rsid w:val="00665394"/>
    <w:rsid w:val="006653D3"/>
    <w:rsid w:val="006656BA"/>
    <w:rsid w:val="006667E1"/>
    <w:rsid w:val="00666CDB"/>
    <w:rsid w:val="00667131"/>
    <w:rsid w:val="006675DD"/>
    <w:rsid w:val="00667A36"/>
    <w:rsid w:val="00667B6B"/>
    <w:rsid w:val="00667CC7"/>
    <w:rsid w:val="00670129"/>
    <w:rsid w:val="006702B7"/>
    <w:rsid w:val="006705E6"/>
    <w:rsid w:val="00670BB0"/>
    <w:rsid w:val="006718FF"/>
    <w:rsid w:val="00672150"/>
    <w:rsid w:val="00672479"/>
    <w:rsid w:val="0067249A"/>
    <w:rsid w:val="0067259E"/>
    <w:rsid w:val="00672A61"/>
    <w:rsid w:val="00673045"/>
    <w:rsid w:val="006733EE"/>
    <w:rsid w:val="006737A0"/>
    <w:rsid w:val="00673A00"/>
    <w:rsid w:val="0067443A"/>
    <w:rsid w:val="00675B3E"/>
    <w:rsid w:val="00675BF8"/>
    <w:rsid w:val="00676132"/>
    <w:rsid w:val="0067708C"/>
    <w:rsid w:val="0067733A"/>
    <w:rsid w:val="006776F7"/>
    <w:rsid w:val="006809EF"/>
    <w:rsid w:val="00680B42"/>
    <w:rsid w:val="00680FCC"/>
    <w:rsid w:val="006817FB"/>
    <w:rsid w:val="00681C30"/>
    <w:rsid w:val="00681D45"/>
    <w:rsid w:val="00681DC0"/>
    <w:rsid w:val="00681F50"/>
    <w:rsid w:val="00682580"/>
    <w:rsid w:val="006825D1"/>
    <w:rsid w:val="006825FD"/>
    <w:rsid w:val="00682631"/>
    <w:rsid w:val="00682690"/>
    <w:rsid w:val="00682867"/>
    <w:rsid w:val="00682C3D"/>
    <w:rsid w:val="00682C53"/>
    <w:rsid w:val="006835AA"/>
    <w:rsid w:val="00683DED"/>
    <w:rsid w:val="00684632"/>
    <w:rsid w:val="006846BD"/>
    <w:rsid w:val="006849B2"/>
    <w:rsid w:val="00684A63"/>
    <w:rsid w:val="00684CA6"/>
    <w:rsid w:val="00684D0F"/>
    <w:rsid w:val="00684D74"/>
    <w:rsid w:val="00684FC8"/>
    <w:rsid w:val="00685CCF"/>
    <w:rsid w:val="00686393"/>
    <w:rsid w:val="00686550"/>
    <w:rsid w:val="0068702D"/>
    <w:rsid w:val="00690001"/>
    <w:rsid w:val="00690337"/>
    <w:rsid w:val="00690D20"/>
    <w:rsid w:val="00690D4D"/>
    <w:rsid w:val="00691030"/>
    <w:rsid w:val="00691545"/>
    <w:rsid w:val="0069182C"/>
    <w:rsid w:val="00691873"/>
    <w:rsid w:val="00691A9F"/>
    <w:rsid w:val="00691B4D"/>
    <w:rsid w:val="006923D4"/>
    <w:rsid w:val="006923FF"/>
    <w:rsid w:val="0069261A"/>
    <w:rsid w:val="00693A32"/>
    <w:rsid w:val="00693B8E"/>
    <w:rsid w:val="00695057"/>
    <w:rsid w:val="006951AA"/>
    <w:rsid w:val="0069535A"/>
    <w:rsid w:val="0069581D"/>
    <w:rsid w:val="00695BC4"/>
    <w:rsid w:val="00695C33"/>
    <w:rsid w:val="00695E69"/>
    <w:rsid w:val="00695F9C"/>
    <w:rsid w:val="00696B94"/>
    <w:rsid w:val="00696D8E"/>
    <w:rsid w:val="00696DF2"/>
    <w:rsid w:val="006970B7"/>
    <w:rsid w:val="00697780"/>
    <w:rsid w:val="00697F06"/>
    <w:rsid w:val="006A0254"/>
    <w:rsid w:val="006A0363"/>
    <w:rsid w:val="006A0B51"/>
    <w:rsid w:val="006A0E92"/>
    <w:rsid w:val="006A10D1"/>
    <w:rsid w:val="006A182B"/>
    <w:rsid w:val="006A223B"/>
    <w:rsid w:val="006A3C35"/>
    <w:rsid w:val="006A4A80"/>
    <w:rsid w:val="006A4BBE"/>
    <w:rsid w:val="006A4E04"/>
    <w:rsid w:val="006A56D3"/>
    <w:rsid w:val="006A6166"/>
    <w:rsid w:val="006A6BEF"/>
    <w:rsid w:val="006A769A"/>
    <w:rsid w:val="006A7959"/>
    <w:rsid w:val="006A7CF7"/>
    <w:rsid w:val="006A7D91"/>
    <w:rsid w:val="006B00BF"/>
    <w:rsid w:val="006B0B73"/>
    <w:rsid w:val="006B100E"/>
    <w:rsid w:val="006B12DE"/>
    <w:rsid w:val="006B1CF8"/>
    <w:rsid w:val="006B1DE6"/>
    <w:rsid w:val="006B2302"/>
    <w:rsid w:val="006B2F8B"/>
    <w:rsid w:val="006B30C9"/>
    <w:rsid w:val="006B31CF"/>
    <w:rsid w:val="006B31EF"/>
    <w:rsid w:val="006B3677"/>
    <w:rsid w:val="006B3DFB"/>
    <w:rsid w:val="006B406D"/>
    <w:rsid w:val="006B48E6"/>
    <w:rsid w:val="006B49CB"/>
    <w:rsid w:val="006B4A39"/>
    <w:rsid w:val="006B4B54"/>
    <w:rsid w:val="006B4E65"/>
    <w:rsid w:val="006B5881"/>
    <w:rsid w:val="006B5DBE"/>
    <w:rsid w:val="006B6255"/>
    <w:rsid w:val="006B64F8"/>
    <w:rsid w:val="006B65DC"/>
    <w:rsid w:val="006B6920"/>
    <w:rsid w:val="006B6F6B"/>
    <w:rsid w:val="006B75EE"/>
    <w:rsid w:val="006B77A5"/>
    <w:rsid w:val="006B7B96"/>
    <w:rsid w:val="006C03D5"/>
    <w:rsid w:val="006C0A9F"/>
    <w:rsid w:val="006C0F73"/>
    <w:rsid w:val="006C0F95"/>
    <w:rsid w:val="006C105B"/>
    <w:rsid w:val="006C13B5"/>
    <w:rsid w:val="006C2418"/>
    <w:rsid w:val="006C24A3"/>
    <w:rsid w:val="006C3607"/>
    <w:rsid w:val="006C3E2C"/>
    <w:rsid w:val="006C3F79"/>
    <w:rsid w:val="006C4287"/>
    <w:rsid w:val="006C4DC3"/>
    <w:rsid w:val="006C4EB4"/>
    <w:rsid w:val="006C4F68"/>
    <w:rsid w:val="006C5426"/>
    <w:rsid w:val="006C5699"/>
    <w:rsid w:val="006C6243"/>
    <w:rsid w:val="006C631A"/>
    <w:rsid w:val="006C63ED"/>
    <w:rsid w:val="006C6584"/>
    <w:rsid w:val="006C6971"/>
    <w:rsid w:val="006C6C85"/>
    <w:rsid w:val="006C6F08"/>
    <w:rsid w:val="006D0453"/>
    <w:rsid w:val="006D0FBE"/>
    <w:rsid w:val="006D10BF"/>
    <w:rsid w:val="006D1A7E"/>
    <w:rsid w:val="006D1DB1"/>
    <w:rsid w:val="006D2D2F"/>
    <w:rsid w:val="006D3197"/>
    <w:rsid w:val="006D38F0"/>
    <w:rsid w:val="006D3F20"/>
    <w:rsid w:val="006D461D"/>
    <w:rsid w:val="006D464A"/>
    <w:rsid w:val="006D50D0"/>
    <w:rsid w:val="006D5377"/>
    <w:rsid w:val="006D5505"/>
    <w:rsid w:val="006D560E"/>
    <w:rsid w:val="006D5C7A"/>
    <w:rsid w:val="006D6C6A"/>
    <w:rsid w:val="006D746B"/>
    <w:rsid w:val="006D7C0B"/>
    <w:rsid w:val="006D7F36"/>
    <w:rsid w:val="006D7F53"/>
    <w:rsid w:val="006E0085"/>
    <w:rsid w:val="006E0921"/>
    <w:rsid w:val="006E0F05"/>
    <w:rsid w:val="006E1464"/>
    <w:rsid w:val="006E1F7C"/>
    <w:rsid w:val="006E2303"/>
    <w:rsid w:val="006E2395"/>
    <w:rsid w:val="006E27FE"/>
    <w:rsid w:val="006E296F"/>
    <w:rsid w:val="006E3272"/>
    <w:rsid w:val="006E328F"/>
    <w:rsid w:val="006E3471"/>
    <w:rsid w:val="006E355B"/>
    <w:rsid w:val="006E3794"/>
    <w:rsid w:val="006E37F4"/>
    <w:rsid w:val="006E38E7"/>
    <w:rsid w:val="006E38FC"/>
    <w:rsid w:val="006E3EB3"/>
    <w:rsid w:val="006E3F3D"/>
    <w:rsid w:val="006E4005"/>
    <w:rsid w:val="006E45FC"/>
    <w:rsid w:val="006E50C3"/>
    <w:rsid w:val="006E57DE"/>
    <w:rsid w:val="006E5C90"/>
    <w:rsid w:val="006E6C2C"/>
    <w:rsid w:val="006E706B"/>
    <w:rsid w:val="006E73A0"/>
    <w:rsid w:val="006E754E"/>
    <w:rsid w:val="006E7A11"/>
    <w:rsid w:val="006F01D9"/>
    <w:rsid w:val="006F0447"/>
    <w:rsid w:val="006F082B"/>
    <w:rsid w:val="006F0A3B"/>
    <w:rsid w:val="006F1272"/>
    <w:rsid w:val="006F158D"/>
    <w:rsid w:val="006F16D5"/>
    <w:rsid w:val="006F1800"/>
    <w:rsid w:val="006F1C6E"/>
    <w:rsid w:val="006F1DDB"/>
    <w:rsid w:val="006F1E21"/>
    <w:rsid w:val="006F1FCF"/>
    <w:rsid w:val="006F219F"/>
    <w:rsid w:val="006F2D3B"/>
    <w:rsid w:val="006F2E4C"/>
    <w:rsid w:val="006F3683"/>
    <w:rsid w:val="006F3994"/>
    <w:rsid w:val="006F3995"/>
    <w:rsid w:val="006F3D35"/>
    <w:rsid w:val="006F442D"/>
    <w:rsid w:val="006F4992"/>
    <w:rsid w:val="006F4CFD"/>
    <w:rsid w:val="006F4D14"/>
    <w:rsid w:val="006F56A5"/>
    <w:rsid w:val="006F5981"/>
    <w:rsid w:val="006F5E29"/>
    <w:rsid w:val="006F5F3A"/>
    <w:rsid w:val="006F62DE"/>
    <w:rsid w:val="006F6624"/>
    <w:rsid w:val="006F6C36"/>
    <w:rsid w:val="006F6EFC"/>
    <w:rsid w:val="006F71F0"/>
    <w:rsid w:val="006F72E7"/>
    <w:rsid w:val="006F7957"/>
    <w:rsid w:val="006F7A0B"/>
    <w:rsid w:val="0070043E"/>
    <w:rsid w:val="007005F8"/>
    <w:rsid w:val="00700778"/>
    <w:rsid w:val="007014A7"/>
    <w:rsid w:val="007024D9"/>
    <w:rsid w:val="007027BC"/>
    <w:rsid w:val="00702C02"/>
    <w:rsid w:val="00703AFA"/>
    <w:rsid w:val="00703C80"/>
    <w:rsid w:val="0070406C"/>
    <w:rsid w:val="007044A9"/>
    <w:rsid w:val="007049DF"/>
    <w:rsid w:val="00704AE0"/>
    <w:rsid w:val="00704CAB"/>
    <w:rsid w:val="00705B66"/>
    <w:rsid w:val="00706589"/>
    <w:rsid w:val="00706909"/>
    <w:rsid w:val="00706B30"/>
    <w:rsid w:val="00707006"/>
    <w:rsid w:val="007074F7"/>
    <w:rsid w:val="00707D16"/>
    <w:rsid w:val="00707EAF"/>
    <w:rsid w:val="007109FB"/>
    <w:rsid w:val="00710A02"/>
    <w:rsid w:val="00711D11"/>
    <w:rsid w:val="00711FCE"/>
    <w:rsid w:val="007125DF"/>
    <w:rsid w:val="00712EFD"/>
    <w:rsid w:val="00713033"/>
    <w:rsid w:val="00714C91"/>
    <w:rsid w:val="007153AF"/>
    <w:rsid w:val="00715455"/>
    <w:rsid w:val="007156D4"/>
    <w:rsid w:val="00715825"/>
    <w:rsid w:val="00715D81"/>
    <w:rsid w:val="00715DD4"/>
    <w:rsid w:val="00716352"/>
    <w:rsid w:val="007166F3"/>
    <w:rsid w:val="007169B5"/>
    <w:rsid w:val="007169CD"/>
    <w:rsid w:val="00716A0C"/>
    <w:rsid w:val="00716AA8"/>
    <w:rsid w:val="0071732C"/>
    <w:rsid w:val="00717DB3"/>
    <w:rsid w:val="00717F7D"/>
    <w:rsid w:val="00720630"/>
    <w:rsid w:val="00720CD3"/>
    <w:rsid w:val="00720EF4"/>
    <w:rsid w:val="007213D3"/>
    <w:rsid w:val="00721687"/>
    <w:rsid w:val="00721D4F"/>
    <w:rsid w:val="00722CF6"/>
    <w:rsid w:val="007230E7"/>
    <w:rsid w:val="0072340E"/>
    <w:rsid w:val="00723480"/>
    <w:rsid w:val="00723664"/>
    <w:rsid w:val="00723B22"/>
    <w:rsid w:val="00723BFF"/>
    <w:rsid w:val="00723D90"/>
    <w:rsid w:val="00723EAA"/>
    <w:rsid w:val="007244A2"/>
    <w:rsid w:val="0072462C"/>
    <w:rsid w:val="00724741"/>
    <w:rsid w:val="00724BFB"/>
    <w:rsid w:val="00724F21"/>
    <w:rsid w:val="007251C4"/>
    <w:rsid w:val="007251E5"/>
    <w:rsid w:val="00725792"/>
    <w:rsid w:val="00726462"/>
    <w:rsid w:val="0072749B"/>
    <w:rsid w:val="00727617"/>
    <w:rsid w:val="00730191"/>
    <w:rsid w:val="0073165F"/>
    <w:rsid w:val="007318C1"/>
    <w:rsid w:val="007330A0"/>
    <w:rsid w:val="00733458"/>
    <w:rsid w:val="00733568"/>
    <w:rsid w:val="007336BA"/>
    <w:rsid w:val="00733A56"/>
    <w:rsid w:val="007340C8"/>
    <w:rsid w:val="00734334"/>
    <w:rsid w:val="00734497"/>
    <w:rsid w:val="007344CF"/>
    <w:rsid w:val="007344E3"/>
    <w:rsid w:val="007348BE"/>
    <w:rsid w:val="0073498D"/>
    <w:rsid w:val="00734B2F"/>
    <w:rsid w:val="00734DB7"/>
    <w:rsid w:val="00735420"/>
    <w:rsid w:val="007354A3"/>
    <w:rsid w:val="00735967"/>
    <w:rsid w:val="00735A89"/>
    <w:rsid w:val="00735E24"/>
    <w:rsid w:val="007367F6"/>
    <w:rsid w:val="0073721E"/>
    <w:rsid w:val="00737989"/>
    <w:rsid w:val="00737C09"/>
    <w:rsid w:val="00737DE2"/>
    <w:rsid w:val="0074006B"/>
    <w:rsid w:val="0074039C"/>
    <w:rsid w:val="00740BC3"/>
    <w:rsid w:val="00740F31"/>
    <w:rsid w:val="0074164E"/>
    <w:rsid w:val="00741865"/>
    <w:rsid w:val="00741A85"/>
    <w:rsid w:val="00741BFC"/>
    <w:rsid w:val="00742531"/>
    <w:rsid w:val="00742582"/>
    <w:rsid w:val="007425B5"/>
    <w:rsid w:val="00742976"/>
    <w:rsid w:val="00743EBA"/>
    <w:rsid w:val="00744B46"/>
    <w:rsid w:val="00744E35"/>
    <w:rsid w:val="00745361"/>
    <w:rsid w:val="0074537B"/>
    <w:rsid w:val="007458DE"/>
    <w:rsid w:val="00745C81"/>
    <w:rsid w:val="007466A7"/>
    <w:rsid w:val="00746A5A"/>
    <w:rsid w:val="00746CCA"/>
    <w:rsid w:val="00746E15"/>
    <w:rsid w:val="007473EF"/>
    <w:rsid w:val="00747433"/>
    <w:rsid w:val="007475E2"/>
    <w:rsid w:val="007476AB"/>
    <w:rsid w:val="00747CB6"/>
    <w:rsid w:val="00747F6D"/>
    <w:rsid w:val="00751183"/>
    <w:rsid w:val="0075195B"/>
    <w:rsid w:val="007524FA"/>
    <w:rsid w:val="007525EE"/>
    <w:rsid w:val="00752768"/>
    <w:rsid w:val="007528F0"/>
    <w:rsid w:val="00752A95"/>
    <w:rsid w:val="00752CF7"/>
    <w:rsid w:val="0075314A"/>
    <w:rsid w:val="00753808"/>
    <w:rsid w:val="0075383F"/>
    <w:rsid w:val="0075414B"/>
    <w:rsid w:val="00754551"/>
    <w:rsid w:val="00754D73"/>
    <w:rsid w:val="007551E0"/>
    <w:rsid w:val="00755B97"/>
    <w:rsid w:val="00756133"/>
    <w:rsid w:val="0075615E"/>
    <w:rsid w:val="00756545"/>
    <w:rsid w:val="00757166"/>
    <w:rsid w:val="00757219"/>
    <w:rsid w:val="007601D8"/>
    <w:rsid w:val="00761422"/>
    <w:rsid w:val="00761769"/>
    <w:rsid w:val="007617BE"/>
    <w:rsid w:val="007620EE"/>
    <w:rsid w:val="007621D2"/>
    <w:rsid w:val="00762560"/>
    <w:rsid w:val="007633C5"/>
    <w:rsid w:val="0076368B"/>
    <w:rsid w:val="00763774"/>
    <w:rsid w:val="0076381D"/>
    <w:rsid w:val="00763B87"/>
    <w:rsid w:val="00764624"/>
    <w:rsid w:val="007646FF"/>
    <w:rsid w:val="00764864"/>
    <w:rsid w:val="00764D81"/>
    <w:rsid w:val="00764EAE"/>
    <w:rsid w:val="0076538D"/>
    <w:rsid w:val="007653C9"/>
    <w:rsid w:val="00765709"/>
    <w:rsid w:val="00765C9F"/>
    <w:rsid w:val="00767355"/>
    <w:rsid w:val="00770737"/>
    <w:rsid w:val="0077160D"/>
    <w:rsid w:val="00771784"/>
    <w:rsid w:val="00771C56"/>
    <w:rsid w:val="007720A6"/>
    <w:rsid w:val="00772AEE"/>
    <w:rsid w:val="00772B20"/>
    <w:rsid w:val="00772B47"/>
    <w:rsid w:val="00772B9B"/>
    <w:rsid w:val="00772DF6"/>
    <w:rsid w:val="00773C8B"/>
    <w:rsid w:val="007741BC"/>
    <w:rsid w:val="007748B1"/>
    <w:rsid w:val="00775990"/>
    <w:rsid w:val="00775E2D"/>
    <w:rsid w:val="00776395"/>
    <w:rsid w:val="0077672C"/>
    <w:rsid w:val="00776DF7"/>
    <w:rsid w:val="0077729A"/>
    <w:rsid w:val="00777561"/>
    <w:rsid w:val="007809FF"/>
    <w:rsid w:val="00782204"/>
    <w:rsid w:val="00782A78"/>
    <w:rsid w:val="00782AD0"/>
    <w:rsid w:val="0078339C"/>
    <w:rsid w:val="00784108"/>
    <w:rsid w:val="007841DC"/>
    <w:rsid w:val="00784292"/>
    <w:rsid w:val="007843D2"/>
    <w:rsid w:val="007847AD"/>
    <w:rsid w:val="00784D07"/>
    <w:rsid w:val="00784E2C"/>
    <w:rsid w:val="00785463"/>
    <w:rsid w:val="007854C5"/>
    <w:rsid w:val="00785C21"/>
    <w:rsid w:val="007861AF"/>
    <w:rsid w:val="00786BE0"/>
    <w:rsid w:val="00786CAD"/>
    <w:rsid w:val="0078720E"/>
    <w:rsid w:val="00787FC5"/>
    <w:rsid w:val="007900F7"/>
    <w:rsid w:val="007902BC"/>
    <w:rsid w:val="007909F5"/>
    <w:rsid w:val="00790BDA"/>
    <w:rsid w:val="00790CE8"/>
    <w:rsid w:val="0079134A"/>
    <w:rsid w:val="0079160A"/>
    <w:rsid w:val="00791F1C"/>
    <w:rsid w:val="00792DCA"/>
    <w:rsid w:val="0079362E"/>
    <w:rsid w:val="00793A77"/>
    <w:rsid w:val="00793AC4"/>
    <w:rsid w:val="00793BB1"/>
    <w:rsid w:val="0079438F"/>
    <w:rsid w:val="00794546"/>
    <w:rsid w:val="0079471A"/>
    <w:rsid w:val="00794E08"/>
    <w:rsid w:val="00795B9A"/>
    <w:rsid w:val="00795BDD"/>
    <w:rsid w:val="00795C89"/>
    <w:rsid w:val="00795CE0"/>
    <w:rsid w:val="00796591"/>
    <w:rsid w:val="0079683E"/>
    <w:rsid w:val="0079693E"/>
    <w:rsid w:val="00796DFD"/>
    <w:rsid w:val="00796F78"/>
    <w:rsid w:val="007972CB"/>
    <w:rsid w:val="00797382"/>
    <w:rsid w:val="00797BBA"/>
    <w:rsid w:val="00797EF9"/>
    <w:rsid w:val="007A01A5"/>
    <w:rsid w:val="007A01B4"/>
    <w:rsid w:val="007A087E"/>
    <w:rsid w:val="007A1078"/>
    <w:rsid w:val="007A139C"/>
    <w:rsid w:val="007A1429"/>
    <w:rsid w:val="007A16A7"/>
    <w:rsid w:val="007A205A"/>
    <w:rsid w:val="007A21B1"/>
    <w:rsid w:val="007A412C"/>
    <w:rsid w:val="007A4170"/>
    <w:rsid w:val="007A4539"/>
    <w:rsid w:val="007A489C"/>
    <w:rsid w:val="007A4CE5"/>
    <w:rsid w:val="007A55EC"/>
    <w:rsid w:val="007A76EA"/>
    <w:rsid w:val="007A7C00"/>
    <w:rsid w:val="007B0140"/>
    <w:rsid w:val="007B015A"/>
    <w:rsid w:val="007B03CB"/>
    <w:rsid w:val="007B0459"/>
    <w:rsid w:val="007B10BC"/>
    <w:rsid w:val="007B147B"/>
    <w:rsid w:val="007B14E9"/>
    <w:rsid w:val="007B14F2"/>
    <w:rsid w:val="007B1679"/>
    <w:rsid w:val="007B30C6"/>
    <w:rsid w:val="007B34C1"/>
    <w:rsid w:val="007B357D"/>
    <w:rsid w:val="007B4363"/>
    <w:rsid w:val="007B4F13"/>
    <w:rsid w:val="007B51DD"/>
    <w:rsid w:val="007B52FF"/>
    <w:rsid w:val="007B5696"/>
    <w:rsid w:val="007B5E43"/>
    <w:rsid w:val="007B6323"/>
    <w:rsid w:val="007B6B67"/>
    <w:rsid w:val="007B6F08"/>
    <w:rsid w:val="007B7128"/>
    <w:rsid w:val="007B742E"/>
    <w:rsid w:val="007B7F13"/>
    <w:rsid w:val="007C0096"/>
    <w:rsid w:val="007C0271"/>
    <w:rsid w:val="007C0D22"/>
    <w:rsid w:val="007C1634"/>
    <w:rsid w:val="007C16DB"/>
    <w:rsid w:val="007C26C0"/>
    <w:rsid w:val="007C27D3"/>
    <w:rsid w:val="007C2883"/>
    <w:rsid w:val="007C28F6"/>
    <w:rsid w:val="007C2B6F"/>
    <w:rsid w:val="007C551D"/>
    <w:rsid w:val="007C55B1"/>
    <w:rsid w:val="007C5BB8"/>
    <w:rsid w:val="007C5FC9"/>
    <w:rsid w:val="007C6A05"/>
    <w:rsid w:val="007C6C0B"/>
    <w:rsid w:val="007C6E8A"/>
    <w:rsid w:val="007C74AF"/>
    <w:rsid w:val="007C7542"/>
    <w:rsid w:val="007C7D50"/>
    <w:rsid w:val="007C7E7D"/>
    <w:rsid w:val="007D0C4D"/>
    <w:rsid w:val="007D0DA9"/>
    <w:rsid w:val="007D0EFE"/>
    <w:rsid w:val="007D111E"/>
    <w:rsid w:val="007D1233"/>
    <w:rsid w:val="007D1361"/>
    <w:rsid w:val="007D2111"/>
    <w:rsid w:val="007D2237"/>
    <w:rsid w:val="007D2509"/>
    <w:rsid w:val="007D261C"/>
    <w:rsid w:val="007D2DE1"/>
    <w:rsid w:val="007D348D"/>
    <w:rsid w:val="007D3702"/>
    <w:rsid w:val="007D377C"/>
    <w:rsid w:val="007D3C82"/>
    <w:rsid w:val="007D3D7F"/>
    <w:rsid w:val="007D3EEE"/>
    <w:rsid w:val="007D40EC"/>
    <w:rsid w:val="007D4985"/>
    <w:rsid w:val="007D49C8"/>
    <w:rsid w:val="007D4A5A"/>
    <w:rsid w:val="007D4E22"/>
    <w:rsid w:val="007D50C1"/>
    <w:rsid w:val="007D51F3"/>
    <w:rsid w:val="007D5457"/>
    <w:rsid w:val="007D5B5D"/>
    <w:rsid w:val="007D6922"/>
    <w:rsid w:val="007D705A"/>
    <w:rsid w:val="007D7776"/>
    <w:rsid w:val="007D7C43"/>
    <w:rsid w:val="007E06DE"/>
    <w:rsid w:val="007E0AE4"/>
    <w:rsid w:val="007E139E"/>
    <w:rsid w:val="007E1A68"/>
    <w:rsid w:val="007E1EB8"/>
    <w:rsid w:val="007E217E"/>
    <w:rsid w:val="007E25B4"/>
    <w:rsid w:val="007E3924"/>
    <w:rsid w:val="007E40B6"/>
    <w:rsid w:val="007E419B"/>
    <w:rsid w:val="007E48E5"/>
    <w:rsid w:val="007E51FF"/>
    <w:rsid w:val="007E552E"/>
    <w:rsid w:val="007E5570"/>
    <w:rsid w:val="007E5A09"/>
    <w:rsid w:val="007E5F3D"/>
    <w:rsid w:val="007E657D"/>
    <w:rsid w:val="007E76EB"/>
    <w:rsid w:val="007E79DA"/>
    <w:rsid w:val="007E7D18"/>
    <w:rsid w:val="007E7F5B"/>
    <w:rsid w:val="007F00DD"/>
    <w:rsid w:val="007F05A5"/>
    <w:rsid w:val="007F0FF4"/>
    <w:rsid w:val="007F1654"/>
    <w:rsid w:val="007F1A2B"/>
    <w:rsid w:val="007F1B15"/>
    <w:rsid w:val="007F226F"/>
    <w:rsid w:val="007F24CA"/>
    <w:rsid w:val="007F25AF"/>
    <w:rsid w:val="007F2735"/>
    <w:rsid w:val="007F2DAF"/>
    <w:rsid w:val="007F2E24"/>
    <w:rsid w:val="007F3170"/>
    <w:rsid w:val="007F3419"/>
    <w:rsid w:val="007F3A6F"/>
    <w:rsid w:val="007F3B39"/>
    <w:rsid w:val="007F44E3"/>
    <w:rsid w:val="007F46F7"/>
    <w:rsid w:val="007F5E6F"/>
    <w:rsid w:val="007F5F41"/>
    <w:rsid w:val="007F5FE3"/>
    <w:rsid w:val="007F63FF"/>
    <w:rsid w:val="007F6818"/>
    <w:rsid w:val="007F78F9"/>
    <w:rsid w:val="007F7BDF"/>
    <w:rsid w:val="008001B9"/>
    <w:rsid w:val="00800493"/>
    <w:rsid w:val="0080065C"/>
    <w:rsid w:val="00800F29"/>
    <w:rsid w:val="008011F9"/>
    <w:rsid w:val="00801570"/>
    <w:rsid w:val="008018BC"/>
    <w:rsid w:val="00801B8B"/>
    <w:rsid w:val="0080272B"/>
    <w:rsid w:val="00802DF4"/>
    <w:rsid w:val="00802EDF"/>
    <w:rsid w:val="008030AD"/>
    <w:rsid w:val="008030E8"/>
    <w:rsid w:val="008037B3"/>
    <w:rsid w:val="00803B3D"/>
    <w:rsid w:val="00803C97"/>
    <w:rsid w:val="00803CC2"/>
    <w:rsid w:val="00803DE6"/>
    <w:rsid w:val="00803F3A"/>
    <w:rsid w:val="00804012"/>
    <w:rsid w:val="00804254"/>
    <w:rsid w:val="00804460"/>
    <w:rsid w:val="00804AAE"/>
    <w:rsid w:val="00804AC9"/>
    <w:rsid w:val="00804E70"/>
    <w:rsid w:val="00805973"/>
    <w:rsid w:val="00805D24"/>
    <w:rsid w:val="00805DB2"/>
    <w:rsid w:val="008060C2"/>
    <w:rsid w:val="0080613B"/>
    <w:rsid w:val="00806713"/>
    <w:rsid w:val="00806AC9"/>
    <w:rsid w:val="00806C1A"/>
    <w:rsid w:val="00806E73"/>
    <w:rsid w:val="00806FA6"/>
    <w:rsid w:val="0080714B"/>
    <w:rsid w:val="008078D9"/>
    <w:rsid w:val="00807AA9"/>
    <w:rsid w:val="008100A0"/>
    <w:rsid w:val="00810F0B"/>
    <w:rsid w:val="008112A2"/>
    <w:rsid w:val="008124E8"/>
    <w:rsid w:val="00812C7C"/>
    <w:rsid w:val="0081305C"/>
    <w:rsid w:val="00813444"/>
    <w:rsid w:val="0081354F"/>
    <w:rsid w:val="00813C2F"/>
    <w:rsid w:val="00813D20"/>
    <w:rsid w:val="008147AA"/>
    <w:rsid w:val="00814BE0"/>
    <w:rsid w:val="00815577"/>
    <w:rsid w:val="00815836"/>
    <w:rsid w:val="00815A22"/>
    <w:rsid w:val="00816038"/>
    <w:rsid w:val="00817989"/>
    <w:rsid w:val="00817AB8"/>
    <w:rsid w:val="008201A2"/>
    <w:rsid w:val="00820999"/>
    <w:rsid w:val="008218C0"/>
    <w:rsid w:val="00821B34"/>
    <w:rsid w:val="008224A3"/>
    <w:rsid w:val="00822A10"/>
    <w:rsid w:val="0082318D"/>
    <w:rsid w:val="0082332B"/>
    <w:rsid w:val="00823949"/>
    <w:rsid w:val="00823D0E"/>
    <w:rsid w:val="00823E4F"/>
    <w:rsid w:val="00824604"/>
    <w:rsid w:val="00824959"/>
    <w:rsid w:val="00824BE8"/>
    <w:rsid w:val="00824E68"/>
    <w:rsid w:val="0082550B"/>
    <w:rsid w:val="00825647"/>
    <w:rsid w:val="00825A94"/>
    <w:rsid w:val="00825C8B"/>
    <w:rsid w:val="008265EB"/>
    <w:rsid w:val="0082685F"/>
    <w:rsid w:val="00826999"/>
    <w:rsid w:val="00826D1B"/>
    <w:rsid w:val="00826FD3"/>
    <w:rsid w:val="00827C9D"/>
    <w:rsid w:val="008304AC"/>
    <w:rsid w:val="00830A76"/>
    <w:rsid w:val="00830CFF"/>
    <w:rsid w:val="00830D60"/>
    <w:rsid w:val="0083185F"/>
    <w:rsid w:val="00831A25"/>
    <w:rsid w:val="00831A36"/>
    <w:rsid w:val="00831DBA"/>
    <w:rsid w:val="0083226C"/>
    <w:rsid w:val="0083250D"/>
    <w:rsid w:val="008331D1"/>
    <w:rsid w:val="00833C51"/>
    <w:rsid w:val="00834352"/>
    <w:rsid w:val="008346E0"/>
    <w:rsid w:val="0083488F"/>
    <w:rsid w:val="00834E77"/>
    <w:rsid w:val="00835DCC"/>
    <w:rsid w:val="0083656F"/>
    <w:rsid w:val="008372E4"/>
    <w:rsid w:val="00837534"/>
    <w:rsid w:val="008375EC"/>
    <w:rsid w:val="00837662"/>
    <w:rsid w:val="0083773E"/>
    <w:rsid w:val="0084066F"/>
    <w:rsid w:val="008414D8"/>
    <w:rsid w:val="00841873"/>
    <w:rsid w:val="0084198B"/>
    <w:rsid w:val="00841B96"/>
    <w:rsid w:val="008421B8"/>
    <w:rsid w:val="00842C8B"/>
    <w:rsid w:val="00842DD8"/>
    <w:rsid w:val="008437D9"/>
    <w:rsid w:val="00843F50"/>
    <w:rsid w:val="00844F78"/>
    <w:rsid w:val="00844FBA"/>
    <w:rsid w:val="00845806"/>
    <w:rsid w:val="0084634A"/>
    <w:rsid w:val="00846898"/>
    <w:rsid w:val="00846E33"/>
    <w:rsid w:val="008502F4"/>
    <w:rsid w:val="008503DF"/>
    <w:rsid w:val="008507D6"/>
    <w:rsid w:val="00850887"/>
    <w:rsid w:val="00851205"/>
    <w:rsid w:val="008515B1"/>
    <w:rsid w:val="008515EE"/>
    <w:rsid w:val="00851887"/>
    <w:rsid w:val="00851C5D"/>
    <w:rsid w:val="00851F2D"/>
    <w:rsid w:val="00851FCA"/>
    <w:rsid w:val="0085203C"/>
    <w:rsid w:val="00852573"/>
    <w:rsid w:val="0085263D"/>
    <w:rsid w:val="008526C1"/>
    <w:rsid w:val="008526C5"/>
    <w:rsid w:val="008527C7"/>
    <w:rsid w:val="00852A17"/>
    <w:rsid w:val="00853225"/>
    <w:rsid w:val="00853841"/>
    <w:rsid w:val="00853995"/>
    <w:rsid w:val="00853C97"/>
    <w:rsid w:val="00853F02"/>
    <w:rsid w:val="008544F8"/>
    <w:rsid w:val="00854716"/>
    <w:rsid w:val="00854C36"/>
    <w:rsid w:val="0085517E"/>
    <w:rsid w:val="00855C8B"/>
    <w:rsid w:val="00855E99"/>
    <w:rsid w:val="00855EE7"/>
    <w:rsid w:val="008566DB"/>
    <w:rsid w:val="00856894"/>
    <w:rsid w:val="00856F3A"/>
    <w:rsid w:val="008570AC"/>
    <w:rsid w:val="008572B1"/>
    <w:rsid w:val="0085744F"/>
    <w:rsid w:val="008575BF"/>
    <w:rsid w:val="00857C7A"/>
    <w:rsid w:val="008600E9"/>
    <w:rsid w:val="00860436"/>
    <w:rsid w:val="0086070B"/>
    <w:rsid w:val="00861E28"/>
    <w:rsid w:val="00862193"/>
    <w:rsid w:val="00864446"/>
    <w:rsid w:val="0086466E"/>
    <w:rsid w:val="008648A0"/>
    <w:rsid w:val="00865050"/>
    <w:rsid w:val="0086529E"/>
    <w:rsid w:val="008654C9"/>
    <w:rsid w:val="00865946"/>
    <w:rsid w:val="00865B51"/>
    <w:rsid w:val="00865EFC"/>
    <w:rsid w:val="008667CF"/>
    <w:rsid w:val="0086684B"/>
    <w:rsid w:val="00866A4F"/>
    <w:rsid w:val="00867CB4"/>
    <w:rsid w:val="00867ED3"/>
    <w:rsid w:val="00870411"/>
    <w:rsid w:val="00870598"/>
    <w:rsid w:val="0087114E"/>
    <w:rsid w:val="00871D2D"/>
    <w:rsid w:val="00872C2E"/>
    <w:rsid w:val="008739D3"/>
    <w:rsid w:val="00873B9C"/>
    <w:rsid w:val="00874613"/>
    <w:rsid w:val="00874632"/>
    <w:rsid w:val="0087463F"/>
    <w:rsid w:val="00874D0F"/>
    <w:rsid w:val="00875360"/>
    <w:rsid w:val="00875E86"/>
    <w:rsid w:val="00875FDA"/>
    <w:rsid w:val="00876CC9"/>
    <w:rsid w:val="00876D38"/>
    <w:rsid w:val="00876DBD"/>
    <w:rsid w:val="0087780D"/>
    <w:rsid w:val="008779C8"/>
    <w:rsid w:val="008805C8"/>
    <w:rsid w:val="00880684"/>
    <w:rsid w:val="00880B53"/>
    <w:rsid w:val="00880BD7"/>
    <w:rsid w:val="00881ABC"/>
    <w:rsid w:val="00881CD1"/>
    <w:rsid w:val="00882401"/>
    <w:rsid w:val="0088260E"/>
    <w:rsid w:val="00882E06"/>
    <w:rsid w:val="008832EB"/>
    <w:rsid w:val="00883896"/>
    <w:rsid w:val="00883E9B"/>
    <w:rsid w:val="00884221"/>
    <w:rsid w:val="0088479E"/>
    <w:rsid w:val="00884F8B"/>
    <w:rsid w:val="008858C8"/>
    <w:rsid w:val="00886157"/>
    <w:rsid w:val="008869E0"/>
    <w:rsid w:val="00886B06"/>
    <w:rsid w:val="00886BD6"/>
    <w:rsid w:val="00886D6A"/>
    <w:rsid w:val="008878E9"/>
    <w:rsid w:val="00887AE7"/>
    <w:rsid w:val="00890550"/>
    <w:rsid w:val="00890688"/>
    <w:rsid w:val="00890E09"/>
    <w:rsid w:val="0089103F"/>
    <w:rsid w:val="008910A8"/>
    <w:rsid w:val="008911C8"/>
    <w:rsid w:val="00891379"/>
    <w:rsid w:val="00891686"/>
    <w:rsid w:val="008917CC"/>
    <w:rsid w:val="008918BC"/>
    <w:rsid w:val="0089210F"/>
    <w:rsid w:val="008926B0"/>
    <w:rsid w:val="0089299B"/>
    <w:rsid w:val="00892C68"/>
    <w:rsid w:val="00892DB4"/>
    <w:rsid w:val="0089342A"/>
    <w:rsid w:val="00893597"/>
    <w:rsid w:val="008935BA"/>
    <w:rsid w:val="0089381F"/>
    <w:rsid w:val="008947E4"/>
    <w:rsid w:val="008952F9"/>
    <w:rsid w:val="00895493"/>
    <w:rsid w:val="00895B80"/>
    <w:rsid w:val="00895D47"/>
    <w:rsid w:val="00895F88"/>
    <w:rsid w:val="00897225"/>
    <w:rsid w:val="008973DB"/>
    <w:rsid w:val="00897698"/>
    <w:rsid w:val="00897A55"/>
    <w:rsid w:val="00897AEB"/>
    <w:rsid w:val="008A03DA"/>
    <w:rsid w:val="008A0858"/>
    <w:rsid w:val="008A092D"/>
    <w:rsid w:val="008A0C5B"/>
    <w:rsid w:val="008A0C74"/>
    <w:rsid w:val="008A1072"/>
    <w:rsid w:val="008A18DE"/>
    <w:rsid w:val="008A2502"/>
    <w:rsid w:val="008A29FB"/>
    <w:rsid w:val="008A2AAA"/>
    <w:rsid w:val="008A2B3B"/>
    <w:rsid w:val="008A2FA4"/>
    <w:rsid w:val="008A3E3F"/>
    <w:rsid w:val="008A3EF9"/>
    <w:rsid w:val="008A3FC4"/>
    <w:rsid w:val="008A409D"/>
    <w:rsid w:val="008A5792"/>
    <w:rsid w:val="008A5C8E"/>
    <w:rsid w:val="008A647D"/>
    <w:rsid w:val="008A7AA0"/>
    <w:rsid w:val="008A7ED4"/>
    <w:rsid w:val="008B093C"/>
    <w:rsid w:val="008B0A4E"/>
    <w:rsid w:val="008B0B9D"/>
    <w:rsid w:val="008B0E4C"/>
    <w:rsid w:val="008B230D"/>
    <w:rsid w:val="008B2612"/>
    <w:rsid w:val="008B2A33"/>
    <w:rsid w:val="008B2C44"/>
    <w:rsid w:val="008B35E0"/>
    <w:rsid w:val="008B3673"/>
    <w:rsid w:val="008B36A2"/>
    <w:rsid w:val="008B384C"/>
    <w:rsid w:val="008B3BB9"/>
    <w:rsid w:val="008B4D60"/>
    <w:rsid w:val="008B50FE"/>
    <w:rsid w:val="008B5168"/>
    <w:rsid w:val="008B5261"/>
    <w:rsid w:val="008B550B"/>
    <w:rsid w:val="008B62CB"/>
    <w:rsid w:val="008B638D"/>
    <w:rsid w:val="008B644A"/>
    <w:rsid w:val="008B6844"/>
    <w:rsid w:val="008B6A94"/>
    <w:rsid w:val="008B7BB9"/>
    <w:rsid w:val="008B7D11"/>
    <w:rsid w:val="008C012F"/>
    <w:rsid w:val="008C245F"/>
    <w:rsid w:val="008C300F"/>
    <w:rsid w:val="008C3937"/>
    <w:rsid w:val="008C3A0F"/>
    <w:rsid w:val="008C3F62"/>
    <w:rsid w:val="008C3FC5"/>
    <w:rsid w:val="008C40B4"/>
    <w:rsid w:val="008C4C40"/>
    <w:rsid w:val="008C5131"/>
    <w:rsid w:val="008C590E"/>
    <w:rsid w:val="008C5AE4"/>
    <w:rsid w:val="008C5F2E"/>
    <w:rsid w:val="008C65E0"/>
    <w:rsid w:val="008C68B6"/>
    <w:rsid w:val="008C6C7E"/>
    <w:rsid w:val="008C6D5C"/>
    <w:rsid w:val="008C745C"/>
    <w:rsid w:val="008C7A34"/>
    <w:rsid w:val="008D0039"/>
    <w:rsid w:val="008D00AB"/>
    <w:rsid w:val="008D0234"/>
    <w:rsid w:val="008D0297"/>
    <w:rsid w:val="008D02F5"/>
    <w:rsid w:val="008D060F"/>
    <w:rsid w:val="008D0818"/>
    <w:rsid w:val="008D0954"/>
    <w:rsid w:val="008D0C37"/>
    <w:rsid w:val="008D0FAA"/>
    <w:rsid w:val="008D1DF0"/>
    <w:rsid w:val="008D25B2"/>
    <w:rsid w:val="008D2C06"/>
    <w:rsid w:val="008D33A5"/>
    <w:rsid w:val="008D3454"/>
    <w:rsid w:val="008D3471"/>
    <w:rsid w:val="008D4223"/>
    <w:rsid w:val="008D5953"/>
    <w:rsid w:val="008D5BFE"/>
    <w:rsid w:val="008D65E3"/>
    <w:rsid w:val="008D6D31"/>
    <w:rsid w:val="008D7C9B"/>
    <w:rsid w:val="008E0EBA"/>
    <w:rsid w:val="008E1184"/>
    <w:rsid w:val="008E11CA"/>
    <w:rsid w:val="008E16D3"/>
    <w:rsid w:val="008E1EC7"/>
    <w:rsid w:val="008E21C8"/>
    <w:rsid w:val="008E21E9"/>
    <w:rsid w:val="008E27FB"/>
    <w:rsid w:val="008E2843"/>
    <w:rsid w:val="008E2B98"/>
    <w:rsid w:val="008E302F"/>
    <w:rsid w:val="008E30E5"/>
    <w:rsid w:val="008E311E"/>
    <w:rsid w:val="008E31B3"/>
    <w:rsid w:val="008E336F"/>
    <w:rsid w:val="008E34BB"/>
    <w:rsid w:val="008E447E"/>
    <w:rsid w:val="008E4788"/>
    <w:rsid w:val="008E50DF"/>
    <w:rsid w:val="008E547A"/>
    <w:rsid w:val="008E561E"/>
    <w:rsid w:val="008E5BBB"/>
    <w:rsid w:val="008E605C"/>
    <w:rsid w:val="008E60BE"/>
    <w:rsid w:val="008E6107"/>
    <w:rsid w:val="008E6334"/>
    <w:rsid w:val="008E685D"/>
    <w:rsid w:val="008E69DE"/>
    <w:rsid w:val="008E6A20"/>
    <w:rsid w:val="008E6EFD"/>
    <w:rsid w:val="008E7012"/>
    <w:rsid w:val="008E70CF"/>
    <w:rsid w:val="008F01B0"/>
    <w:rsid w:val="008F0241"/>
    <w:rsid w:val="008F09AA"/>
    <w:rsid w:val="008F0B46"/>
    <w:rsid w:val="008F1A9A"/>
    <w:rsid w:val="008F1CB4"/>
    <w:rsid w:val="008F1FA3"/>
    <w:rsid w:val="008F2013"/>
    <w:rsid w:val="008F2046"/>
    <w:rsid w:val="008F20AF"/>
    <w:rsid w:val="008F2AB1"/>
    <w:rsid w:val="008F2C5A"/>
    <w:rsid w:val="008F350A"/>
    <w:rsid w:val="008F4C41"/>
    <w:rsid w:val="008F53C8"/>
    <w:rsid w:val="008F54D6"/>
    <w:rsid w:val="008F5B5E"/>
    <w:rsid w:val="008F5E2F"/>
    <w:rsid w:val="008F5FD9"/>
    <w:rsid w:val="008F70CF"/>
    <w:rsid w:val="008F7BC5"/>
    <w:rsid w:val="008F7C81"/>
    <w:rsid w:val="009001C8"/>
    <w:rsid w:val="00900EFA"/>
    <w:rsid w:val="00901418"/>
    <w:rsid w:val="00901468"/>
    <w:rsid w:val="00901984"/>
    <w:rsid w:val="00901D8C"/>
    <w:rsid w:val="0090218F"/>
    <w:rsid w:val="009022C2"/>
    <w:rsid w:val="0090239F"/>
    <w:rsid w:val="00902580"/>
    <w:rsid w:val="00902603"/>
    <w:rsid w:val="00902A00"/>
    <w:rsid w:val="009033DC"/>
    <w:rsid w:val="0090341E"/>
    <w:rsid w:val="009035E7"/>
    <w:rsid w:val="00903920"/>
    <w:rsid w:val="00903B8F"/>
    <w:rsid w:val="00903FC7"/>
    <w:rsid w:val="00904AC4"/>
    <w:rsid w:val="00905291"/>
    <w:rsid w:val="00905C76"/>
    <w:rsid w:val="0090631A"/>
    <w:rsid w:val="009069B6"/>
    <w:rsid w:val="00906DF8"/>
    <w:rsid w:val="00906ED1"/>
    <w:rsid w:val="009073D9"/>
    <w:rsid w:val="00907880"/>
    <w:rsid w:val="00907AA2"/>
    <w:rsid w:val="00907CA1"/>
    <w:rsid w:val="00907D10"/>
    <w:rsid w:val="00907D5D"/>
    <w:rsid w:val="00907D70"/>
    <w:rsid w:val="00907FA2"/>
    <w:rsid w:val="00910068"/>
    <w:rsid w:val="00910F87"/>
    <w:rsid w:val="0091141B"/>
    <w:rsid w:val="0091206C"/>
    <w:rsid w:val="00912E70"/>
    <w:rsid w:val="00912EA5"/>
    <w:rsid w:val="009130C1"/>
    <w:rsid w:val="0091331A"/>
    <w:rsid w:val="0091349E"/>
    <w:rsid w:val="00913E11"/>
    <w:rsid w:val="0091400D"/>
    <w:rsid w:val="009156DF"/>
    <w:rsid w:val="0091578A"/>
    <w:rsid w:val="00915EA5"/>
    <w:rsid w:val="00916226"/>
    <w:rsid w:val="009165F6"/>
    <w:rsid w:val="009166D5"/>
    <w:rsid w:val="0091687C"/>
    <w:rsid w:val="00916EE4"/>
    <w:rsid w:val="00917284"/>
    <w:rsid w:val="0091731D"/>
    <w:rsid w:val="00917959"/>
    <w:rsid w:val="00917A79"/>
    <w:rsid w:val="0092015B"/>
    <w:rsid w:val="009201D0"/>
    <w:rsid w:val="009203E0"/>
    <w:rsid w:val="00920EF5"/>
    <w:rsid w:val="009210BC"/>
    <w:rsid w:val="00923ABD"/>
    <w:rsid w:val="0092443D"/>
    <w:rsid w:val="00924B24"/>
    <w:rsid w:val="0092576D"/>
    <w:rsid w:val="00925D71"/>
    <w:rsid w:val="00926DC1"/>
    <w:rsid w:val="0092718B"/>
    <w:rsid w:val="009274F6"/>
    <w:rsid w:val="00927D84"/>
    <w:rsid w:val="00927E8F"/>
    <w:rsid w:val="00930B12"/>
    <w:rsid w:val="00930CCC"/>
    <w:rsid w:val="0093125B"/>
    <w:rsid w:val="00931465"/>
    <w:rsid w:val="009315BA"/>
    <w:rsid w:val="00931763"/>
    <w:rsid w:val="00931C4A"/>
    <w:rsid w:val="00932C9E"/>
    <w:rsid w:val="00933A46"/>
    <w:rsid w:val="00933F7F"/>
    <w:rsid w:val="009342E5"/>
    <w:rsid w:val="009342ED"/>
    <w:rsid w:val="009342F4"/>
    <w:rsid w:val="00934447"/>
    <w:rsid w:val="00934AE2"/>
    <w:rsid w:val="0093520F"/>
    <w:rsid w:val="00935F8A"/>
    <w:rsid w:val="009362CF"/>
    <w:rsid w:val="00936BBE"/>
    <w:rsid w:val="0093716B"/>
    <w:rsid w:val="009371FF"/>
    <w:rsid w:val="00937236"/>
    <w:rsid w:val="00937308"/>
    <w:rsid w:val="00937788"/>
    <w:rsid w:val="00937B30"/>
    <w:rsid w:val="009407D9"/>
    <w:rsid w:val="009408A1"/>
    <w:rsid w:val="00940E74"/>
    <w:rsid w:val="00940F97"/>
    <w:rsid w:val="0094119F"/>
    <w:rsid w:val="00941456"/>
    <w:rsid w:val="009414D3"/>
    <w:rsid w:val="00941692"/>
    <w:rsid w:val="0094169C"/>
    <w:rsid w:val="00942CF2"/>
    <w:rsid w:val="00943104"/>
    <w:rsid w:val="00943258"/>
    <w:rsid w:val="009432AA"/>
    <w:rsid w:val="0094378D"/>
    <w:rsid w:val="00943B1B"/>
    <w:rsid w:val="00943DAB"/>
    <w:rsid w:val="009440FB"/>
    <w:rsid w:val="0094466A"/>
    <w:rsid w:val="00944828"/>
    <w:rsid w:val="00945662"/>
    <w:rsid w:val="00945FE1"/>
    <w:rsid w:val="0094622F"/>
    <w:rsid w:val="0094639F"/>
    <w:rsid w:val="009466C2"/>
    <w:rsid w:val="00946E4A"/>
    <w:rsid w:val="0095147C"/>
    <w:rsid w:val="0095178F"/>
    <w:rsid w:val="00952B1C"/>
    <w:rsid w:val="00952E5B"/>
    <w:rsid w:val="009536DD"/>
    <w:rsid w:val="00953AA0"/>
    <w:rsid w:val="00954280"/>
    <w:rsid w:val="00954341"/>
    <w:rsid w:val="009546E3"/>
    <w:rsid w:val="009549D9"/>
    <w:rsid w:val="00955032"/>
    <w:rsid w:val="00955485"/>
    <w:rsid w:val="00955504"/>
    <w:rsid w:val="00955AE7"/>
    <w:rsid w:val="00955AF0"/>
    <w:rsid w:val="009561D6"/>
    <w:rsid w:val="0095665E"/>
    <w:rsid w:val="0095680B"/>
    <w:rsid w:val="0095689B"/>
    <w:rsid w:val="00956BA3"/>
    <w:rsid w:val="00956D70"/>
    <w:rsid w:val="00956FA2"/>
    <w:rsid w:val="0095702A"/>
    <w:rsid w:val="00957CFC"/>
    <w:rsid w:val="009605E9"/>
    <w:rsid w:val="00960710"/>
    <w:rsid w:val="009607F1"/>
    <w:rsid w:val="00960AD8"/>
    <w:rsid w:val="00960EB2"/>
    <w:rsid w:val="00961247"/>
    <w:rsid w:val="00961569"/>
    <w:rsid w:val="00961583"/>
    <w:rsid w:val="00961D79"/>
    <w:rsid w:val="00961D88"/>
    <w:rsid w:val="0096201D"/>
    <w:rsid w:val="00962342"/>
    <w:rsid w:val="009627E4"/>
    <w:rsid w:val="009629A7"/>
    <w:rsid w:val="00962B72"/>
    <w:rsid w:val="009636C0"/>
    <w:rsid w:val="00963A85"/>
    <w:rsid w:val="00963B82"/>
    <w:rsid w:val="0096426D"/>
    <w:rsid w:val="00964430"/>
    <w:rsid w:val="00964545"/>
    <w:rsid w:val="00966584"/>
    <w:rsid w:val="00966A5A"/>
    <w:rsid w:val="00966E07"/>
    <w:rsid w:val="00966FDC"/>
    <w:rsid w:val="0096797F"/>
    <w:rsid w:val="009709F5"/>
    <w:rsid w:val="00970DC4"/>
    <w:rsid w:val="0097225B"/>
    <w:rsid w:val="0097282D"/>
    <w:rsid w:val="0097283C"/>
    <w:rsid w:val="00972A4D"/>
    <w:rsid w:val="00972CE7"/>
    <w:rsid w:val="00972DBB"/>
    <w:rsid w:val="0097308D"/>
    <w:rsid w:val="009735F6"/>
    <w:rsid w:val="009738BA"/>
    <w:rsid w:val="00973E1A"/>
    <w:rsid w:val="009741E2"/>
    <w:rsid w:val="009746BD"/>
    <w:rsid w:val="0097473E"/>
    <w:rsid w:val="009748F1"/>
    <w:rsid w:val="00975C42"/>
    <w:rsid w:val="00975D29"/>
    <w:rsid w:val="00975ECE"/>
    <w:rsid w:val="00976709"/>
    <w:rsid w:val="009769D7"/>
    <w:rsid w:val="009772C2"/>
    <w:rsid w:val="0097764C"/>
    <w:rsid w:val="00977BC6"/>
    <w:rsid w:val="009801A3"/>
    <w:rsid w:val="00980AE5"/>
    <w:rsid w:val="00980CA8"/>
    <w:rsid w:val="0098163A"/>
    <w:rsid w:val="00981758"/>
    <w:rsid w:val="0098282E"/>
    <w:rsid w:val="009836DC"/>
    <w:rsid w:val="009837A9"/>
    <w:rsid w:val="00983B7E"/>
    <w:rsid w:val="00983E13"/>
    <w:rsid w:val="00984152"/>
    <w:rsid w:val="00984407"/>
    <w:rsid w:val="0098467B"/>
    <w:rsid w:val="00984764"/>
    <w:rsid w:val="00984D81"/>
    <w:rsid w:val="0098506F"/>
    <w:rsid w:val="00985656"/>
    <w:rsid w:val="00985B46"/>
    <w:rsid w:val="009861B1"/>
    <w:rsid w:val="00986464"/>
    <w:rsid w:val="00986478"/>
    <w:rsid w:val="0098651F"/>
    <w:rsid w:val="0098668B"/>
    <w:rsid w:val="0098675E"/>
    <w:rsid w:val="00987081"/>
    <w:rsid w:val="00987773"/>
    <w:rsid w:val="00987933"/>
    <w:rsid w:val="00987962"/>
    <w:rsid w:val="00987F57"/>
    <w:rsid w:val="00990413"/>
    <w:rsid w:val="00990546"/>
    <w:rsid w:val="0099090F"/>
    <w:rsid w:val="009911CE"/>
    <w:rsid w:val="00992551"/>
    <w:rsid w:val="009926BE"/>
    <w:rsid w:val="00993CDF"/>
    <w:rsid w:val="00993FC5"/>
    <w:rsid w:val="00995EAD"/>
    <w:rsid w:val="00995FAB"/>
    <w:rsid w:val="00996ACB"/>
    <w:rsid w:val="00996E3F"/>
    <w:rsid w:val="0099778B"/>
    <w:rsid w:val="0099799C"/>
    <w:rsid w:val="00997D87"/>
    <w:rsid w:val="009A069A"/>
    <w:rsid w:val="009A0783"/>
    <w:rsid w:val="009A0C5E"/>
    <w:rsid w:val="009A12AB"/>
    <w:rsid w:val="009A16C8"/>
    <w:rsid w:val="009A1986"/>
    <w:rsid w:val="009A1C4C"/>
    <w:rsid w:val="009A276C"/>
    <w:rsid w:val="009A41E6"/>
    <w:rsid w:val="009A4333"/>
    <w:rsid w:val="009A4FD0"/>
    <w:rsid w:val="009A500A"/>
    <w:rsid w:val="009A636F"/>
    <w:rsid w:val="009A64C5"/>
    <w:rsid w:val="009A65B8"/>
    <w:rsid w:val="009B001D"/>
    <w:rsid w:val="009B0AC2"/>
    <w:rsid w:val="009B1064"/>
    <w:rsid w:val="009B1170"/>
    <w:rsid w:val="009B1C81"/>
    <w:rsid w:val="009B2262"/>
    <w:rsid w:val="009B31C6"/>
    <w:rsid w:val="009B3209"/>
    <w:rsid w:val="009B3336"/>
    <w:rsid w:val="009B3626"/>
    <w:rsid w:val="009B370B"/>
    <w:rsid w:val="009B4044"/>
    <w:rsid w:val="009B4283"/>
    <w:rsid w:val="009B4DD7"/>
    <w:rsid w:val="009B5AC1"/>
    <w:rsid w:val="009B689E"/>
    <w:rsid w:val="009B6BFB"/>
    <w:rsid w:val="009C033A"/>
    <w:rsid w:val="009C0383"/>
    <w:rsid w:val="009C0465"/>
    <w:rsid w:val="009C11E9"/>
    <w:rsid w:val="009C1F03"/>
    <w:rsid w:val="009C2022"/>
    <w:rsid w:val="009C2D62"/>
    <w:rsid w:val="009C2F3E"/>
    <w:rsid w:val="009C3581"/>
    <w:rsid w:val="009C5063"/>
    <w:rsid w:val="009C5D3E"/>
    <w:rsid w:val="009C62C8"/>
    <w:rsid w:val="009C6A80"/>
    <w:rsid w:val="009C6AFB"/>
    <w:rsid w:val="009C7B4F"/>
    <w:rsid w:val="009C7CDA"/>
    <w:rsid w:val="009D01C9"/>
    <w:rsid w:val="009D0CB0"/>
    <w:rsid w:val="009D10C7"/>
    <w:rsid w:val="009D11BE"/>
    <w:rsid w:val="009D13C1"/>
    <w:rsid w:val="009D181E"/>
    <w:rsid w:val="009D1D16"/>
    <w:rsid w:val="009D2022"/>
    <w:rsid w:val="009D2D12"/>
    <w:rsid w:val="009D2DA0"/>
    <w:rsid w:val="009D3240"/>
    <w:rsid w:val="009D3920"/>
    <w:rsid w:val="009D3A57"/>
    <w:rsid w:val="009D5621"/>
    <w:rsid w:val="009D5775"/>
    <w:rsid w:val="009D5DC3"/>
    <w:rsid w:val="009D6051"/>
    <w:rsid w:val="009D6308"/>
    <w:rsid w:val="009D66F4"/>
    <w:rsid w:val="009D691F"/>
    <w:rsid w:val="009D6EAF"/>
    <w:rsid w:val="009D7718"/>
    <w:rsid w:val="009D779F"/>
    <w:rsid w:val="009D796A"/>
    <w:rsid w:val="009D7F75"/>
    <w:rsid w:val="009E0899"/>
    <w:rsid w:val="009E0AAA"/>
    <w:rsid w:val="009E0FAD"/>
    <w:rsid w:val="009E149A"/>
    <w:rsid w:val="009E1599"/>
    <w:rsid w:val="009E1F12"/>
    <w:rsid w:val="009E215B"/>
    <w:rsid w:val="009E2900"/>
    <w:rsid w:val="009E3437"/>
    <w:rsid w:val="009E3EFC"/>
    <w:rsid w:val="009E459E"/>
    <w:rsid w:val="009E4C35"/>
    <w:rsid w:val="009E4D18"/>
    <w:rsid w:val="009E4F4B"/>
    <w:rsid w:val="009E533C"/>
    <w:rsid w:val="009E585C"/>
    <w:rsid w:val="009E5C68"/>
    <w:rsid w:val="009E5C70"/>
    <w:rsid w:val="009E6052"/>
    <w:rsid w:val="009E6B95"/>
    <w:rsid w:val="009E6CC5"/>
    <w:rsid w:val="009F00E0"/>
    <w:rsid w:val="009F11B0"/>
    <w:rsid w:val="009F14F0"/>
    <w:rsid w:val="009F1672"/>
    <w:rsid w:val="009F19B4"/>
    <w:rsid w:val="009F1BF4"/>
    <w:rsid w:val="009F1DEA"/>
    <w:rsid w:val="009F232B"/>
    <w:rsid w:val="009F2688"/>
    <w:rsid w:val="009F28E9"/>
    <w:rsid w:val="009F393B"/>
    <w:rsid w:val="009F43A6"/>
    <w:rsid w:val="009F4413"/>
    <w:rsid w:val="009F488E"/>
    <w:rsid w:val="009F4D74"/>
    <w:rsid w:val="009F5970"/>
    <w:rsid w:val="009F65AD"/>
    <w:rsid w:val="009F668F"/>
    <w:rsid w:val="009F66A7"/>
    <w:rsid w:val="009F6B12"/>
    <w:rsid w:val="009F6D1C"/>
    <w:rsid w:val="009F7625"/>
    <w:rsid w:val="009F76AB"/>
    <w:rsid w:val="009F7724"/>
    <w:rsid w:val="00A00047"/>
    <w:rsid w:val="00A0059D"/>
    <w:rsid w:val="00A01168"/>
    <w:rsid w:val="00A020E1"/>
    <w:rsid w:val="00A02140"/>
    <w:rsid w:val="00A023AF"/>
    <w:rsid w:val="00A0249C"/>
    <w:rsid w:val="00A02A45"/>
    <w:rsid w:val="00A02D9C"/>
    <w:rsid w:val="00A02FB1"/>
    <w:rsid w:val="00A030CA"/>
    <w:rsid w:val="00A03479"/>
    <w:rsid w:val="00A034BF"/>
    <w:rsid w:val="00A03E39"/>
    <w:rsid w:val="00A03F6A"/>
    <w:rsid w:val="00A04A6B"/>
    <w:rsid w:val="00A053DC"/>
    <w:rsid w:val="00A05407"/>
    <w:rsid w:val="00A05E0F"/>
    <w:rsid w:val="00A05F37"/>
    <w:rsid w:val="00A067E6"/>
    <w:rsid w:val="00A068B4"/>
    <w:rsid w:val="00A0693D"/>
    <w:rsid w:val="00A0747A"/>
    <w:rsid w:val="00A075E9"/>
    <w:rsid w:val="00A07B1D"/>
    <w:rsid w:val="00A104E3"/>
    <w:rsid w:val="00A10AE4"/>
    <w:rsid w:val="00A11B0A"/>
    <w:rsid w:val="00A11B8A"/>
    <w:rsid w:val="00A12468"/>
    <w:rsid w:val="00A144FD"/>
    <w:rsid w:val="00A15876"/>
    <w:rsid w:val="00A15B91"/>
    <w:rsid w:val="00A1643D"/>
    <w:rsid w:val="00A16642"/>
    <w:rsid w:val="00A16E68"/>
    <w:rsid w:val="00A16F0B"/>
    <w:rsid w:val="00A172CB"/>
    <w:rsid w:val="00A17DF5"/>
    <w:rsid w:val="00A20045"/>
    <w:rsid w:val="00A20669"/>
    <w:rsid w:val="00A20B0B"/>
    <w:rsid w:val="00A20C27"/>
    <w:rsid w:val="00A20D9E"/>
    <w:rsid w:val="00A21B3E"/>
    <w:rsid w:val="00A21C15"/>
    <w:rsid w:val="00A21FAC"/>
    <w:rsid w:val="00A22704"/>
    <w:rsid w:val="00A22CCD"/>
    <w:rsid w:val="00A22D1D"/>
    <w:rsid w:val="00A233F5"/>
    <w:rsid w:val="00A234DE"/>
    <w:rsid w:val="00A255EB"/>
    <w:rsid w:val="00A25637"/>
    <w:rsid w:val="00A25984"/>
    <w:rsid w:val="00A25CC2"/>
    <w:rsid w:val="00A26050"/>
    <w:rsid w:val="00A263AB"/>
    <w:rsid w:val="00A2669C"/>
    <w:rsid w:val="00A26902"/>
    <w:rsid w:val="00A26EEC"/>
    <w:rsid w:val="00A275C7"/>
    <w:rsid w:val="00A300E7"/>
    <w:rsid w:val="00A30483"/>
    <w:rsid w:val="00A307F8"/>
    <w:rsid w:val="00A32001"/>
    <w:rsid w:val="00A322F3"/>
    <w:rsid w:val="00A324A1"/>
    <w:rsid w:val="00A32673"/>
    <w:rsid w:val="00A332CA"/>
    <w:rsid w:val="00A33486"/>
    <w:rsid w:val="00A33F4C"/>
    <w:rsid w:val="00A34720"/>
    <w:rsid w:val="00A3531A"/>
    <w:rsid w:val="00A35472"/>
    <w:rsid w:val="00A35E54"/>
    <w:rsid w:val="00A3625C"/>
    <w:rsid w:val="00A3794F"/>
    <w:rsid w:val="00A37BBB"/>
    <w:rsid w:val="00A40668"/>
    <w:rsid w:val="00A40742"/>
    <w:rsid w:val="00A40BA1"/>
    <w:rsid w:val="00A40D61"/>
    <w:rsid w:val="00A410B5"/>
    <w:rsid w:val="00A42132"/>
    <w:rsid w:val="00A432A1"/>
    <w:rsid w:val="00A436C2"/>
    <w:rsid w:val="00A445D9"/>
    <w:rsid w:val="00A44A83"/>
    <w:rsid w:val="00A45030"/>
    <w:rsid w:val="00A45C3D"/>
    <w:rsid w:val="00A4603E"/>
    <w:rsid w:val="00A46728"/>
    <w:rsid w:val="00A46B28"/>
    <w:rsid w:val="00A46CA7"/>
    <w:rsid w:val="00A47829"/>
    <w:rsid w:val="00A50601"/>
    <w:rsid w:val="00A50B98"/>
    <w:rsid w:val="00A50F90"/>
    <w:rsid w:val="00A514FB"/>
    <w:rsid w:val="00A51F62"/>
    <w:rsid w:val="00A51FB3"/>
    <w:rsid w:val="00A52BC8"/>
    <w:rsid w:val="00A52D3B"/>
    <w:rsid w:val="00A5380C"/>
    <w:rsid w:val="00A53DB4"/>
    <w:rsid w:val="00A542DE"/>
    <w:rsid w:val="00A543A5"/>
    <w:rsid w:val="00A54EF7"/>
    <w:rsid w:val="00A552B9"/>
    <w:rsid w:val="00A5530E"/>
    <w:rsid w:val="00A55CC8"/>
    <w:rsid w:val="00A56349"/>
    <w:rsid w:val="00A56855"/>
    <w:rsid w:val="00A574D2"/>
    <w:rsid w:val="00A57BC3"/>
    <w:rsid w:val="00A57DCD"/>
    <w:rsid w:val="00A608C3"/>
    <w:rsid w:val="00A60C56"/>
    <w:rsid w:val="00A61187"/>
    <w:rsid w:val="00A6123D"/>
    <w:rsid w:val="00A615DD"/>
    <w:rsid w:val="00A61755"/>
    <w:rsid w:val="00A61F72"/>
    <w:rsid w:val="00A62416"/>
    <w:rsid w:val="00A62AE3"/>
    <w:rsid w:val="00A63474"/>
    <w:rsid w:val="00A63780"/>
    <w:rsid w:val="00A63C79"/>
    <w:rsid w:val="00A63CE4"/>
    <w:rsid w:val="00A63F9B"/>
    <w:rsid w:val="00A6423B"/>
    <w:rsid w:val="00A64AEF"/>
    <w:rsid w:val="00A64DFA"/>
    <w:rsid w:val="00A651D0"/>
    <w:rsid w:val="00A652F7"/>
    <w:rsid w:val="00A65583"/>
    <w:rsid w:val="00A65632"/>
    <w:rsid w:val="00A6588F"/>
    <w:rsid w:val="00A658F9"/>
    <w:rsid w:val="00A65C5B"/>
    <w:rsid w:val="00A65E0C"/>
    <w:rsid w:val="00A66F41"/>
    <w:rsid w:val="00A67329"/>
    <w:rsid w:val="00A6734B"/>
    <w:rsid w:val="00A70C9B"/>
    <w:rsid w:val="00A710CD"/>
    <w:rsid w:val="00A711FE"/>
    <w:rsid w:val="00A7171B"/>
    <w:rsid w:val="00A71E7E"/>
    <w:rsid w:val="00A71EA1"/>
    <w:rsid w:val="00A721C8"/>
    <w:rsid w:val="00A7237C"/>
    <w:rsid w:val="00A728BB"/>
    <w:rsid w:val="00A72E5F"/>
    <w:rsid w:val="00A7314A"/>
    <w:rsid w:val="00A73189"/>
    <w:rsid w:val="00A740CC"/>
    <w:rsid w:val="00A74383"/>
    <w:rsid w:val="00A74B9F"/>
    <w:rsid w:val="00A74CCA"/>
    <w:rsid w:val="00A75C9C"/>
    <w:rsid w:val="00A76752"/>
    <w:rsid w:val="00A76B65"/>
    <w:rsid w:val="00A76C75"/>
    <w:rsid w:val="00A773E1"/>
    <w:rsid w:val="00A77C5D"/>
    <w:rsid w:val="00A77C73"/>
    <w:rsid w:val="00A8071B"/>
    <w:rsid w:val="00A80770"/>
    <w:rsid w:val="00A80F76"/>
    <w:rsid w:val="00A81A02"/>
    <w:rsid w:val="00A8234C"/>
    <w:rsid w:val="00A8280A"/>
    <w:rsid w:val="00A82D4D"/>
    <w:rsid w:val="00A835C7"/>
    <w:rsid w:val="00A838EB"/>
    <w:rsid w:val="00A839AA"/>
    <w:rsid w:val="00A83A7E"/>
    <w:rsid w:val="00A8415C"/>
    <w:rsid w:val="00A84338"/>
    <w:rsid w:val="00A84CAB"/>
    <w:rsid w:val="00A84EFC"/>
    <w:rsid w:val="00A84F0D"/>
    <w:rsid w:val="00A851E7"/>
    <w:rsid w:val="00A85328"/>
    <w:rsid w:val="00A85DAB"/>
    <w:rsid w:val="00A85E43"/>
    <w:rsid w:val="00A86057"/>
    <w:rsid w:val="00A86540"/>
    <w:rsid w:val="00A87302"/>
    <w:rsid w:val="00A9023F"/>
    <w:rsid w:val="00A9040B"/>
    <w:rsid w:val="00A90774"/>
    <w:rsid w:val="00A9090D"/>
    <w:rsid w:val="00A90941"/>
    <w:rsid w:val="00A9096D"/>
    <w:rsid w:val="00A90986"/>
    <w:rsid w:val="00A909DC"/>
    <w:rsid w:val="00A90B27"/>
    <w:rsid w:val="00A90BEC"/>
    <w:rsid w:val="00A90DB4"/>
    <w:rsid w:val="00A90FB8"/>
    <w:rsid w:val="00A917C7"/>
    <w:rsid w:val="00A91957"/>
    <w:rsid w:val="00A91AA2"/>
    <w:rsid w:val="00A929AA"/>
    <w:rsid w:val="00A92F71"/>
    <w:rsid w:val="00A93561"/>
    <w:rsid w:val="00A93D9F"/>
    <w:rsid w:val="00A95955"/>
    <w:rsid w:val="00A95A2F"/>
    <w:rsid w:val="00A95A4D"/>
    <w:rsid w:val="00A96078"/>
    <w:rsid w:val="00A963E4"/>
    <w:rsid w:val="00A96747"/>
    <w:rsid w:val="00A96753"/>
    <w:rsid w:val="00A97342"/>
    <w:rsid w:val="00A9765A"/>
    <w:rsid w:val="00A97BE5"/>
    <w:rsid w:val="00A97C9F"/>
    <w:rsid w:val="00AA0053"/>
    <w:rsid w:val="00AA0124"/>
    <w:rsid w:val="00AA0497"/>
    <w:rsid w:val="00AA0922"/>
    <w:rsid w:val="00AA0959"/>
    <w:rsid w:val="00AA0C1B"/>
    <w:rsid w:val="00AA12DD"/>
    <w:rsid w:val="00AA1505"/>
    <w:rsid w:val="00AA161A"/>
    <w:rsid w:val="00AA1F7B"/>
    <w:rsid w:val="00AA24BE"/>
    <w:rsid w:val="00AA281E"/>
    <w:rsid w:val="00AA285C"/>
    <w:rsid w:val="00AA2F5C"/>
    <w:rsid w:val="00AA34E9"/>
    <w:rsid w:val="00AA3EE9"/>
    <w:rsid w:val="00AA45ED"/>
    <w:rsid w:val="00AA4710"/>
    <w:rsid w:val="00AA5CD7"/>
    <w:rsid w:val="00AA6C73"/>
    <w:rsid w:val="00AA702F"/>
    <w:rsid w:val="00AA7643"/>
    <w:rsid w:val="00AA7672"/>
    <w:rsid w:val="00AA771D"/>
    <w:rsid w:val="00AA7876"/>
    <w:rsid w:val="00AB11A5"/>
    <w:rsid w:val="00AB1F26"/>
    <w:rsid w:val="00AB24F5"/>
    <w:rsid w:val="00AB28EA"/>
    <w:rsid w:val="00AB2BEC"/>
    <w:rsid w:val="00AB3689"/>
    <w:rsid w:val="00AB3B68"/>
    <w:rsid w:val="00AB3E00"/>
    <w:rsid w:val="00AB4332"/>
    <w:rsid w:val="00AB4CAF"/>
    <w:rsid w:val="00AB516A"/>
    <w:rsid w:val="00AB5516"/>
    <w:rsid w:val="00AB58A2"/>
    <w:rsid w:val="00AB5973"/>
    <w:rsid w:val="00AB5DF5"/>
    <w:rsid w:val="00AB626E"/>
    <w:rsid w:val="00AB6910"/>
    <w:rsid w:val="00AB7171"/>
    <w:rsid w:val="00AB751C"/>
    <w:rsid w:val="00AB75FF"/>
    <w:rsid w:val="00AB7915"/>
    <w:rsid w:val="00AC0039"/>
    <w:rsid w:val="00AC04B5"/>
    <w:rsid w:val="00AC063D"/>
    <w:rsid w:val="00AC0AF1"/>
    <w:rsid w:val="00AC0F49"/>
    <w:rsid w:val="00AC1800"/>
    <w:rsid w:val="00AC19F4"/>
    <w:rsid w:val="00AC2581"/>
    <w:rsid w:val="00AC2F03"/>
    <w:rsid w:val="00AC3069"/>
    <w:rsid w:val="00AC3A2E"/>
    <w:rsid w:val="00AC3B56"/>
    <w:rsid w:val="00AC3DF9"/>
    <w:rsid w:val="00AC3E22"/>
    <w:rsid w:val="00AC536B"/>
    <w:rsid w:val="00AC595C"/>
    <w:rsid w:val="00AC5A26"/>
    <w:rsid w:val="00AC5B92"/>
    <w:rsid w:val="00AC6582"/>
    <w:rsid w:val="00AC6B1E"/>
    <w:rsid w:val="00AC6CC7"/>
    <w:rsid w:val="00AC78F1"/>
    <w:rsid w:val="00AC7B96"/>
    <w:rsid w:val="00AC7E6E"/>
    <w:rsid w:val="00AD02C0"/>
    <w:rsid w:val="00AD034C"/>
    <w:rsid w:val="00AD08AF"/>
    <w:rsid w:val="00AD0AF9"/>
    <w:rsid w:val="00AD0FC7"/>
    <w:rsid w:val="00AD1033"/>
    <w:rsid w:val="00AD104C"/>
    <w:rsid w:val="00AD10AE"/>
    <w:rsid w:val="00AD168C"/>
    <w:rsid w:val="00AD1B13"/>
    <w:rsid w:val="00AD1C15"/>
    <w:rsid w:val="00AD1F63"/>
    <w:rsid w:val="00AD24E0"/>
    <w:rsid w:val="00AD2D4E"/>
    <w:rsid w:val="00AD328F"/>
    <w:rsid w:val="00AD333E"/>
    <w:rsid w:val="00AD3AA6"/>
    <w:rsid w:val="00AD3B94"/>
    <w:rsid w:val="00AD3BB8"/>
    <w:rsid w:val="00AD4AAF"/>
    <w:rsid w:val="00AD4C9B"/>
    <w:rsid w:val="00AD52C0"/>
    <w:rsid w:val="00AD53B1"/>
    <w:rsid w:val="00AD59C7"/>
    <w:rsid w:val="00AD6084"/>
    <w:rsid w:val="00AD650D"/>
    <w:rsid w:val="00AD69D2"/>
    <w:rsid w:val="00AD6C98"/>
    <w:rsid w:val="00AD6CFB"/>
    <w:rsid w:val="00AD7258"/>
    <w:rsid w:val="00AD72F8"/>
    <w:rsid w:val="00AD73A1"/>
    <w:rsid w:val="00AD74E5"/>
    <w:rsid w:val="00AD7936"/>
    <w:rsid w:val="00AD7ABA"/>
    <w:rsid w:val="00AD7EC2"/>
    <w:rsid w:val="00AE00F8"/>
    <w:rsid w:val="00AE0BE2"/>
    <w:rsid w:val="00AE0CD9"/>
    <w:rsid w:val="00AE135B"/>
    <w:rsid w:val="00AE159E"/>
    <w:rsid w:val="00AE22DF"/>
    <w:rsid w:val="00AE22E3"/>
    <w:rsid w:val="00AE3379"/>
    <w:rsid w:val="00AE3737"/>
    <w:rsid w:val="00AE3867"/>
    <w:rsid w:val="00AE46A0"/>
    <w:rsid w:val="00AE4AED"/>
    <w:rsid w:val="00AE506E"/>
    <w:rsid w:val="00AE52A3"/>
    <w:rsid w:val="00AE6348"/>
    <w:rsid w:val="00AE6733"/>
    <w:rsid w:val="00AE6F15"/>
    <w:rsid w:val="00AE6FE2"/>
    <w:rsid w:val="00AE7C1A"/>
    <w:rsid w:val="00AE7D60"/>
    <w:rsid w:val="00AF00F9"/>
    <w:rsid w:val="00AF03C0"/>
    <w:rsid w:val="00AF085B"/>
    <w:rsid w:val="00AF0DD5"/>
    <w:rsid w:val="00AF1093"/>
    <w:rsid w:val="00AF2350"/>
    <w:rsid w:val="00AF39C2"/>
    <w:rsid w:val="00AF3AA9"/>
    <w:rsid w:val="00AF3C90"/>
    <w:rsid w:val="00AF536D"/>
    <w:rsid w:val="00AF5370"/>
    <w:rsid w:val="00AF5968"/>
    <w:rsid w:val="00AF5A34"/>
    <w:rsid w:val="00AF5DDE"/>
    <w:rsid w:val="00AF5EB8"/>
    <w:rsid w:val="00AF5F06"/>
    <w:rsid w:val="00AF6063"/>
    <w:rsid w:val="00AF6641"/>
    <w:rsid w:val="00AF7055"/>
    <w:rsid w:val="00AF7CDA"/>
    <w:rsid w:val="00AF7D9E"/>
    <w:rsid w:val="00AF7E23"/>
    <w:rsid w:val="00AF7F8E"/>
    <w:rsid w:val="00B00DAC"/>
    <w:rsid w:val="00B00E78"/>
    <w:rsid w:val="00B0112A"/>
    <w:rsid w:val="00B01839"/>
    <w:rsid w:val="00B025F4"/>
    <w:rsid w:val="00B02C21"/>
    <w:rsid w:val="00B03E6B"/>
    <w:rsid w:val="00B03F6B"/>
    <w:rsid w:val="00B04003"/>
    <w:rsid w:val="00B047A5"/>
    <w:rsid w:val="00B04F4D"/>
    <w:rsid w:val="00B04F8F"/>
    <w:rsid w:val="00B0601F"/>
    <w:rsid w:val="00B0610F"/>
    <w:rsid w:val="00B07A54"/>
    <w:rsid w:val="00B07BB1"/>
    <w:rsid w:val="00B07E9C"/>
    <w:rsid w:val="00B101A7"/>
    <w:rsid w:val="00B104FF"/>
    <w:rsid w:val="00B1085B"/>
    <w:rsid w:val="00B10994"/>
    <w:rsid w:val="00B11ED2"/>
    <w:rsid w:val="00B12241"/>
    <w:rsid w:val="00B1272B"/>
    <w:rsid w:val="00B129EA"/>
    <w:rsid w:val="00B13A88"/>
    <w:rsid w:val="00B13B72"/>
    <w:rsid w:val="00B13D46"/>
    <w:rsid w:val="00B143A8"/>
    <w:rsid w:val="00B14679"/>
    <w:rsid w:val="00B14FB1"/>
    <w:rsid w:val="00B1529F"/>
    <w:rsid w:val="00B1545A"/>
    <w:rsid w:val="00B15A79"/>
    <w:rsid w:val="00B15EB8"/>
    <w:rsid w:val="00B16166"/>
    <w:rsid w:val="00B1651C"/>
    <w:rsid w:val="00B1711D"/>
    <w:rsid w:val="00B17201"/>
    <w:rsid w:val="00B175BD"/>
    <w:rsid w:val="00B1771E"/>
    <w:rsid w:val="00B2029C"/>
    <w:rsid w:val="00B20498"/>
    <w:rsid w:val="00B2067B"/>
    <w:rsid w:val="00B20D9A"/>
    <w:rsid w:val="00B215D1"/>
    <w:rsid w:val="00B2187B"/>
    <w:rsid w:val="00B21A1E"/>
    <w:rsid w:val="00B21BB5"/>
    <w:rsid w:val="00B225EA"/>
    <w:rsid w:val="00B22A87"/>
    <w:rsid w:val="00B231ED"/>
    <w:rsid w:val="00B23407"/>
    <w:rsid w:val="00B23675"/>
    <w:rsid w:val="00B23C82"/>
    <w:rsid w:val="00B23F5F"/>
    <w:rsid w:val="00B2453C"/>
    <w:rsid w:val="00B24D66"/>
    <w:rsid w:val="00B25512"/>
    <w:rsid w:val="00B25AA7"/>
    <w:rsid w:val="00B26973"/>
    <w:rsid w:val="00B27A83"/>
    <w:rsid w:val="00B27B1A"/>
    <w:rsid w:val="00B27EEB"/>
    <w:rsid w:val="00B30148"/>
    <w:rsid w:val="00B30C3E"/>
    <w:rsid w:val="00B30EDB"/>
    <w:rsid w:val="00B31234"/>
    <w:rsid w:val="00B3136C"/>
    <w:rsid w:val="00B31781"/>
    <w:rsid w:val="00B31847"/>
    <w:rsid w:val="00B32387"/>
    <w:rsid w:val="00B32919"/>
    <w:rsid w:val="00B32ED0"/>
    <w:rsid w:val="00B32FC2"/>
    <w:rsid w:val="00B33167"/>
    <w:rsid w:val="00B333CC"/>
    <w:rsid w:val="00B335CD"/>
    <w:rsid w:val="00B3379C"/>
    <w:rsid w:val="00B338EB"/>
    <w:rsid w:val="00B33922"/>
    <w:rsid w:val="00B33A3C"/>
    <w:rsid w:val="00B34A1B"/>
    <w:rsid w:val="00B34AC7"/>
    <w:rsid w:val="00B34CA9"/>
    <w:rsid w:val="00B34EE6"/>
    <w:rsid w:val="00B35396"/>
    <w:rsid w:val="00B3563F"/>
    <w:rsid w:val="00B3608A"/>
    <w:rsid w:val="00B363FE"/>
    <w:rsid w:val="00B36616"/>
    <w:rsid w:val="00B36950"/>
    <w:rsid w:val="00B36A1B"/>
    <w:rsid w:val="00B36AD3"/>
    <w:rsid w:val="00B3774C"/>
    <w:rsid w:val="00B379F2"/>
    <w:rsid w:val="00B37A21"/>
    <w:rsid w:val="00B37B86"/>
    <w:rsid w:val="00B37F3D"/>
    <w:rsid w:val="00B4001D"/>
    <w:rsid w:val="00B4034F"/>
    <w:rsid w:val="00B403ED"/>
    <w:rsid w:val="00B4045F"/>
    <w:rsid w:val="00B40B36"/>
    <w:rsid w:val="00B40B3F"/>
    <w:rsid w:val="00B40F77"/>
    <w:rsid w:val="00B4126A"/>
    <w:rsid w:val="00B419DB"/>
    <w:rsid w:val="00B41C51"/>
    <w:rsid w:val="00B421FE"/>
    <w:rsid w:val="00B42B76"/>
    <w:rsid w:val="00B4334E"/>
    <w:rsid w:val="00B442CD"/>
    <w:rsid w:val="00B4481F"/>
    <w:rsid w:val="00B44BBB"/>
    <w:rsid w:val="00B44F2A"/>
    <w:rsid w:val="00B451B8"/>
    <w:rsid w:val="00B45B1F"/>
    <w:rsid w:val="00B45D7A"/>
    <w:rsid w:val="00B46852"/>
    <w:rsid w:val="00B46D2B"/>
    <w:rsid w:val="00B46DF4"/>
    <w:rsid w:val="00B473C5"/>
    <w:rsid w:val="00B50AC1"/>
    <w:rsid w:val="00B5111E"/>
    <w:rsid w:val="00B5190D"/>
    <w:rsid w:val="00B5197E"/>
    <w:rsid w:val="00B51EEA"/>
    <w:rsid w:val="00B52730"/>
    <w:rsid w:val="00B5288D"/>
    <w:rsid w:val="00B5295B"/>
    <w:rsid w:val="00B5296E"/>
    <w:rsid w:val="00B529A4"/>
    <w:rsid w:val="00B52B58"/>
    <w:rsid w:val="00B52F78"/>
    <w:rsid w:val="00B532AB"/>
    <w:rsid w:val="00B532FF"/>
    <w:rsid w:val="00B54867"/>
    <w:rsid w:val="00B5557B"/>
    <w:rsid w:val="00B55714"/>
    <w:rsid w:val="00B56C3C"/>
    <w:rsid w:val="00B56FB7"/>
    <w:rsid w:val="00B578A6"/>
    <w:rsid w:val="00B57DA6"/>
    <w:rsid w:val="00B57DDD"/>
    <w:rsid w:val="00B60303"/>
    <w:rsid w:val="00B60D00"/>
    <w:rsid w:val="00B60E90"/>
    <w:rsid w:val="00B61075"/>
    <w:rsid w:val="00B61249"/>
    <w:rsid w:val="00B63028"/>
    <w:rsid w:val="00B63397"/>
    <w:rsid w:val="00B64264"/>
    <w:rsid w:val="00B64BD7"/>
    <w:rsid w:val="00B64CEF"/>
    <w:rsid w:val="00B64ED8"/>
    <w:rsid w:val="00B6539F"/>
    <w:rsid w:val="00B6551E"/>
    <w:rsid w:val="00B656D4"/>
    <w:rsid w:val="00B65973"/>
    <w:rsid w:val="00B65AAB"/>
    <w:rsid w:val="00B65D26"/>
    <w:rsid w:val="00B6624E"/>
    <w:rsid w:val="00B66521"/>
    <w:rsid w:val="00B66ACC"/>
    <w:rsid w:val="00B66C2F"/>
    <w:rsid w:val="00B66C61"/>
    <w:rsid w:val="00B6729D"/>
    <w:rsid w:val="00B6743D"/>
    <w:rsid w:val="00B677C3"/>
    <w:rsid w:val="00B67A7D"/>
    <w:rsid w:val="00B67F95"/>
    <w:rsid w:val="00B7026C"/>
    <w:rsid w:val="00B707B6"/>
    <w:rsid w:val="00B70CDD"/>
    <w:rsid w:val="00B71568"/>
    <w:rsid w:val="00B71A9C"/>
    <w:rsid w:val="00B71EC0"/>
    <w:rsid w:val="00B72A51"/>
    <w:rsid w:val="00B72F96"/>
    <w:rsid w:val="00B73425"/>
    <w:rsid w:val="00B73469"/>
    <w:rsid w:val="00B74331"/>
    <w:rsid w:val="00B744D7"/>
    <w:rsid w:val="00B74564"/>
    <w:rsid w:val="00B745E7"/>
    <w:rsid w:val="00B74A40"/>
    <w:rsid w:val="00B74D53"/>
    <w:rsid w:val="00B74E50"/>
    <w:rsid w:val="00B755BD"/>
    <w:rsid w:val="00B75AE8"/>
    <w:rsid w:val="00B76056"/>
    <w:rsid w:val="00B76C25"/>
    <w:rsid w:val="00B771C9"/>
    <w:rsid w:val="00B77286"/>
    <w:rsid w:val="00B77676"/>
    <w:rsid w:val="00B7776E"/>
    <w:rsid w:val="00B7777A"/>
    <w:rsid w:val="00B8002C"/>
    <w:rsid w:val="00B81482"/>
    <w:rsid w:val="00B814C2"/>
    <w:rsid w:val="00B818EA"/>
    <w:rsid w:val="00B81C26"/>
    <w:rsid w:val="00B81D31"/>
    <w:rsid w:val="00B821A0"/>
    <w:rsid w:val="00B8245E"/>
    <w:rsid w:val="00B829FD"/>
    <w:rsid w:val="00B82DAC"/>
    <w:rsid w:val="00B8426E"/>
    <w:rsid w:val="00B8435A"/>
    <w:rsid w:val="00B84739"/>
    <w:rsid w:val="00B8553D"/>
    <w:rsid w:val="00B85C48"/>
    <w:rsid w:val="00B85CAE"/>
    <w:rsid w:val="00B85EB7"/>
    <w:rsid w:val="00B85F4D"/>
    <w:rsid w:val="00B85F71"/>
    <w:rsid w:val="00B86147"/>
    <w:rsid w:val="00B8696A"/>
    <w:rsid w:val="00B87458"/>
    <w:rsid w:val="00B875B6"/>
    <w:rsid w:val="00B8791F"/>
    <w:rsid w:val="00B90D2F"/>
    <w:rsid w:val="00B90FA8"/>
    <w:rsid w:val="00B9155A"/>
    <w:rsid w:val="00B916B4"/>
    <w:rsid w:val="00B91716"/>
    <w:rsid w:val="00B918AD"/>
    <w:rsid w:val="00B91D03"/>
    <w:rsid w:val="00B9202A"/>
    <w:rsid w:val="00B92630"/>
    <w:rsid w:val="00B92964"/>
    <w:rsid w:val="00B92DED"/>
    <w:rsid w:val="00B9323B"/>
    <w:rsid w:val="00B932A2"/>
    <w:rsid w:val="00B937FA"/>
    <w:rsid w:val="00B94214"/>
    <w:rsid w:val="00B9425D"/>
    <w:rsid w:val="00B94386"/>
    <w:rsid w:val="00B94566"/>
    <w:rsid w:val="00B9494B"/>
    <w:rsid w:val="00B951AD"/>
    <w:rsid w:val="00B952A9"/>
    <w:rsid w:val="00B96328"/>
    <w:rsid w:val="00B96813"/>
    <w:rsid w:val="00B96C3D"/>
    <w:rsid w:val="00B97275"/>
    <w:rsid w:val="00B97746"/>
    <w:rsid w:val="00B97BB1"/>
    <w:rsid w:val="00BA086F"/>
    <w:rsid w:val="00BA0950"/>
    <w:rsid w:val="00BA0A4F"/>
    <w:rsid w:val="00BA0B16"/>
    <w:rsid w:val="00BA0BDC"/>
    <w:rsid w:val="00BA14BC"/>
    <w:rsid w:val="00BA1598"/>
    <w:rsid w:val="00BA1622"/>
    <w:rsid w:val="00BA1755"/>
    <w:rsid w:val="00BA1CFE"/>
    <w:rsid w:val="00BA26B9"/>
    <w:rsid w:val="00BA2D7F"/>
    <w:rsid w:val="00BA3086"/>
    <w:rsid w:val="00BA319D"/>
    <w:rsid w:val="00BA3505"/>
    <w:rsid w:val="00BA3BC5"/>
    <w:rsid w:val="00BA3C49"/>
    <w:rsid w:val="00BA3C8B"/>
    <w:rsid w:val="00BA3DB6"/>
    <w:rsid w:val="00BA452B"/>
    <w:rsid w:val="00BA45AD"/>
    <w:rsid w:val="00BA4801"/>
    <w:rsid w:val="00BA483F"/>
    <w:rsid w:val="00BA49F0"/>
    <w:rsid w:val="00BA5024"/>
    <w:rsid w:val="00BA568E"/>
    <w:rsid w:val="00BA5C51"/>
    <w:rsid w:val="00BA6651"/>
    <w:rsid w:val="00BA6900"/>
    <w:rsid w:val="00BA69B7"/>
    <w:rsid w:val="00BA69C7"/>
    <w:rsid w:val="00BA7C8F"/>
    <w:rsid w:val="00BA7CED"/>
    <w:rsid w:val="00BB04C1"/>
    <w:rsid w:val="00BB12A8"/>
    <w:rsid w:val="00BB1454"/>
    <w:rsid w:val="00BB14D7"/>
    <w:rsid w:val="00BB178E"/>
    <w:rsid w:val="00BB1E1C"/>
    <w:rsid w:val="00BB27ED"/>
    <w:rsid w:val="00BB31A8"/>
    <w:rsid w:val="00BB3B39"/>
    <w:rsid w:val="00BB42FD"/>
    <w:rsid w:val="00BB4D90"/>
    <w:rsid w:val="00BB5685"/>
    <w:rsid w:val="00BB5866"/>
    <w:rsid w:val="00BB5CA4"/>
    <w:rsid w:val="00BB5D7A"/>
    <w:rsid w:val="00BB5DA0"/>
    <w:rsid w:val="00BB6D9A"/>
    <w:rsid w:val="00BB722B"/>
    <w:rsid w:val="00BC021F"/>
    <w:rsid w:val="00BC0935"/>
    <w:rsid w:val="00BC0CBF"/>
    <w:rsid w:val="00BC1A1D"/>
    <w:rsid w:val="00BC1CD0"/>
    <w:rsid w:val="00BC1EA4"/>
    <w:rsid w:val="00BC22B4"/>
    <w:rsid w:val="00BC2577"/>
    <w:rsid w:val="00BC27FE"/>
    <w:rsid w:val="00BC2A21"/>
    <w:rsid w:val="00BC2B50"/>
    <w:rsid w:val="00BC2EE5"/>
    <w:rsid w:val="00BC3002"/>
    <w:rsid w:val="00BC3761"/>
    <w:rsid w:val="00BC491F"/>
    <w:rsid w:val="00BC4F23"/>
    <w:rsid w:val="00BC5064"/>
    <w:rsid w:val="00BC566E"/>
    <w:rsid w:val="00BC56B3"/>
    <w:rsid w:val="00BC596F"/>
    <w:rsid w:val="00BC5CF8"/>
    <w:rsid w:val="00BC5E17"/>
    <w:rsid w:val="00BC6616"/>
    <w:rsid w:val="00BC66ED"/>
    <w:rsid w:val="00BC6B44"/>
    <w:rsid w:val="00BC6C39"/>
    <w:rsid w:val="00BC7987"/>
    <w:rsid w:val="00BC7A80"/>
    <w:rsid w:val="00BD014C"/>
    <w:rsid w:val="00BD0D30"/>
    <w:rsid w:val="00BD156C"/>
    <w:rsid w:val="00BD15C3"/>
    <w:rsid w:val="00BD29A7"/>
    <w:rsid w:val="00BD3115"/>
    <w:rsid w:val="00BD3B59"/>
    <w:rsid w:val="00BD3D97"/>
    <w:rsid w:val="00BD41B1"/>
    <w:rsid w:val="00BD41C2"/>
    <w:rsid w:val="00BD4475"/>
    <w:rsid w:val="00BD46B9"/>
    <w:rsid w:val="00BD516B"/>
    <w:rsid w:val="00BD57F9"/>
    <w:rsid w:val="00BD5839"/>
    <w:rsid w:val="00BD6068"/>
    <w:rsid w:val="00BD64F5"/>
    <w:rsid w:val="00BD6B41"/>
    <w:rsid w:val="00BD6EA5"/>
    <w:rsid w:val="00BD7487"/>
    <w:rsid w:val="00BD7C0D"/>
    <w:rsid w:val="00BE08B3"/>
    <w:rsid w:val="00BE0945"/>
    <w:rsid w:val="00BE1E49"/>
    <w:rsid w:val="00BE2D79"/>
    <w:rsid w:val="00BE2DF0"/>
    <w:rsid w:val="00BE39FB"/>
    <w:rsid w:val="00BE54A2"/>
    <w:rsid w:val="00BE612D"/>
    <w:rsid w:val="00BE61BB"/>
    <w:rsid w:val="00BE62C5"/>
    <w:rsid w:val="00BE66D6"/>
    <w:rsid w:val="00BE7022"/>
    <w:rsid w:val="00BE7599"/>
    <w:rsid w:val="00BE7688"/>
    <w:rsid w:val="00BE7B1C"/>
    <w:rsid w:val="00BE7D2D"/>
    <w:rsid w:val="00BF00E0"/>
    <w:rsid w:val="00BF00EA"/>
    <w:rsid w:val="00BF04C9"/>
    <w:rsid w:val="00BF09C6"/>
    <w:rsid w:val="00BF1134"/>
    <w:rsid w:val="00BF1787"/>
    <w:rsid w:val="00BF1E82"/>
    <w:rsid w:val="00BF3040"/>
    <w:rsid w:val="00BF309B"/>
    <w:rsid w:val="00BF452C"/>
    <w:rsid w:val="00BF4619"/>
    <w:rsid w:val="00BF4F36"/>
    <w:rsid w:val="00BF4FF5"/>
    <w:rsid w:val="00BF6755"/>
    <w:rsid w:val="00BF7454"/>
    <w:rsid w:val="00BF75CF"/>
    <w:rsid w:val="00BF78C0"/>
    <w:rsid w:val="00BF7B50"/>
    <w:rsid w:val="00C00885"/>
    <w:rsid w:val="00C00EB4"/>
    <w:rsid w:val="00C013E7"/>
    <w:rsid w:val="00C01676"/>
    <w:rsid w:val="00C022D4"/>
    <w:rsid w:val="00C022F5"/>
    <w:rsid w:val="00C0242D"/>
    <w:rsid w:val="00C0261D"/>
    <w:rsid w:val="00C02901"/>
    <w:rsid w:val="00C032AF"/>
    <w:rsid w:val="00C036E7"/>
    <w:rsid w:val="00C037D1"/>
    <w:rsid w:val="00C03AEB"/>
    <w:rsid w:val="00C03BC9"/>
    <w:rsid w:val="00C0401F"/>
    <w:rsid w:val="00C04162"/>
    <w:rsid w:val="00C043A9"/>
    <w:rsid w:val="00C04A22"/>
    <w:rsid w:val="00C04BA6"/>
    <w:rsid w:val="00C04FD3"/>
    <w:rsid w:val="00C0685A"/>
    <w:rsid w:val="00C06AC6"/>
    <w:rsid w:val="00C06B5F"/>
    <w:rsid w:val="00C077DA"/>
    <w:rsid w:val="00C077EE"/>
    <w:rsid w:val="00C07DF9"/>
    <w:rsid w:val="00C103FB"/>
    <w:rsid w:val="00C109E5"/>
    <w:rsid w:val="00C109FF"/>
    <w:rsid w:val="00C10FDE"/>
    <w:rsid w:val="00C110DD"/>
    <w:rsid w:val="00C11BE1"/>
    <w:rsid w:val="00C11DFB"/>
    <w:rsid w:val="00C11E2A"/>
    <w:rsid w:val="00C127C9"/>
    <w:rsid w:val="00C12A17"/>
    <w:rsid w:val="00C12AFA"/>
    <w:rsid w:val="00C12D0B"/>
    <w:rsid w:val="00C12D90"/>
    <w:rsid w:val="00C13307"/>
    <w:rsid w:val="00C13772"/>
    <w:rsid w:val="00C1443C"/>
    <w:rsid w:val="00C14B06"/>
    <w:rsid w:val="00C14CC4"/>
    <w:rsid w:val="00C1574B"/>
    <w:rsid w:val="00C15817"/>
    <w:rsid w:val="00C16134"/>
    <w:rsid w:val="00C161AB"/>
    <w:rsid w:val="00C1671E"/>
    <w:rsid w:val="00C16E23"/>
    <w:rsid w:val="00C17A0A"/>
    <w:rsid w:val="00C17F9D"/>
    <w:rsid w:val="00C20785"/>
    <w:rsid w:val="00C21765"/>
    <w:rsid w:val="00C21ED1"/>
    <w:rsid w:val="00C220CF"/>
    <w:rsid w:val="00C22A00"/>
    <w:rsid w:val="00C23311"/>
    <w:rsid w:val="00C237EC"/>
    <w:rsid w:val="00C23894"/>
    <w:rsid w:val="00C23A4E"/>
    <w:rsid w:val="00C24658"/>
    <w:rsid w:val="00C2477F"/>
    <w:rsid w:val="00C2488F"/>
    <w:rsid w:val="00C2498D"/>
    <w:rsid w:val="00C24AA7"/>
    <w:rsid w:val="00C255EB"/>
    <w:rsid w:val="00C260A7"/>
    <w:rsid w:val="00C26CC9"/>
    <w:rsid w:val="00C26D85"/>
    <w:rsid w:val="00C26EC9"/>
    <w:rsid w:val="00C27151"/>
    <w:rsid w:val="00C271C6"/>
    <w:rsid w:val="00C27219"/>
    <w:rsid w:val="00C276BB"/>
    <w:rsid w:val="00C276E3"/>
    <w:rsid w:val="00C27AFF"/>
    <w:rsid w:val="00C27D55"/>
    <w:rsid w:val="00C307BC"/>
    <w:rsid w:val="00C30D1D"/>
    <w:rsid w:val="00C31CB2"/>
    <w:rsid w:val="00C3311D"/>
    <w:rsid w:val="00C3370A"/>
    <w:rsid w:val="00C33D8E"/>
    <w:rsid w:val="00C33F89"/>
    <w:rsid w:val="00C343BC"/>
    <w:rsid w:val="00C34677"/>
    <w:rsid w:val="00C35024"/>
    <w:rsid w:val="00C3521D"/>
    <w:rsid w:val="00C352D8"/>
    <w:rsid w:val="00C3793A"/>
    <w:rsid w:val="00C37CEF"/>
    <w:rsid w:val="00C4029A"/>
    <w:rsid w:val="00C402F0"/>
    <w:rsid w:val="00C4086B"/>
    <w:rsid w:val="00C408BB"/>
    <w:rsid w:val="00C408C1"/>
    <w:rsid w:val="00C40AA1"/>
    <w:rsid w:val="00C40F45"/>
    <w:rsid w:val="00C41061"/>
    <w:rsid w:val="00C4160C"/>
    <w:rsid w:val="00C41952"/>
    <w:rsid w:val="00C41C32"/>
    <w:rsid w:val="00C41CBF"/>
    <w:rsid w:val="00C41F92"/>
    <w:rsid w:val="00C4202E"/>
    <w:rsid w:val="00C42CE5"/>
    <w:rsid w:val="00C4383D"/>
    <w:rsid w:val="00C43F57"/>
    <w:rsid w:val="00C444C9"/>
    <w:rsid w:val="00C4485F"/>
    <w:rsid w:val="00C4525E"/>
    <w:rsid w:val="00C454AA"/>
    <w:rsid w:val="00C45596"/>
    <w:rsid w:val="00C45653"/>
    <w:rsid w:val="00C45C49"/>
    <w:rsid w:val="00C45CF8"/>
    <w:rsid w:val="00C465A8"/>
    <w:rsid w:val="00C46C38"/>
    <w:rsid w:val="00C46FCA"/>
    <w:rsid w:val="00C4701C"/>
    <w:rsid w:val="00C47077"/>
    <w:rsid w:val="00C47476"/>
    <w:rsid w:val="00C475EF"/>
    <w:rsid w:val="00C475FF"/>
    <w:rsid w:val="00C477B7"/>
    <w:rsid w:val="00C47BBD"/>
    <w:rsid w:val="00C47BE0"/>
    <w:rsid w:val="00C504DD"/>
    <w:rsid w:val="00C515E7"/>
    <w:rsid w:val="00C5189A"/>
    <w:rsid w:val="00C520CA"/>
    <w:rsid w:val="00C52410"/>
    <w:rsid w:val="00C53501"/>
    <w:rsid w:val="00C53871"/>
    <w:rsid w:val="00C542BB"/>
    <w:rsid w:val="00C543D6"/>
    <w:rsid w:val="00C544E9"/>
    <w:rsid w:val="00C545A7"/>
    <w:rsid w:val="00C54724"/>
    <w:rsid w:val="00C54AAC"/>
    <w:rsid w:val="00C54C75"/>
    <w:rsid w:val="00C552F8"/>
    <w:rsid w:val="00C55727"/>
    <w:rsid w:val="00C566CA"/>
    <w:rsid w:val="00C5692E"/>
    <w:rsid w:val="00C56A2C"/>
    <w:rsid w:val="00C56B2B"/>
    <w:rsid w:val="00C57053"/>
    <w:rsid w:val="00C57A4B"/>
    <w:rsid w:val="00C57C7E"/>
    <w:rsid w:val="00C57D3B"/>
    <w:rsid w:val="00C57DEE"/>
    <w:rsid w:val="00C6010E"/>
    <w:rsid w:val="00C606B5"/>
    <w:rsid w:val="00C609CE"/>
    <w:rsid w:val="00C60CAE"/>
    <w:rsid w:val="00C6244C"/>
    <w:rsid w:val="00C627D0"/>
    <w:rsid w:val="00C62E6B"/>
    <w:rsid w:val="00C63131"/>
    <w:rsid w:val="00C636F8"/>
    <w:rsid w:val="00C639BA"/>
    <w:rsid w:val="00C63EAF"/>
    <w:rsid w:val="00C64461"/>
    <w:rsid w:val="00C649F1"/>
    <w:rsid w:val="00C64E50"/>
    <w:rsid w:val="00C650C1"/>
    <w:rsid w:val="00C65A81"/>
    <w:rsid w:val="00C65A98"/>
    <w:rsid w:val="00C666D3"/>
    <w:rsid w:val="00C6698C"/>
    <w:rsid w:val="00C66DEB"/>
    <w:rsid w:val="00C6719F"/>
    <w:rsid w:val="00C67269"/>
    <w:rsid w:val="00C6796A"/>
    <w:rsid w:val="00C67A61"/>
    <w:rsid w:val="00C67F97"/>
    <w:rsid w:val="00C7020B"/>
    <w:rsid w:val="00C702A6"/>
    <w:rsid w:val="00C7040D"/>
    <w:rsid w:val="00C705A6"/>
    <w:rsid w:val="00C70B45"/>
    <w:rsid w:val="00C70C40"/>
    <w:rsid w:val="00C717AE"/>
    <w:rsid w:val="00C71E88"/>
    <w:rsid w:val="00C7209A"/>
    <w:rsid w:val="00C724BC"/>
    <w:rsid w:val="00C725DC"/>
    <w:rsid w:val="00C72A23"/>
    <w:rsid w:val="00C72D6A"/>
    <w:rsid w:val="00C736CB"/>
    <w:rsid w:val="00C7374D"/>
    <w:rsid w:val="00C748DB"/>
    <w:rsid w:val="00C759A8"/>
    <w:rsid w:val="00C75DC5"/>
    <w:rsid w:val="00C75F27"/>
    <w:rsid w:val="00C764E2"/>
    <w:rsid w:val="00C76780"/>
    <w:rsid w:val="00C76F9C"/>
    <w:rsid w:val="00C76FFB"/>
    <w:rsid w:val="00C77ACA"/>
    <w:rsid w:val="00C77B4A"/>
    <w:rsid w:val="00C80631"/>
    <w:rsid w:val="00C80989"/>
    <w:rsid w:val="00C80CAB"/>
    <w:rsid w:val="00C80CD9"/>
    <w:rsid w:val="00C8112A"/>
    <w:rsid w:val="00C81235"/>
    <w:rsid w:val="00C814EB"/>
    <w:rsid w:val="00C81760"/>
    <w:rsid w:val="00C81AFB"/>
    <w:rsid w:val="00C82140"/>
    <w:rsid w:val="00C821E7"/>
    <w:rsid w:val="00C823E9"/>
    <w:rsid w:val="00C8246C"/>
    <w:rsid w:val="00C824BB"/>
    <w:rsid w:val="00C82774"/>
    <w:rsid w:val="00C82EDF"/>
    <w:rsid w:val="00C83956"/>
    <w:rsid w:val="00C83C5A"/>
    <w:rsid w:val="00C84098"/>
    <w:rsid w:val="00C843FB"/>
    <w:rsid w:val="00C846A3"/>
    <w:rsid w:val="00C84B51"/>
    <w:rsid w:val="00C84C59"/>
    <w:rsid w:val="00C84CAA"/>
    <w:rsid w:val="00C84CF3"/>
    <w:rsid w:val="00C84E3C"/>
    <w:rsid w:val="00C84FEB"/>
    <w:rsid w:val="00C85137"/>
    <w:rsid w:val="00C851A3"/>
    <w:rsid w:val="00C85C5D"/>
    <w:rsid w:val="00C85D84"/>
    <w:rsid w:val="00C86135"/>
    <w:rsid w:val="00C8640B"/>
    <w:rsid w:val="00C868BE"/>
    <w:rsid w:val="00C86CF0"/>
    <w:rsid w:val="00C86EA5"/>
    <w:rsid w:val="00C87225"/>
    <w:rsid w:val="00C8748E"/>
    <w:rsid w:val="00C8765D"/>
    <w:rsid w:val="00C878DF"/>
    <w:rsid w:val="00C87C2E"/>
    <w:rsid w:val="00C87EA1"/>
    <w:rsid w:val="00C90088"/>
    <w:rsid w:val="00C907DB"/>
    <w:rsid w:val="00C90B39"/>
    <w:rsid w:val="00C90C5D"/>
    <w:rsid w:val="00C917A6"/>
    <w:rsid w:val="00C91A81"/>
    <w:rsid w:val="00C91CA3"/>
    <w:rsid w:val="00C92AAA"/>
    <w:rsid w:val="00C92BEB"/>
    <w:rsid w:val="00C92FEE"/>
    <w:rsid w:val="00C9335E"/>
    <w:rsid w:val="00C93FCF"/>
    <w:rsid w:val="00C94170"/>
    <w:rsid w:val="00C941E4"/>
    <w:rsid w:val="00C9480F"/>
    <w:rsid w:val="00C94B9A"/>
    <w:rsid w:val="00C94C67"/>
    <w:rsid w:val="00C94CC6"/>
    <w:rsid w:val="00C952C2"/>
    <w:rsid w:val="00C95720"/>
    <w:rsid w:val="00C95726"/>
    <w:rsid w:val="00C95AB4"/>
    <w:rsid w:val="00C95C82"/>
    <w:rsid w:val="00C95F9F"/>
    <w:rsid w:val="00C95FB8"/>
    <w:rsid w:val="00C963B1"/>
    <w:rsid w:val="00C96640"/>
    <w:rsid w:val="00C9676C"/>
    <w:rsid w:val="00C96A28"/>
    <w:rsid w:val="00C96FEB"/>
    <w:rsid w:val="00C973AB"/>
    <w:rsid w:val="00C9782F"/>
    <w:rsid w:val="00C97FEF"/>
    <w:rsid w:val="00CA05CD"/>
    <w:rsid w:val="00CA06F2"/>
    <w:rsid w:val="00CA071B"/>
    <w:rsid w:val="00CA1043"/>
    <w:rsid w:val="00CA167D"/>
    <w:rsid w:val="00CA18BD"/>
    <w:rsid w:val="00CA215D"/>
    <w:rsid w:val="00CA24EB"/>
    <w:rsid w:val="00CA3523"/>
    <w:rsid w:val="00CA3E46"/>
    <w:rsid w:val="00CA3EA0"/>
    <w:rsid w:val="00CA4037"/>
    <w:rsid w:val="00CA46E5"/>
    <w:rsid w:val="00CA47EA"/>
    <w:rsid w:val="00CA4A1E"/>
    <w:rsid w:val="00CA4C60"/>
    <w:rsid w:val="00CA4ECC"/>
    <w:rsid w:val="00CA51B7"/>
    <w:rsid w:val="00CA5991"/>
    <w:rsid w:val="00CA5DB2"/>
    <w:rsid w:val="00CA6A4A"/>
    <w:rsid w:val="00CA6FD3"/>
    <w:rsid w:val="00CA7EDC"/>
    <w:rsid w:val="00CB03DA"/>
    <w:rsid w:val="00CB0816"/>
    <w:rsid w:val="00CB0A6F"/>
    <w:rsid w:val="00CB12C0"/>
    <w:rsid w:val="00CB135B"/>
    <w:rsid w:val="00CB1574"/>
    <w:rsid w:val="00CB1927"/>
    <w:rsid w:val="00CB1A3D"/>
    <w:rsid w:val="00CB1E75"/>
    <w:rsid w:val="00CB26AF"/>
    <w:rsid w:val="00CB2DED"/>
    <w:rsid w:val="00CB2F53"/>
    <w:rsid w:val="00CB36B8"/>
    <w:rsid w:val="00CB3B42"/>
    <w:rsid w:val="00CB40F3"/>
    <w:rsid w:val="00CB48FD"/>
    <w:rsid w:val="00CB4B8A"/>
    <w:rsid w:val="00CB52D5"/>
    <w:rsid w:val="00CB57E4"/>
    <w:rsid w:val="00CB5940"/>
    <w:rsid w:val="00CB6CB8"/>
    <w:rsid w:val="00CB73AA"/>
    <w:rsid w:val="00CB7544"/>
    <w:rsid w:val="00CB78FB"/>
    <w:rsid w:val="00CB7FF0"/>
    <w:rsid w:val="00CC02BE"/>
    <w:rsid w:val="00CC03E9"/>
    <w:rsid w:val="00CC0839"/>
    <w:rsid w:val="00CC0C23"/>
    <w:rsid w:val="00CC13EB"/>
    <w:rsid w:val="00CC1759"/>
    <w:rsid w:val="00CC25FF"/>
    <w:rsid w:val="00CC27C7"/>
    <w:rsid w:val="00CC2B0B"/>
    <w:rsid w:val="00CC309F"/>
    <w:rsid w:val="00CC49E6"/>
    <w:rsid w:val="00CC4A82"/>
    <w:rsid w:val="00CC4ED3"/>
    <w:rsid w:val="00CC5A67"/>
    <w:rsid w:val="00CC6145"/>
    <w:rsid w:val="00CC6A4B"/>
    <w:rsid w:val="00CC6D87"/>
    <w:rsid w:val="00CC6E42"/>
    <w:rsid w:val="00CC6E5F"/>
    <w:rsid w:val="00CC6E86"/>
    <w:rsid w:val="00CD088D"/>
    <w:rsid w:val="00CD0B4F"/>
    <w:rsid w:val="00CD0DB3"/>
    <w:rsid w:val="00CD1BD6"/>
    <w:rsid w:val="00CD2115"/>
    <w:rsid w:val="00CD21C5"/>
    <w:rsid w:val="00CD2A18"/>
    <w:rsid w:val="00CD3445"/>
    <w:rsid w:val="00CD3535"/>
    <w:rsid w:val="00CD39F7"/>
    <w:rsid w:val="00CD3AAF"/>
    <w:rsid w:val="00CD3D75"/>
    <w:rsid w:val="00CD3D83"/>
    <w:rsid w:val="00CD404B"/>
    <w:rsid w:val="00CD4525"/>
    <w:rsid w:val="00CD4771"/>
    <w:rsid w:val="00CD4A08"/>
    <w:rsid w:val="00CD4A5A"/>
    <w:rsid w:val="00CD4AFE"/>
    <w:rsid w:val="00CD4E53"/>
    <w:rsid w:val="00CD563D"/>
    <w:rsid w:val="00CD599B"/>
    <w:rsid w:val="00CD5F22"/>
    <w:rsid w:val="00CD6602"/>
    <w:rsid w:val="00CD6968"/>
    <w:rsid w:val="00CD6A30"/>
    <w:rsid w:val="00CD6BA6"/>
    <w:rsid w:val="00CD6E50"/>
    <w:rsid w:val="00CD718B"/>
    <w:rsid w:val="00CD7191"/>
    <w:rsid w:val="00CD7444"/>
    <w:rsid w:val="00CD7A65"/>
    <w:rsid w:val="00CD7DF3"/>
    <w:rsid w:val="00CE00F2"/>
    <w:rsid w:val="00CE1041"/>
    <w:rsid w:val="00CE21D1"/>
    <w:rsid w:val="00CE226E"/>
    <w:rsid w:val="00CE229B"/>
    <w:rsid w:val="00CE2555"/>
    <w:rsid w:val="00CE2CF5"/>
    <w:rsid w:val="00CE31C3"/>
    <w:rsid w:val="00CE3355"/>
    <w:rsid w:val="00CE446C"/>
    <w:rsid w:val="00CE48EB"/>
    <w:rsid w:val="00CE52B1"/>
    <w:rsid w:val="00CE563C"/>
    <w:rsid w:val="00CE5F13"/>
    <w:rsid w:val="00CE6306"/>
    <w:rsid w:val="00CE63E6"/>
    <w:rsid w:val="00CE68D5"/>
    <w:rsid w:val="00CE6E41"/>
    <w:rsid w:val="00CE712A"/>
    <w:rsid w:val="00CE71BD"/>
    <w:rsid w:val="00CE724A"/>
    <w:rsid w:val="00CE79C4"/>
    <w:rsid w:val="00CF03D3"/>
    <w:rsid w:val="00CF0AE2"/>
    <w:rsid w:val="00CF0B2B"/>
    <w:rsid w:val="00CF12BA"/>
    <w:rsid w:val="00CF1739"/>
    <w:rsid w:val="00CF2D30"/>
    <w:rsid w:val="00CF3778"/>
    <w:rsid w:val="00CF39D2"/>
    <w:rsid w:val="00CF484D"/>
    <w:rsid w:val="00CF48CB"/>
    <w:rsid w:val="00CF4BA0"/>
    <w:rsid w:val="00CF4BD6"/>
    <w:rsid w:val="00CF60C7"/>
    <w:rsid w:val="00CF6143"/>
    <w:rsid w:val="00CF615E"/>
    <w:rsid w:val="00CF65C2"/>
    <w:rsid w:val="00CF6D70"/>
    <w:rsid w:val="00CF6E52"/>
    <w:rsid w:val="00CF6F15"/>
    <w:rsid w:val="00CF71F5"/>
    <w:rsid w:val="00CF7A84"/>
    <w:rsid w:val="00D00233"/>
    <w:rsid w:val="00D00969"/>
    <w:rsid w:val="00D011D2"/>
    <w:rsid w:val="00D011DC"/>
    <w:rsid w:val="00D012C7"/>
    <w:rsid w:val="00D014F5"/>
    <w:rsid w:val="00D0164F"/>
    <w:rsid w:val="00D017E5"/>
    <w:rsid w:val="00D019C4"/>
    <w:rsid w:val="00D019C8"/>
    <w:rsid w:val="00D01E7B"/>
    <w:rsid w:val="00D02495"/>
    <w:rsid w:val="00D027E5"/>
    <w:rsid w:val="00D02862"/>
    <w:rsid w:val="00D02E58"/>
    <w:rsid w:val="00D030A4"/>
    <w:rsid w:val="00D03813"/>
    <w:rsid w:val="00D03D7B"/>
    <w:rsid w:val="00D0418D"/>
    <w:rsid w:val="00D06906"/>
    <w:rsid w:val="00D0696F"/>
    <w:rsid w:val="00D0699B"/>
    <w:rsid w:val="00D06C91"/>
    <w:rsid w:val="00D07283"/>
    <w:rsid w:val="00D0743D"/>
    <w:rsid w:val="00D103CB"/>
    <w:rsid w:val="00D10478"/>
    <w:rsid w:val="00D10594"/>
    <w:rsid w:val="00D10F6E"/>
    <w:rsid w:val="00D11D10"/>
    <w:rsid w:val="00D11D81"/>
    <w:rsid w:val="00D123BA"/>
    <w:rsid w:val="00D12A01"/>
    <w:rsid w:val="00D12AAA"/>
    <w:rsid w:val="00D13652"/>
    <w:rsid w:val="00D13B6E"/>
    <w:rsid w:val="00D1415D"/>
    <w:rsid w:val="00D145F1"/>
    <w:rsid w:val="00D14682"/>
    <w:rsid w:val="00D152CD"/>
    <w:rsid w:val="00D1546C"/>
    <w:rsid w:val="00D1572E"/>
    <w:rsid w:val="00D157BD"/>
    <w:rsid w:val="00D15E25"/>
    <w:rsid w:val="00D164FF"/>
    <w:rsid w:val="00D16959"/>
    <w:rsid w:val="00D16B84"/>
    <w:rsid w:val="00D16D9F"/>
    <w:rsid w:val="00D1764F"/>
    <w:rsid w:val="00D202C0"/>
    <w:rsid w:val="00D20381"/>
    <w:rsid w:val="00D2038D"/>
    <w:rsid w:val="00D208F2"/>
    <w:rsid w:val="00D20B85"/>
    <w:rsid w:val="00D20C78"/>
    <w:rsid w:val="00D20FE3"/>
    <w:rsid w:val="00D2130F"/>
    <w:rsid w:val="00D2147E"/>
    <w:rsid w:val="00D21E8D"/>
    <w:rsid w:val="00D221C8"/>
    <w:rsid w:val="00D22495"/>
    <w:rsid w:val="00D228B5"/>
    <w:rsid w:val="00D235CD"/>
    <w:rsid w:val="00D23AF2"/>
    <w:rsid w:val="00D23D98"/>
    <w:rsid w:val="00D24047"/>
    <w:rsid w:val="00D240A8"/>
    <w:rsid w:val="00D24E45"/>
    <w:rsid w:val="00D25A37"/>
    <w:rsid w:val="00D25B43"/>
    <w:rsid w:val="00D25F0A"/>
    <w:rsid w:val="00D26366"/>
    <w:rsid w:val="00D2662C"/>
    <w:rsid w:val="00D26D73"/>
    <w:rsid w:val="00D276E4"/>
    <w:rsid w:val="00D30622"/>
    <w:rsid w:val="00D30CAE"/>
    <w:rsid w:val="00D30D1C"/>
    <w:rsid w:val="00D3211A"/>
    <w:rsid w:val="00D3314D"/>
    <w:rsid w:val="00D33329"/>
    <w:rsid w:val="00D33411"/>
    <w:rsid w:val="00D335D7"/>
    <w:rsid w:val="00D34071"/>
    <w:rsid w:val="00D341EC"/>
    <w:rsid w:val="00D341F7"/>
    <w:rsid w:val="00D35043"/>
    <w:rsid w:val="00D35754"/>
    <w:rsid w:val="00D35E71"/>
    <w:rsid w:val="00D35EBD"/>
    <w:rsid w:val="00D36EA1"/>
    <w:rsid w:val="00D37639"/>
    <w:rsid w:val="00D37A2D"/>
    <w:rsid w:val="00D40561"/>
    <w:rsid w:val="00D40598"/>
    <w:rsid w:val="00D4092D"/>
    <w:rsid w:val="00D40F52"/>
    <w:rsid w:val="00D4195F"/>
    <w:rsid w:val="00D41D9F"/>
    <w:rsid w:val="00D42583"/>
    <w:rsid w:val="00D42947"/>
    <w:rsid w:val="00D4340E"/>
    <w:rsid w:val="00D43606"/>
    <w:rsid w:val="00D436F5"/>
    <w:rsid w:val="00D44577"/>
    <w:rsid w:val="00D447F0"/>
    <w:rsid w:val="00D4504E"/>
    <w:rsid w:val="00D463A6"/>
    <w:rsid w:val="00D463E0"/>
    <w:rsid w:val="00D468B9"/>
    <w:rsid w:val="00D477BB"/>
    <w:rsid w:val="00D478A7"/>
    <w:rsid w:val="00D47A5D"/>
    <w:rsid w:val="00D503C4"/>
    <w:rsid w:val="00D50A8E"/>
    <w:rsid w:val="00D50CE9"/>
    <w:rsid w:val="00D513C9"/>
    <w:rsid w:val="00D51460"/>
    <w:rsid w:val="00D516E5"/>
    <w:rsid w:val="00D519C9"/>
    <w:rsid w:val="00D51EBF"/>
    <w:rsid w:val="00D51F70"/>
    <w:rsid w:val="00D51FCF"/>
    <w:rsid w:val="00D52112"/>
    <w:rsid w:val="00D52304"/>
    <w:rsid w:val="00D525CD"/>
    <w:rsid w:val="00D54F1A"/>
    <w:rsid w:val="00D553B3"/>
    <w:rsid w:val="00D5546E"/>
    <w:rsid w:val="00D5613D"/>
    <w:rsid w:val="00D56181"/>
    <w:rsid w:val="00D56392"/>
    <w:rsid w:val="00D564FF"/>
    <w:rsid w:val="00D566D4"/>
    <w:rsid w:val="00D569B6"/>
    <w:rsid w:val="00D56C8C"/>
    <w:rsid w:val="00D5755F"/>
    <w:rsid w:val="00D5791B"/>
    <w:rsid w:val="00D60512"/>
    <w:rsid w:val="00D6071A"/>
    <w:rsid w:val="00D60752"/>
    <w:rsid w:val="00D6082A"/>
    <w:rsid w:val="00D609F4"/>
    <w:rsid w:val="00D60DE0"/>
    <w:rsid w:val="00D61A5D"/>
    <w:rsid w:val="00D61B21"/>
    <w:rsid w:val="00D61D91"/>
    <w:rsid w:val="00D61EF1"/>
    <w:rsid w:val="00D629BB"/>
    <w:rsid w:val="00D62F6D"/>
    <w:rsid w:val="00D63869"/>
    <w:rsid w:val="00D638E9"/>
    <w:rsid w:val="00D63C29"/>
    <w:rsid w:val="00D64AD5"/>
    <w:rsid w:val="00D65391"/>
    <w:rsid w:val="00D65478"/>
    <w:rsid w:val="00D65486"/>
    <w:rsid w:val="00D65591"/>
    <w:rsid w:val="00D65E26"/>
    <w:rsid w:val="00D66142"/>
    <w:rsid w:val="00D6668C"/>
    <w:rsid w:val="00D66874"/>
    <w:rsid w:val="00D67190"/>
    <w:rsid w:val="00D673E3"/>
    <w:rsid w:val="00D67786"/>
    <w:rsid w:val="00D67B92"/>
    <w:rsid w:val="00D67D1E"/>
    <w:rsid w:val="00D703EA"/>
    <w:rsid w:val="00D70485"/>
    <w:rsid w:val="00D70693"/>
    <w:rsid w:val="00D71317"/>
    <w:rsid w:val="00D71E9F"/>
    <w:rsid w:val="00D72122"/>
    <w:rsid w:val="00D727F2"/>
    <w:rsid w:val="00D72A10"/>
    <w:rsid w:val="00D72B83"/>
    <w:rsid w:val="00D72C1D"/>
    <w:rsid w:val="00D730D6"/>
    <w:rsid w:val="00D73753"/>
    <w:rsid w:val="00D73AB9"/>
    <w:rsid w:val="00D74007"/>
    <w:rsid w:val="00D742BA"/>
    <w:rsid w:val="00D7431B"/>
    <w:rsid w:val="00D7438A"/>
    <w:rsid w:val="00D7450B"/>
    <w:rsid w:val="00D74637"/>
    <w:rsid w:val="00D75176"/>
    <w:rsid w:val="00D7523D"/>
    <w:rsid w:val="00D753D3"/>
    <w:rsid w:val="00D7543C"/>
    <w:rsid w:val="00D75567"/>
    <w:rsid w:val="00D7563A"/>
    <w:rsid w:val="00D75A36"/>
    <w:rsid w:val="00D75A45"/>
    <w:rsid w:val="00D75E14"/>
    <w:rsid w:val="00D77095"/>
    <w:rsid w:val="00D779BD"/>
    <w:rsid w:val="00D77E1C"/>
    <w:rsid w:val="00D80802"/>
    <w:rsid w:val="00D81EC6"/>
    <w:rsid w:val="00D828A2"/>
    <w:rsid w:val="00D82B4E"/>
    <w:rsid w:val="00D830C5"/>
    <w:rsid w:val="00D83809"/>
    <w:rsid w:val="00D84844"/>
    <w:rsid w:val="00D84CB8"/>
    <w:rsid w:val="00D85086"/>
    <w:rsid w:val="00D8536B"/>
    <w:rsid w:val="00D85F97"/>
    <w:rsid w:val="00D86121"/>
    <w:rsid w:val="00D86C3F"/>
    <w:rsid w:val="00D901A6"/>
    <w:rsid w:val="00D901C5"/>
    <w:rsid w:val="00D90311"/>
    <w:rsid w:val="00D91782"/>
    <w:rsid w:val="00D91ED7"/>
    <w:rsid w:val="00D9295B"/>
    <w:rsid w:val="00D92BA9"/>
    <w:rsid w:val="00D937E7"/>
    <w:rsid w:val="00D94E07"/>
    <w:rsid w:val="00D96544"/>
    <w:rsid w:val="00D96BEA"/>
    <w:rsid w:val="00DA024D"/>
    <w:rsid w:val="00DA03FF"/>
    <w:rsid w:val="00DA062C"/>
    <w:rsid w:val="00DA06C5"/>
    <w:rsid w:val="00DA0DBF"/>
    <w:rsid w:val="00DA112C"/>
    <w:rsid w:val="00DA16B2"/>
    <w:rsid w:val="00DA1F47"/>
    <w:rsid w:val="00DA2452"/>
    <w:rsid w:val="00DA27F2"/>
    <w:rsid w:val="00DA2D44"/>
    <w:rsid w:val="00DA3204"/>
    <w:rsid w:val="00DA3DBC"/>
    <w:rsid w:val="00DA41E4"/>
    <w:rsid w:val="00DA4609"/>
    <w:rsid w:val="00DA6055"/>
    <w:rsid w:val="00DA6892"/>
    <w:rsid w:val="00DA6978"/>
    <w:rsid w:val="00DA783C"/>
    <w:rsid w:val="00DA7BB6"/>
    <w:rsid w:val="00DA7D90"/>
    <w:rsid w:val="00DB01EC"/>
    <w:rsid w:val="00DB0252"/>
    <w:rsid w:val="00DB04DB"/>
    <w:rsid w:val="00DB0B77"/>
    <w:rsid w:val="00DB15FD"/>
    <w:rsid w:val="00DB1E38"/>
    <w:rsid w:val="00DB3314"/>
    <w:rsid w:val="00DB3A60"/>
    <w:rsid w:val="00DB4CAC"/>
    <w:rsid w:val="00DB4DE4"/>
    <w:rsid w:val="00DB54D8"/>
    <w:rsid w:val="00DB59BF"/>
    <w:rsid w:val="00DB5D40"/>
    <w:rsid w:val="00DB5E75"/>
    <w:rsid w:val="00DB6333"/>
    <w:rsid w:val="00DB7077"/>
    <w:rsid w:val="00DB7360"/>
    <w:rsid w:val="00DB7DD4"/>
    <w:rsid w:val="00DB7ECA"/>
    <w:rsid w:val="00DC0101"/>
    <w:rsid w:val="00DC0DC8"/>
    <w:rsid w:val="00DC0EC7"/>
    <w:rsid w:val="00DC126B"/>
    <w:rsid w:val="00DC14B9"/>
    <w:rsid w:val="00DC2C43"/>
    <w:rsid w:val="00DC2F88"/>
    <w:rsid w:val="00DC30FB"/>
    <w:rsid w:val="00DC3252"/>
    <w:rsid w:val="00DC3F48"/>
    <w:rsid w:val="00DC403C"/>
    <w:rsid w:val="00DC4EF8"/>
    <w:rsid w:val="00DC4F46"/>
    <w:rsid w:val="00DC6371"/>
    <w:rsid w:val="00DC6A23"/>
    <w:rsid w:val="00DC77DB"/>
    <w:rsid w:val="00DC7830"/>
    <w:rsid w:val="00DC7840"/>
    <w:rsid w:val="00DC7F84"/>
    <w:rsid w:val="00DD07E2"/>
    <w:rsid w:val="00DD083F"/>
    <w:rsid w:val="00DD0C1F"/>
    <w:rsid w:val="00DD0DEB"/>
    <w:rsid w:val="00DD0EF9"/>
    <w:rsid w:val="00DD177A"/>
    <w:rsid w:val="00DD28EC"/>
    <w:rsid w:val="00DD2DDC"/>
    <w:rsid w:val="00DD3182"/>
    <w:rsid w:val="00DD3498"/>
    <w:rsid w:val="00DD37CC"/>
    <w:rsid w:val="00DD37F5"/>
    <w:rsid w:val="00DD3FF2"/>
    <w:rsid w:val="00DD4021"/>
    <w:rsid w:val="00DD418E"/>
    <w:rsid w:val="00DD464F"/>
    <w:rsid w:val="00DD46EE"/>
    <w:rsid w:val="00DD47A6"/>
    <w:rsid w:val="00DD4A4E"/>
    <w:rsid w:val="00DD4E2F"/>
    <w:rsid w:val="00DD60EE"/>
    <w:rsid w:val="00DD6485"/>
    <w:rsid w:val="00DD685E"/>
    <w:rsid w:val="00DD691A"/>
    <w:rsid w:val="00DD72B2"/>
    <w:rsid w:val="00DD7777"/>
    <w:rsid w:val="00DD7EF8"/>
    <w:rsid w:val="00DE0027"/>
    <w:rsid w:val="00DE01DA"/>
    <w:rsid w:val="00DE0260"/>
    <w:rsid w:val="00DE06D0"/>
    <w:rsid w:val="00DE0EAD"/>
    <w:rsid w:val="00DE0ED0"/>
    <w:rsid w:val="00DE1B41"/>
    <w:rsid w:val="00DE1C4A"/>
    <w:rsid w:val="00DE1EF7"/>
    <w:rsid w:val="00DE2C52"/>
    <w:rsid w:val="00DE334E"/>
    <w:rsid w:val="00DE3570"/>
    <w:rsid w:val="00DE362F"/>
    <w:rsid w:val="00DE41CC"/>
    <w:rsid w:val="00DE453B"/>
    <w:rsid w:val="00DE4ABF"/>
    <w:rsid w:val="00DE4E37"/>
    <w:rsid w:val="00DE5789"/>
    <w:rsid w:val="00DE5BDF"/>
    <w:rsid w:val="00DE5D04"/>
    <w:rsid w:val="00DE5EA9"/>
    <w:rsid w:val="00DE5F5D"/>
    <w:rsid w:val="00DE6647"/>
    <w:rsid w:val="00DE6811"/>
    <w:rsid w:val="00DE6BEC"/>
    <w:rsid w:val="00DE78CF"/>
    <w:rsid w:val="00DE78EE"/>
    <w:rsid w:val="00DF04E9"/>
    <w:rsid w:val="00DF0B8B"/>
    <w:rsid w:val="00DF0FF7"/>
    <w:rsid w:val="00DF1119"/>
    <w:rsid w:val="00DF137F"/>
    <w:rsid w:val="00DF2700"/>
    <w:rsid w:val="00DF2A55"/>
    <w:rsid w:val="00DF2CE6"/>
    <w:rsid w:val="00DF346D"/>
    <w:rsid w:val="00DF3690"/>
    <w:rsid w:val="00DF5938"/>
    <w:rsid w:val="00DF5C87"/>
    <w:rsid w:val="00DF600F"/>
    <w:rsid w:val="00DF617E"/>
    <w:rsid w:val="00DF66EF"/>
    <w:rsid w:val="00DF69B0"/>
    <w:rsid w:val="00DF6C19"/>
    <w:rsid w:val="00DF74B1"/>
    <w:rsid w:val="00DF77F2"/>
    <w:rsid w:val="00DF7DDA"/>
    <w:rsid w:val="00E003AE"/>
    <w:rsid w:val="00E00463"/>
    <w:rsid w:val="00E00806"/>
    <w:rsid w:val="00E00AAD"/>
    <w:rsid w:val="00E022D8"/>
    <w:rsid w:val="00E0240F"/>
    <w:rsid w:val="00E02903"/>
    <w:rsid w:val="00E02F27"/>
    <w:rsid w:val="00E03442"/>
    <w:rsid w:val="00E03E71"/>
    <w:rsid w:val="00E04ED0"/>
    <w:rsid w:val="00E04F56"/>
    <w:rsid w:val="00E059FB"/>
    <w:rsid w:val="00E05C37"/>
    <w:rsid w:val="00E05DA8"/>
    <w:rsid w:val="00E05DAA"/>
    <w:rsid w:val="00E0703B"/>
    <w:rsid w:val="00E10845"/>
    <w:rsid w:val="00E10885"/>
    <w:rsid w:val="00E10CB5"/>
    <w:rsid w:val="00E11366"/>
    <w:rsid w:val="00E1136E"/>
    <w:rsid w:val="00E1150B"/>
    <w:rsid w:val="00E118C6"/>
    <w:rsid w:val="00E1198F"/>
    <w:rsid w:val="00E11E15"/>
    <w:rsid w:val="00E122C7"/>
    <w:rsid w:val="00E1253C"/>
    <w:rsid w:val="00E12E74"/>
    <w:rsid w:val="00E13690"/>
    <w:rsid w:val="00E13B0D"/>
    <w:rsid w:val="00E13EAF"/>
    <w:rsid w:val="00E14638"/>
    <w:rsid w:val="00E14BD4"/>
    <w:rsid w:val="00E14E10"/>
    <w:rsid w:val="00E1581D"/>
    <w:rsid w:val="00E15A9A"/>
    <w:rsid w:val="00E15CBE"/>
    <w:rsid w:val="00E169C4"/>
    <w:rsid w:val="00E16B76"/>
    <w:rsid w:val="00E16E76"/>
    <w:rsid w:val="00E17438"/>
    <w:rsid w:val="00E17AFB"/>
    <w:rsid w:val="00E200E0"/>
    <w:rsid w:val="00E202EE"/>
    <w:rsid w:val="00E20987"/>
    <w:rsid w:val="00E209B9"/>
    <w:rsid w:val="00E20D7E"/>
    <w:rsid w:val="00E20EA7"/>
    <w:rsid w:val="00E210BD"/>
    <w:rsid w:val="00E21207"/>
    <w:rsid w:val="00E2176F"/>
    <w:rsid w:val="00E21ADD"/>
    <w:rsid w:val="00E225A1"/>
    <w:rsid w:val="00E22825"/>
    <w:rsid w:val="00E22D3F"/>
    <w:rsid w:val="00E23829"/>
    <w:rsid w:val="00E239D6"/>
    <w:rsid w:val="00E248BF"/>
    <w:rsid w:val="00E24944"/>
    <w:rsid w:val="00E25090"/>
    <w:rsid w:val="00E25E60"/>
    <w:rsid w:val="00E2630E"/>
    <w:rsid w:val="00E2632E"/>
    <w:rsid w:val="00E266C3"/>
    <w:rsid w:val="00E26A0C"/>
    <w:rsid w:val="00E26B66"/>
    <w:rsid w:val="00E27A51"/>
    <w:rsid w:val="00E27A63"/>
    <w:rsid w:val="00E3062F"/>
    <w:rsid w:val="00E307D6"/>
    <w:rsid w:val="00E31259"/>
    <w:rsid w:val="00E3149E"/>
    <w:rsid w:val="00E3194A"/>
    <w:rsid w:val="00E31DC0"/>
    <w:rsid w:val="00E3397E"/>
    <w:rsid w:val="00E33CC5"/>
    <w:rsid w:val="00E34352"/>
    <w:rsid w:val="00E34C2E"/>
    <w:rsid w:val="00E34FF0"/>
    <w:rsid w:val="00E359D2"/>
    <w:rsid w:val="00E359DB"/>
    <w:rsid w:val="00E367DD"/>
    <w:rsid w:val="00E36E61"/>
    <w:rsid w:val="00E376E4"/>
    <w:rsid w:val="00E379E3"/>
    <w:rsid w:val="00E40988"/>
    <w:rsid w:val="00E41107"/>
    <w:rsid w:val="00E41CCC"/>
    <w:rsid w:val="00E422E2"/>
    <w:rsid w:val="00E42668"/>
    <w:rsid w:val="00E4272B"/>
    <w:rsid w:val="00E428A7"/>
    <w:rsid w:val="00E43329"/>
    <w:rsid w:val="00E4391B"/>
    <w:rsid w:val="00E43B97"/>
    <w:rsid w:val="00E43DA6"/>
    <w:rsid w:val="00E4487F"/>
    <w:rsid w:val="00E449EC"/>
    <w:rsid w:val="00E44D71"/>
    <w:rsid w:val="00E4559A"/>
    <w:rsid w:val="00E455DF"/>
    <w:rsid w:val="00E45B4A"/>
    <w:rsid w:val="00E46024"/>
    <w:rsid w:val="00E461F7"/>
    <w:rsid w:val="00E46476"/>
    <w:rsid w:val="00E466A6"/>
    <w:rsid w:val="00E467F4"/>
    <w:rsid w:val="00E46CE1"/>
    <w:rsid w:val="00E46D5E"/>
    <w:rsid w:val="00E472FE"/>
    <w:rsid w:val="00E4749C"/>
    <w:rsid w:val="00E47ED8"/>
    <w:rsid w:val="00E50034"/>
    <w:rsid w:val="00E51D5C"/>
    <w:rsid w:val="00E51DD2"/>
    <w:rsid w:val="00E520E7"/>
    <w:rsid w:val="00E521BC"/>
    <w:rsid w:val="00E521C7"/>
    <w:rsid w:val="00E52F55"/>
    <w:rsid w:val="00E532F6"/>
    <w:rsid w:val="00E53432"/>
    <w:rsid w:val="00E5405C"/>
    <w:rsid w:val="00E5419F"/>
    <w:rsid w:val="00E5422F"/>
    <w:rsid w:val="00E54357"/>
    <w:rsid w:val="00E54B1B"/>
    <w:rsid w:val="00E54E3F"/>
    <w:rsid w:val="00E54F00"/>
    <w:rsid w:val="00E550DD"/>
    <w:rsid w:val="00E556AC"/>
    <w:rsid w:val="00E5577D"/>
    <w:rsid w:val="00E5598A"/>
    <w:rsid w:val="00E55BFC"/>
    <w:rsid w:val="00E55CD0"/>
    <w:rsid w:val="00E55D5F"/>
    <w:rsid w:val="00E55E60"/>
    <w:rsid w:val="00E56B42"/>
    <w:rsid w:val="00E571C6"/>
    <w:rsid w:val="00E57587"/>
    <w:rsid w:val="00E57D95"/>
    <w:rsid w:val="00E6008D"/>
    <w:rsid w:val="00E60A88"/>
    <w:rsid w:val="00E60F83"/>
    <w:rsid w:val="00E61227"/>
    <w:rsid w:val="00E613C5"/>
    <w:rsid w:val="00E61615"/>
    <w:rsid w:val="00E61FAD"/>
    <w:rsid w:val="00E621A8"/>
    <w:rsid w:val="00E62E86"/>
    <w:rsid w:val="00E63486"/>
    <w:rsid w:val="00E64C2D"/>
    <w:rsid w:val="00E65437"/>
    <w:rsid w:val="00E65746"/>
    <w:rsid w:val="00E65AF1"/>
    <w:rsid w:val="00E65CB0"/>
    <w:rsid w:val="00E66AA9"/>
    <w:rsid w:val="00E66F40"/>
    <w:rsid w:val="00E67104"/>
    <w:rsid w:val="00E674C6"/>
    <w:rsid w:val="00E67A4F"/>
    <w:rsid w:val="00E67F51"/>
    <w:rsid w:val="00E67F5A"/>
    <w:rsid w:val="00E70A2A"/>
    <w:rsid w:val="00E70CAB"/>
    <w:rsid w:val="00E70F8F"/>
    <w:rsid w:val="00E71850"/>
    <w:rsid w:val="00E71F8C"/>
    <w:rsid w:val="00E722E9"/>
    <w:rsid w:val="00E72771"/>
    <w:rsid w:val="00E73F0F"/>
    <w:rsid w:val="00E740A7"/>
    <w:rsid w:val="00E74FE9"/>
    <w:rsid w:val="00E7591B"/>
    <w:rsid w:val="00E76858"/>
    <w:rsid w:val="00E775D3"/>
    <w:rsid w:val="00E77D92"/>
    <w:rsid w:val="00E77DBC"/>
    <w:rsid w:val="00E77DF0"/>
    <w:rsid w:val="00E80ED7"/>
    <w:rsid w:val="00E81863"/>
    <w:rsid w:val="00E81B72"/>
    <w:rsid w:val="00E81DF2"/>
    <w:rsid w:val="00E82828"/>
    <w:rsid w:val="00E82CF6"/>
    <w:rsid w:val="00E832C6"/>
    <w:rsid w:val="00E83794"/>
    <w:rsid w:val="00E83FB9"/>
    <w:rsid w:val="00E843A4"/>
    <w:rsid w:val="00E84450"/>
    <w:rsid w:val="00E84D81"/>
    <w:rsid w:val="00E8506A"/>
    <w:rsid w:val="00E855C5"/>
    <w:rsid w:val="00E85E57"/>
    <w:rsid w:val="00E85E63"/>
    <w:rsid w:val="00E860ED"/>
    <w:rsid w:val="00E9100D"/>
    <w:rsid w:val="00E9118E"/>
    <w:rsid w:val="00E914C5"/>
    <w:rsid w:val="00E91C78"/>
    <w:rsid w:val="00E924BC"/>
    <w:rsid w:val="00E928A9"/>
    <w:rsid w:val="00E92930"/>
    <w:rsid w:val="00E93593"/>
    <w:rsid w:val="00E9379D"/>
    <w:rsid w:val="00E93BB1"/>
    <w:rsid w:val="00E93CEE"/>
    <w:rsid w:val="00E93F0C"/>
    <w:rsid w:val="00E95AC3"/>
    <w:rsid w:val="00E96276"/>
    <w:rsid w:val="00E965D8"/>
    <w:rsid w:val="00E96C17"/>
    <w:rsid w:val="00E96C77"/>
    <w:rsid w:val="00E96F06"/>
    <w:rsid w:val="00E96F73"/>
    <w:rsid w:val="00E972AC"/>
    <w:rsid w:val="00E97CCF"/>
    <w:rsid w:val="00EA0073"/>
    <w:rsid w:val="00EA0B9E"/>
    <w:rsid w:val="00EA0E93"/>
    <w:rsid w:val="00EA1662"/>
    <w:rsid w:val="00EA19B0"/>
    <w:rsid w:val="00EA1C70"/>
    <w:rsid w:val="00EA2020"/>
    <w:rsid w:val="00EA254D"/>
    <w:rsid w:val="00EA25F2"/>
    <w:rsid w:val="00EA299B"/>
    <w:rsid w:val="00EA2B2B"/>
    <w:rsid w:val="00EA2D3B"/>
    <w:rsid w:val="00EA319C"/>
    <w:rsid w:val="00EA3328"/>
    <w:rsid w:val="00EA3977"/>
    <w:rsid w:val="00EA409D"/>
    <w:rsid w:val="00EA4709"/>
    <w:rsid w:val="00EA4C0B"/>
    <w:rsid w:val="00EA4CE6"/>
    <w:rsid w:val="00EA527C"/>
    <w:rsid w:val="00EA5627"/>
    <w:rsid w:val="00EA5C12"/>
    <w:rsid w:val="00EA61EF"/>
    <w:rsid w:val="00EA6647"/>
    <w:rsid w:val="00EA6AC7"/>
    <w:rsid w:val="00EA6BFC"/>
    <w:rsid w:val="00EA6C94"/>
    <w:rsid w:val="00EA74D8"/>
    <w:rsid w:val="00EA77C8"/>
    <w:rsid w:val="00EA79FE"/>
    <w:rsid w:val="00EB0015"/>
    <w:rsid w:val="00EB03B5"/>
    <w:rsid w:val="00EB0466"/>
    <w:rsid w:val="00EB09C4"/>
    <w:rsid w:val="00EB0F35"/>
    <w:rsid w:val="00EB1012"/>
    <w:rsid w:val="00EB129C"/>
    <w:rsid w:val="00EB1724"/>
    <w:rsid w:val="00EB19CB"/>
    <w:rsid w:val="00EB1FA8"/>
    <w:rsid w:val="00EB2197"/>
    <w:rsid w:val="00EB2230"/>
    <w:rsid w:val="00EB25F6"/>
    <w:rsid w:val="00EB25FB"/>
    <w:rsid w:val="00EB2723"/>
    <w:rsid w:val="00EB286C"/>
    <w:rsid w:val="00EB28E2"/>
    <w:rsid w:val="00EB2981"/>
    <w:rsid w:val="00EB3235"/>
    <w:rsid w:val="00EB37D6"/>
    <w:rsid w:val="00EB3B72"/>
    <w:rsid w:val="00EB4063"/>
    <w:rsid w:val="00EB41B6"/>
    <w:rsid w:val="00EB495F"/>
    <w:rsid w:val="00EB4A4D"/>
    <w:rsid w:val="00EB5089"/>
    <w:rsid w:val="00EB5491"/>
    <w:rsid w:val="00EB55E9"/>
    <w:rsid w:val="00EB5609"/>
    <w:rsid w:val="00EB5B4B"/>
    <w:rsid w:val="00EB5E78"/>
    <w:rsid w:val="00EB6791"/>
    <w:rsid w:val="00EB716A"/>
    <w:rsid w:val="00EB7516"/>
    <w:rsid w:val="00EB76AA"/>
    <w:rsid w:val="00EB7B08"/>
    <w:rsid w:val="00EC0035"/>
    <w:rsid w:val="00EC03E3"/>
    <w:rsid w:val="00EC0A8C"/>
    <w:rsid w:val="00EC1217"/>
    <w:rsid w:val="00EC20A5"/>
    <w:rsid w:val="00EC3095"/>
    <w:rsid w:val="00EC38B3"/>
    <w:rsid w:val="00EC3AD4"/>
    <w:rsid w:val="00EC3C46"/>
    <w:rsid w:val="00EC3DED"/>
    <w:rsid w:val="00EC4AD7"/>
    <w:rsid w:val="00EC4FCF"/>
    <w:rsid w:val="00EC519B"/>
    <w:rsid w:val="00EC63A2"/>
    <w:rsid w:val="00EC688F"/>
    <w:rsid w:val="00EC68F6"/>
    <w:rsid w:val="00EC6A3E"/>
    <w:rsid w:val="00EC7052"/>
    <w:rsid w:val="00EC720C"/>
    <w:rsid w:val="00EC7791"/>
    <w:rsid w:val="00EC7B74"/>
    <w:rsid w:val="00ED029B"/>
    <w:rsid w:val="00ED147A"/>
    <w:rsid w:val="00ED17C4"/>
    <w:rsid w:val="00ED1EBB"/>
    <w:rsid w:val="00ED29F2"/>
    <w:rsid w:val="00ED2D0E"/>
    <w:rsid w:val="00ED303A"/>
    <w:rsid w:val="00ED313E"/>
    <w:rsid w:val="00ED348D"/>
    <w:rsid w:val="00ED4926"/>
    <w:rsid w:val="00ED4A94"/>
    <w:rsid w:val="00ED5D2A"/>
    <w:rsid w:val="00ED5FD3"/>
    <w:rsid w:val="00ED6464"/>
    <w:rsid w:val="00ED6DF7"/>
    <w:rsid w:val="00ED6F4C"/>
    <w:rsid w:val="00ED74AC"/>
    <w:rsid w:val="00ED7BD7"/>
    <w:rsid w:val="00ED7C19"/>
    <w:rsid w:val="00EE0503"/>
    <w:rsid w:val="00EE07B0"/>
    <w:rsid w:val="00EE0B82"/>
    <w:rsid w:val="00EE0D9A"/>
    <w:rsid w:val="00EE1313"/>
    <w:rsid w:val="00EE1B33"/>
    <w:rsid w:val="00EE1E93"/>
    <w:rsid w:val="00EE21ED"/>
    <w:rsid w:val="00EE2272"/>
    <w:rsid w:val="00EE231E"/>
    <w:rsid w:val="00EE3619"/>
    <w:rsid w:val="00EE36C0"/>
    <w:rsid w:val="00EE3960"/>
    <w:rsid w:val="00EE3972"/>
    <w:rsid w:val="00EE419A"/>
    <w:rsid w:val="00EE44F0"/>
    <w:rsid w:val="00EE4738"/>
    <w:rsid w:val="00EE4A29"/>
    <w:rsid w:val="00EE53D8"/>
    <w:rsid w:val="00EE557A"/>
    <w:rsid w:val="00EE5C13"/>
    <w:rsid w:val="00EE5CBC"/>
    <w:rsid w:val="00EE5E61"/>
    <w:rsid w:val="00EE6DA4"/>
    <w:rsid w:val="00EE71CB"/>
    <w:rsid w:val="00EE7562"/>
    <w:rsid w:val="00EE77EA"/>
    <w:rsid w:val="00EE78D5"/>
    <w:rsid w:val="00EE7D87"/>
    <w:rsid w:val="00EF04E1"/>
    <w:rsid w:val="00EF07B2"/>
    <w:rsid w:val="00EF0D9B"/>
    <w:rsid w:val="00EF1212"/>
    <w:rsid w:val="00EF121E"/>
    <w:rsid w:val="00EF267F"/>
    <w:rsid w:val="00EF328A"/>
    <w:rsid w:val="00EF37ED"/>
    <w:rsid w:val="00EF3877"/>
    <w:rsid w:val="00EF3C02"/>
    <w:rsid w:val="00EF3D29"/>
    <w:rsid w:val="00EF3FC5"/>
    <w:rsid w:val="00EF43D1"/>
    <w:rsid w:val="00EF4D8C"/>
    <w:rsid w:val="00EF50D7"/>
    <w:rsid w:val="00EF535B"/>
    <w:rsid w:val="00EF64DB"/>
    <w:rsid w:val="00EF682B"/>
    <w:rsid w:val="00EF6F43"/>
    <w:rsid w:val="00EF7656"/>
    <w:rsid w:val="00EF7760"/>
    <w:rsid w:val="00EF7C61"/>
    <w:rsid w:val="00F00112"/>
    <w:rsid w:val="00F0035F"/>
    <w:rsid w:val="00F003C9"/>
    <w:rsid w:val="00F00B2D"/>
    <w:rsid w:val="00F026A2"/>
    <w:rsid w:val="00F02701"/>
    <w:rsid w:val="00F02B62"/>
    <w:rsid w:val="00F0321F"/>
    <w:rsid w:val="00F03338"/>
    <w:rsid w:val="00F03401"/>
    <w:rsid w:val="00F03405"/>
    <w:rsid w:val="00F0366A"/>
    <w:rsid w:val="00F038BC"/>
    <w:rsid w:val="00F04603"/>
    <w:rsid w:val="00F04B86"/>
    <w:rsid w:val="00F0526B"/>
    <w:rsid w:val="00F05708"/>
    <w:rsid w:val="00F06283"/>
    <w:rsid w:val="00F0689D"/>
    <w:rsid w:val="00F0751D"/>
    <w:rsid w:val="00F1010F"/>
    <w:rsid w:val="00F11212"/>
    <w:rsid w:val="00F1177A"/>
    <w:rsid w:val="00F11A36"/>
    <w:rsid w:val="00F11B2A"/>
    <w:rsid w:val="00F12402"/>
    <w:rsid w:val="00F12C34"/>
    <w:rsid w:val="00F12DCA"/>
    <w:rsid w:val="00F12FD5"/>
    <w:rsid w:val="00F1335B"/>
    <w:rsid w:val="00F134D4"/>
    <w:rsid w:val="00F13804"/>
    <w:rsid w:val="00F1391E"/>
    <w:rsid w:val="00F147C1"/>
    <w:rsid w:val="00F15614"/>
    <w:rsid w:val="00F15891"/>
    <w:rsid w:val="00F15E7A"/>
    <w:rsid w:val="00F15ED3"/>
    <w:rsid w:val="00F1626D"/>
    <w:rsid w:val="00F1642D"/>
    <w:rsid w:val="00F169F8"/>
    <w:rsid w:val="00F16D75"/>
    <w:rsid w:val="00F172E9"/>
    <w:rsid w:val="00F17431"/>
    <w:rsid w:val="00F17C15"/>
    <w:rsid w:val="00F17D11"/>
    <w:rsid w:val="00F17D8A"/>
    <w:rsid w:val="00F2011E"/>
    <w:rsid w:val="00F205C7"/>
    <w:rsid w:val="00F20640"/>
    <w:rsid w:val="00F20B68"/>
    <w:rsid w:val="00F20EAF"/>
    <w:rsid w:val="00F2177C"/>
    <w:rsid w:val="00F21974"/>
    <w:rsid w:val="00F21DB9"/>
    <w:rsid w:val="00F2239A"/>
    <w:rsid w:val="00F2247F"/>
    <w:rsid w:val="00F22BA8"/>
    <w:rsid w:val="00F22CD4"/>
    <w:rsid w:val="00F2315E"/>
    <w:rsid w:val="00F2344D"/>
    <w:rsid w:val="00F23761"/>
    <w:rsid w:val="00F23A45"/>
    <w:rsid w:val="00F23CB8"/>
    <w:rsid w:val="00F23D8E"/>
    <w:rsid w:val="00F23DBF"/>
    <w:rsid w:val="00F241B5"/>
    <w:rsid w:val="00F248E1"/>
    <w:rsid w:val="00F250ED"/>
    <w:rsid w:val="00F25557"/>
    <w:rsid w:val="00F260EF"/>
    <w:rsid w:val="00F2698E"/>
    <w:rsid w:val="00F26FC0"/>
    <w:rsid w:val="00F27258"/>
    <w:rsid w:val="00F274FB"/>
    <w:rsid w:val="00F2793F"/>
    <w:rsid w:val="00F27BBB"/>
    <w:rsid w:val="00F3072D"/>
    <w:rsid w:val="00F30906"/>
    <w:rsid w:val="00F30B6E"/>
    <w:rsid w:val="00F30C7E"/>
    <w:rsid w:val="00F30CD1"/>
    <w:rsid w:val="00F31588"/>
    <w:rsid w:val="00F31B00"/>
    <w:rsid w:val="00F31ECA"/>
    <w:rsid w:val="00F32770"/>
    <w:rsid w:val="00F338F2"/>
    <w:rsid w:val="00F33AB6"/>
    <w:rsid w:val="00F33B68"/>
    <w:rsid w:val="00F346D0"/>
    <w:rsid w:val="00F34730"/>
    <w:rsid w:val="00F34909"/>
    <w:rsid w:val="00F34AF1"/>
    <w:rsid w:val="00F34BDE"/>
    <w:rsid w:val="00F35219"/>
    <w:rsid w:val="00F357AC"/>
    <w:rsid w:val="00F3583F"/>
    <w:rsid w:val="00F35A43"/>
    <w:rsid w:val="00F36255"/>
    <w:rsid w:val="00F3628D"/>
    <w:rsid w:val="00F36BDF"/>
    <w:rsid w:val="00F3733E"/>
    <w:rsid w:val="00F37C1F"/>
    <w:rsid w:val="00F40B53"/>
    <w:rsid w:val="00F40CD6"/>
    <w:rsid w:val="00F41140"/>
    <w:rsid w:val="00F41954"/>
    <w:rsid w:val="00F41F69"/>
    <w:rsid w:val="00F42B60"/>
    <w:rsid w:val="00F43A5E"/>
    <w:rsid w:val="00F43DE5"/>
    <w:rsid w:val="00F43E90"/>
    <w:rsid w:val="00F43E97"/>
    <w:rsid w:val="00F44709"/>
    <w:rsid w:val="00F4472C"/>
    <w:rsid w:val="00F44C61"/>
    <w:rsid w:val="00F44ED9"/>
    <w:rsid w:val="00F452BC"/>
    <w:rsid w:val="00F454B7"/>
    <w:rsid w:val="00F454FD"/>
    <w:rsid w:val="00F46471"/>
    <w:rsid w:val="00F46526"/>
    <w:rsid w:val="00F4692D"/>
    <w:rsid w:val="00F46CB6"/>
    <w:rsid w:val="00F46DD6"/>
    <w:rsid w:val="00F47A33"/>
    <w:rsid w:val="00F47AD9"/>
    <w:rsid w:val="00F51078"/>
    <w:rsid w:val="00F5151D"/>
    <w:rsid w:val="00F522E7"/>
    <w:rsid w:val="00F5265D"/>
    <w:rsid w:val="00F53539"/>
    <w:rsid w:val="00F53E96"/>
    <w:rsid w:val="00F542AF"/>
    <w:rsid w:val="00F54B38"/>
    <w:rsid w:val="00F55166"/>
    <w:rsid w:val="00F55579"/>
    <w:rsid w:val="00F55B10"/>
    <w:rsid w:val="00F55E24"/>
    <w:rsid w:val="00F56322"/>
    <w:rsid w:val="00F56868"/>
    <w:rsid w:val="00F56E34"/>
    <w:rsid w:val="00F5736A"/>
    <w:rsid w:val="00F577A4"/>
    <w:rsid w:val="00F57946"/>
    <w:rsid w:val="00F57CA1"/>
    <w:rsid w:val="00F57F13"/>
    <w:rsid w:val="00F612F7"/>
    <w:rsid w:val="00F62EB0"/>
    <w:rsid w:val="00F62F91"/>
    <w:rsid w:val="00F62FE7"/>
    <w:rsid w:val="00F63906"/>
    <w:rsid w:val="00F63E2F"/>
    <w:rsid w:val="00F64055"/>
    <w:rsid w:val="00F64097"/>
    <w:rsid w:val="00F65047"/>
    <w:rsid w:val="00F6558F"/>
    <w:rsid w:val="00F656F2"/>
    <w:rsid w:val="00F6571C"/>
    <w:rsid w:val="00F6586F"/>
    <w:rsid w:val="00F65D49"/>
    <w:rsid w:val="00F66AE8"/>
    <w:rsid w:val="00F66BCB"/>
    <w:rsid w:val="00F671A8"/>
    <w:rsid w:val="00F67AD0"/>
    <w:rsid w:val="00F7035D"/>
    <w:rsid w:val="00F70D79"/>
    <w:rsid w:val="00F70ED0"/>
    <w:rsid w:val="00F70FB0"/>
    <w:rsid w:val="00F713E2"/>
    <w:rsid w:val="00F725AC"/>
    <w:rsid w:val="00F72D8C"/>
    <w:rsid w:val="00F72F51"/>
    <w:rsid w:val="00F7316E"/>
    <w:rsid w:val="00F739B8"/>
    <w:rsid w:val="00F739E3"/>
    <w:rsid w:val="00F73B39"/>
    <w:rsid w:val="00F73DE9"/>
    <w:rsid w:val="00F73FEC"/>
    <w:rsid w:val="00F7410D"/>
    <w:rsid w:val="00F74971"/>
    <w:rsid w:val="00F74B28"/>
    <w:rsid w:val="00F75042"/>
    <w:rsid w:val="00F75385"/>
    <w:rsid w:val="00F755A4"/>
    <w:rsid w:val="00F75967"/>
    <w:rsid w:val="00F76355"/>
    <w:rsid w:val="00F76B90"/>
    <w:rsid w:val="00F77AFD"/>
    <w:rsid w:val="00F77C25"/>
    <w:rsid w:val="00F804A0"/>
    <w:rsid w:val="00F809C8"/>
    <w:rsid w:val="00F80A55"/>
    <w:rsid w:val="00F81004"/>
    <w:rsid w:val="00F81442"/>
    <w:rsid w:val="00F81BE3"/>
    <w:rsid w:val="00F81D0E"/>
    <w:rsid w:val="00F82D2A"/>
    <w:rsid w:val="00F82E4E"/>
    <w:rsid w:val="00F8306A"/>
    <w:rsid w:val="00F831AA"/>
    <w:rsid w:val="00F8325A"/>
    <w:rsid w:val="00F84195"/>
    <w:rsid w:val="00F843AA"/>
    <w:rsid w:val="00F84554"/>
    <w:rsid w:val="00F852D1"/>
    <w:rsid w:val="00F854D4"/>
    <w:rsid w:val="00F85919"/>
    <w:rsid w:val="00F85CA9"/>
    <w:rsid w:val="00F87096"/>
    <w:rsid w:val="00F873F4"/>
    <w:rsid w:val="00F874D0"/>
    <w:rsid w:val="00F8754B"/>
    <w:rsid w:val="00F87DC9"/>
    <w:rsid w:val="00F90E58"/>
    <w:rsid w:val="00F90EBD"/>
    <w:rsid w:val="00F91142"/>
    <w:rsid w:val="00F91719"/>
    <w:rsid w:val="00F91E1E"/>
    <w:rsid w:val="00F921BA"/>
    <w:rsid w:val="00F9232E"/>
    <w:rsid w:val="00F93856"/>
    <w:rsid w:val="00F93AFD"/>
    <w:rsid w:val="00F93EB2"/>
    <w:rsid w:val="00F9421F"/>
    <w:rsid w:val="00F9426B"/>
    <w:rsid w:val="00F94A0F"/>
    <w:rsid w:val="00F94BF3"/>
    <w:rsid w:val="00F9565E"/>
    <w:rsid w:val="00F957CC"/>
    <w:rsid w:val="00F96668"/>
    <w:rsid w:val="00F96B59"/>
    <w:rsid w:val="00F96C12"/>
    <w:rsid w:val="00F96FB3"/>
    <w:rsid w:val="00F97500"/>
    <w:rsid w:val="00F9773D"/>
    <w:rsid w:val="00F978D8"/>
    <w:rsid w:val="00F97C0F"/>
    <w:rsid w:val="00F97C3B"/>
    <w:rsid w:val="00FA01F0"/>
    <w:rsid w:val="00FA0599"/>
    <w:rsid w:val="00FA06FC"/>
    <w:rsid w:val="00FA0A98"/>
    <w:rsid w:val="00FA0CC3"/>
    <w:rsid w:val="00FA0DAC"/>
    <w:rsid w:val="00FA105B"/>
    <w:rsid w:val="00FA15CC"/>
    <w:rsid w:val="00FA1967"/>
    <w:rsid w:val="00FA1996"/>
    <w:rsid w:val="00FA2084"/>
    <w:rsid w:val="00FA2103"/>
    <w:rsid w:val="00FA279E"/>
    <w:rsid w:val="00FA2D26"/>
    <w:rsid w:val="00FA3176"/>
    <w:rsid w:val="00FA3CBD"/>
    <w:rsid w:val="00FA3F1B"/>
    <w:rsid w:val="00FA48B4"/>
    <w:rsid w:val="00FA4F17"/>
    <w:rsid w:val="00FA500A"/>
    <w:rsid w:val="00FA550A"/>
    <w:rsid w:val="00FA58CA"/>
    <w:rsid w:val="00FA5B0F"/>
    <w:rsid w:val="00FA61C8"/>
    <w:rsid w:val="00FA64FF"/>
    <w:rsid w:val="00FA65B0"/>
    <w:rsid w:val="00FA6A28"/>
    <w:rsid w:val="00FA6BF4"/>
    <w:rsid w:val="00FA6C16"/>
    <w:rsid w:val="00FA6F13"/>
    <w:rsid w:val="00FA7359"/>
    <w:rsid w:val="00FA77A5"/>
    <w:rsid w:val="00FA7FA4"/>
    <w:rsid w:val="00FB00A9"/>
    <w:rsid w:val="00FB00B7"/>
    <w:rsid w:val="00FB095B"/>
    <w:rsid w:val="00FB0A1C"/>
    <w:rsid w:val="00FB0E14"/>
    <w:rsid w:val="00FB0F1E"/>
    <w:rsid w:val="00FB10DD"/>
    <w:rsid w:val="00FB176A"/>
    <w:rsid w:val="00FB179D"/>
    <w:rsid w:val="00FB1F60"/>
    <w:rsid w:val="00FB2129"/>
    <w:rsid w:val="00FB240A"/>
    <w:rsid w:val="00FB2F71"/>
    <w:rsid w:val="00FB30D5"/>
    <w:rsid w:val="00FB3365"/>
    <w:rsid w:val="00FB38F2"/>
    <w:rsid w:val="00FB3979"/>
    <w:rsid w:val="00FB42E7"/>
    <w:rsid w:val="00FB479C"/>
    <w:rsid w:val="00FB5882"/>
    <w:rsid w:val="00FB60B1"/>
    <w:rsid w:val="00FB622D"/>
    <w:rsid w:val="00FB66B2"/>
    <w:rsid w:val="00FB677E"/>
    <w:rsid w:val="00FB6A90"/>
    <w:rsid w:val="00FB6EB1"/>
    <w:rsid w:val="00FB76C6"/>
    <w:rsid w:val="00FB797B"/>
    <w:rsid w:val="00FC0757"/>
    <w:rsid w:val="00FC0B24"/>
    <w:rsid w:val="00FC1289"/>
    <w:rsid w:val="00FC1572"/>
    <w:rsid w:val="00FC2468"/>
    <w:rsid w:val="00FC26CF"/>
    <w:rsid w:val="00FC276F"/>
    <w:rsid w:val="00FC2A69"/>
    <w:rsid w:val="00FC3226"/>
    <w:rsid w:val="00FC3515"/>
    <w:rsid w:val="00FC3532"/>
    <w:rsid w:val="00FC35DF"/>
    <w:rsid w:val="00FC3CCF"/>
    <w:rsid w:val="00FC406A"/>
    <w:rsid w:val="00FC4081"/>
    <w:rsid w:val="00FC4215"/>
    <w:rsid w:val="00FC4607"/>
    <w:rsid w:val="00FC5486"/>
    <w:rsid w:val="00FC55E7"/>
    <w:rsid w:val="00FC59E7"/>
    <w:rsid w:val="00FC5A0F"/>
    <w:rsid w:val="00FC5B06"/>
    <w:rsid w:val="00FC5CE4"/>
    <w:rsid w:val="00FC6494"/>
    <w:rsid w:val="00FC6538"/>
    <w:rsid w:val="00FC6B55"/>
    <w:rsid w:val="00FC75FA"/>
    <w:rsid w:val="00FC7A38"/>
    <w:rsid w:val="00FC7B82"/>
    <w:rsid w:val="00FD00CA"/>
    <w:rsid w:val="00FD0382"/>
    <w:rsid w:val="00FD09E1"/>
    <w:rsid w:val="00FD0CCA"/>
    <w:rsid w:val="00FD0D78"/>
    <w:rsid w:val="00FD16F0"/>
    <w:rsid w:val="00FD17EF"/>
    <w:rsid w:val="00FD1A4C"/>
    <w:rsid w:val="00FD1CBB"/>
    <w:rsid w:val="00FD20B5"/>
    <w:rsid w:val="00FD255B"/>
    <w:rsid w:val="00FD279F"/>
    <w:rsid w:val="00FD3108"/>
    <w:rsid w:val="00FD3EDB"/>
    <w:rsid w:val="00FD42E6"/>
    <w:rsid w:val="00FD5071"/>
    <w:rsid w:val="00FD5911"/>
    <w:rsid w:val="00FD5C63"/>
    <w:rsid w:val="00FD612C"/>
    <w:rsid w:val="00FD615A"/>
    <w:rsid w:val="00FD637E"/>
    <w:rsid w:val="00FD6E0C"/>
    <w:rsid w:val="00FD74DE"/>
    <w:rsid w:val="00FD7D79"/>
    <w:rsid w:val="00FD7E47"/>
    <w:rsid w:val="00FE0450"/>
    <w:rsid w:val="00FE0C29"/>
    <w:rsid w:val="00FE0E87"/>
    <w:rsid w:val="00FE1806"/>
    <w:rsid w:val="00FE1BD2"/>
    <w:rsid w:val="00FE1D89"/>
    <w:rsid w:val="00FE1EFB"/>
    <w:rsid w:val="00FE2259"/>
    <w:rsid w:val="00FE3695"/>
    <w:rsid w:val="00FE388D"/>
    <w:rsid w:val="00FE4075"/>
    <w:rsid w:val="00FE4CFF"/>
    <w:rsid w:val="00FE51E5"/>
    <w:rsid w:val="00FE524C"/>
    <w:rsid w:val="00FE5494"/>
    <w:rsid w:val="00FE5C4C"/>
    <w:rsid w:val="00FE5E5E"/>
    <w:rsid w:val="00FE5E95"/>
    <w:rsid w:val="00FE617A"/>
    <w:rsid w:val="00FE62F8"/>
    <w:rsid w:val="00FE65E7"/>
    <w:rsid w:val="00FE68FA"/>
    <w:rsid w:val="00FE6CA8"/>
    <w:rsid w:val="00FE70EE"/>
    <w:rsid w:val="00FF0D5C"/>
    <w:rsid w:val="00FF1513"/>
    <w:rsid w:val="00FF210E"/>
    <w:rsid w:val="00FF2EE5"/>
    <w:rsid w:val="00FF3366"/>
    <w:rsid w:val="00FF4116"/>
    <w:rsid w:val="00FF4163"/>
    <w:rsid w:val="00FF4268"/>
    <w:rsid w:val="00FF490D"/>
    <w:rsid w:val="00FF4C10"/>
    <w:rsid w:val="00FF6020"/>
    <w:rsid w:val="00FF636B"/>
    <w:rsid w:val="00FF67FA"/>
    <w:rsid w:val="00FF6B17"/>
    <w:rsid w:val="00FF7055"/>
    <w:rsid w:val="00FF741E"/>
    <w:rsid w:val="00FF79ED"/>
    <w:rsid w:val="06340E42"/>
    <w:rsid w:val="32686BDA"/>
    <w:rsid w:val="5D3F2161"/>
    <w:rsid w:val="62451068"/>
    <w:rsid w:val="74B436D4"/>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CFABB0"/>
  <w15:chartTrackingRefBased/>
  <w15:docId w15:val="{78BF6DCD-1865-41C7-9638-E309BD8B5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A56"/>
    <w:pPr>
      <w:jc w:val="both"/>
    </w:pPr>
    <w:rPr>
      <w:rFonts w:ascii="EYInterstate Light" w:hAnsi="EYInterstate Light"/>
    </w:rPr>
  </w:style>
  <w:style w:type="paragraph" w:styleId="Titre1">
    <w:name w:val="heading 1"/>
    <w:basedOn w:val="Titre"/>
    <w:next w:val="Normal"/>
    <w:link w:val="Titre1Car"/>
    <w:uiPriority w:val="9"/>
    <w:qFormat/>
    <w:rsid w:val="0057494B"/>
    <w:pPr>
      <w:outlineLvl w:val="0"/>
    </w:pPr>
  </w:style>
  <w:style w:type="paragraph" w:styleId="Titre2">
    <w:name w:val="heading 2"/>
    <w:basedOn w:val="Normal"/>
    <w:next w:val="Normal"/>
    <w:link w:val="Titre2Car"/>
    <w:uiPriority w:val="9"/>
    <w:unhideWhenUsed/>
    <w:qFormat/>
    <w:rsid w:val="00D37A2D"/>
    <w:pPr>
      <w:keepNext/>
      <w:keepLines/>
      <w:spacing w:before="120" w:after="120"/>
      <w:outlineLvl w:val="1"/>
    </w:pPr>
    <w:rPr>
      <w:rFonts w:eastAsiaTheme="majorEastAsia" w:cstheme="majorBidi"/>
      <w:b/>
      <w:color w:val="000000" w:themeColor="text1"/>
      <w:sz w:val="32"/>
      <w:szCs w:val="26"/>
    </w:rPr>
  </w:style>
  <w:style w:type="paragraph" w:styleId="Titre3">
    <w:name w:val="heading 3"/>
    <w:basedOn w:val="Normal"/>
    <w:next w:val="Normal"/>
    <w:link w:val="Titre3Car"/>
    <w:uiPriority w:val="9"/>
    <w:unhideWhenUsed/>
    <w:qFormat/>
    <w:rsid w:val="00E27A51"/>
    <w:pPr>
      <w:keepNext/>
      <w:keepLines/>
      <w:spacing w:before="120" w:after="120"/>
      <w:outlineLvl w:val="2"/>
    </w:pPr>
    <w:rPr>
      <w:rFonts w:eastAsiaTheme="majorEastAsia" w:cstheme="majorBidi"/>
      <w:b/>
      <w:sz w:val="28"/>
      <w:szCs w:val="24"/>
      <w:u w:val="single"/>
    </w:rPr>
  </w:style>
  <w:style w:type="paragraph" w:styleId="Titre4">
    <w:name w:val="heading 4"/>
    <w:basedOn w:val="Normal"/>
    <w:next w:val="Normal"/>
    <w:link w:val="Titre4Car"/>
    <w:uiPriority w:val="9"/>
    <w:unhideWhenUsed/>
    <w:qFormat/>
    <w:rsid w:val="009C62C8"/>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aliases w:val="Yellow Bullet,Normal bullet 2,Bullet list,Numbered List,Paragraph,Citation List,List Paragraph (numbered (a)),List Paragraph1,Heading 2_sj,Paragraphe de liste PBLH,Figure_name,Equipment,Numbered Indented Text,lp1,List Paragraph11,p,b"/>
    <w:basedOn w:val="Normal"/>
    <w:link w:val="ParagraphedelisteCar"/>
    <w:uiPriority w:val="34"/>
    <w:qFormat/>
    <w:rsid w:val="00214B9A"/>
    <w:pPr>
      <w:ind w:left="720"/>
      <w:contextualSpacing/>
    </w:pPr>
  </w:style>
  <w:style w:type="paragraph" w:styleId="En-tte">
    <w:name w:val="header"/>
    <w:basedOn w:val="Normal"/>
    <w:link w:val="En-tteCar"/>
    <w:uiPriority w:val="99"/>
    <w:unhideWhenUsed/>
    <w:rsid w:val="00E74FE9"/>
    <w:pPr>
      <w:tabs>
        <w:tab w:val="center" w:pos="4513"/>
        <w:tab w:val="right" w:pos="9026"/>
      </w:tabs>
      <w:spacing w:after="200" w:line="288" w:lineRule="auto"/>
    </w:pPr>
    <w:rPr>
      <w:rFonts w:ascii="Arial" w:eastAsiaTheme="minorEastAsia" w:hAnsi="Arial"/>
      <w:sz w:val="20"/>
      <w:szCs w:val="21"/>
      <w:lang w:val="en-GB"/>
    </w:rPr>
  </w:style>
  <w:style w:type="character" w:customStyle="1" w:styleId="En-tteCar">
    <w:name w:val="En-tête Car"/>
    <w:basedOn w:val="Policepardfaut"/>
    <w:link w:val="En-tte"/>
    <w:uiPriority w:val="99"/>
    <w:rsid w:val="00E74FE9"/>
    <w:rPr>
      <w:rFonts w:ascii="Arial" w:eastAsiaTheme="minorEastAsia" w:hAnsi="Arial"/>
      <w:sz w:val="20"/>
      <w:szCs w:val="21"/>
      <w:lang w:val="en-GB"/>
    </w:rPr>
  </w:style>
  <w:style w:type="character" w:customStyle="1" w:styleId="ParagraphedelisteCar">
    <w:name w:val="Paragraphe de liste Car"/>
    <w:aliases w:val="Yellow Bullet Car,Normal bullet 2 Car,Bullet list Car,Numbered List Car,Paragraph Car,Citation List Car,List Paragraph (numbered (a)) Car,List Paragraph1 Car,Heading 2_sj Car,Paragraphe de liste PBLH Car,Figure_name Car,lp1 Car"/>
    <w:basedOn w:val="Policepardfaut"/>
    <w:link w:val="Paragraphedeliste"/>
    <w:uiPriority w:val="34"/>
    <w:qFormat/>
    <w:rsid w:val="00E74FE9"/>
  </w:style>
  <w:style w:type="numbering" w:customStyle="1" w:styleId="List411">
    <w:name w:val="List 411"/>
    <w:basedOn w:val="Aucuneliste"/>
    <w:rsid w:val="00E74FE9"/>
    <w:pPr>
      <w:numPr>
        <w:numId w:val="2"/>
      </w:numPr>
    </w:pPr>
  </w:style>
  <w:style w:type="paragraph" w:customStyle="1" w:styleId="Titre2-OK">
    <w:name w:val="Titre 2 - OK"/>
    <w:basedOn w:val="Paragraphedeliste"/>
    <w:link w:val="Titre2-OKCar"/>
    <w:qFormat/>
    <w:rsid w:val="00B96813"/>
    <w:pPr>
      <w:spacing w:after="200" w:line="288" w:lineRule="auto"/>
      <w:ind w:hanging="360"/>
    </w:pPr>
    <w:rPr>
      <w:rFonts w:ascii="Arial" w:eastAsiaTheme="minorEastAsia" w:hAnsi="Arial" w:cs="Arial"/>
      <w:b/>
      <w:sz w:val="24"/>
      <w:szCs w:val="20"/>
      <w:lang w:val="en-US"/>
    </w:rPr>
  </w:style>
  <w:style w:type="character" w:customStyle="1" w:styleId="Titre2-OKCar">
    <w:name w:val="Titre 2 - OK Car"/>
    <w:basedOn w:val="ParagraphedelisteCar"/>
    <w:link w:val="Titre2-OK"/>
    <w:rsid w:val="00B96813"/>
    <w:rPr>
      <w:rFonts w:ascii="Arial" w:eastAsiaTheme="minorEastAsia" w:hAnsi="Arial" w:cs="Arial"/>
      <w:b/>
      <w:sz w:val="24"/>
      <w:szCs w:val="20"/>
      <w:lang w:val="en-US"/>
    </w:rPr>
  </w:style>
  <w:style w:type="character" w:customStyle="1" w:styleId="ui-provider">
    <w:name w:val="ui-provider"/>
    <w:basedOn w:val="Policepardfaut"/>
    <w:rsid w:val="008E6EFD"/>
  </w:style>
  <w:style w:type="character" w:styleId="Lienhypertexte">
    <w:name w:val="Hyperlink"/>
    <w:basedOn w:val="Policepardfaut"/>
    <w:uiPriority w:val="99"/>
    <w:unhideWhenUsed/>
    <w:rsid w:val="008E30E5"/>
    <w:rPr>
      <w:color w:val="0000FF"/>
      <w:u w:val="single"/>
    </w:rPr>
  </w:style>
  <w:style w:type="character" w:customStyle="1" w:styleId="Titre1Car">
    <w:name w:val="Titre 1 Car"/>
    <w:basedOn w:val="Policepardfaut"/>
    <w:link w:val="Titre1"/>
    <w:uiPriority w:val="9"/>
    <w:rsid w:val="009735F6"/>
    <w:rPr>
      <w:rFonts w:ascii="EYInterstate Light" w:eastAsiaTheme="majorEastAsia" w:hAnsi="EYInterstate Light" w:cstheme="majorBidi"/>
      <w:b/>
      <w:color w:val="7F7F7F" w:themeColor="text1" w:themeTint="80"/>
      <w:spacing w:val="-10"/>
      <w:kern w:val="28"/>
      <w:sz w:val="40"/>
      <w:szCs w:val="56"/>
    </w:rPr>
  </w:style>
  <w:style w:type="paragraph" w:styleId="En-ttedetabledesmatires">
    <w:name w:val="TOC Heading"/>
    <w:basedOn w:val="Titre1"/>
    <w:next w:val="Normal"/>
    <w:uiPriority w:val="39"/>
    <w:unhideWhenUsed/>
    <w:qFormat/>
    <w:rsid w:val="00BD7487"/>
    <w:pPr>
      <w:keepNext/>
      <w:keepLines/>
      <w:spacing w:before="240" w:line="259" w:lineRule="auto"/>
      <w:contextualSpacing w:val="0"/>
      <w:outlineLvl w:val="9"/>
    </w:pPr>
    <w:rPr>
      <w:rFonts w:asciiTheme="majorHAnsi" w:hAnsiTheme="majorHAnsi"/>
      <w:b w:val="0"/>
      <w:color w:val="2F5496" w:themeColor="accent1" w:themeShade="BF"/>
      <w:sz w:val="32"/>
      <w:szCs w:val="32"/>
    </w:rPr>
  </w:style>
  <w:style w:type="paragraph" w:customStyle="1" w:styleId="Titre21">
    <w:name w:val="Titre 21"/>
    <w:basedOn w:val="Paragraphedeliste"/>
    <w:next w:val="Titre2"/>
    <w:qFormat/>
    <w:rsid w:val="005539AB"/>
    <w:pPr>
      <w:numPr>
        <w:ilvl w:val="1"/>
        <w:numId w:val="1"/>
      </w:numPr>
    </w:pPr>
    <w:rPr>
      <w:b/>
      <w:color w:val="4472C4" w:themeColor="accent1"/>
      <w:u w:val="single"/>
      <w:lang w:val="en-US"/>
    </w:rPr>
  </w:style>
  <w:style w:type="paragraph" w:styleId="TM1">
    <w:name w:val="toc 1"/>
    <w:basedOn w:val="Normal"/>
    <w:next w:val="Normal"/>
    <w:autoRedefine/>
    <w:uiPriority w:val="39"/>
    <w:unhideWhenUsed/>
    <w:rsid w:val="002C6C89"/>
    <w:pPr>
      <w:tabs>
        <w:tab w:val="right" w:leader="dot" w:pos="9062"/>
      </w:tabs>
      <w:spacing w:before="120" w:after="120"/>
    </w:pPr>
    <w:rPr>
      <w:rFonts w:cstheme="minorHAnsi"/>
      <w:b/>
      <w:bCs/>
      <w:caps/>
      <w:sz w:val="20"/>
      <w:szCs w:val="20"/>
    </w:rPr>
  </w:style>
  <w:style w:type="character" w:customStyle="1" w:styleId="Titre2Car">
    <w:name w:val="Titre 2 Car"/>
    <w:basedOn w:val="Policepardfaut"/>
    <w:link w:val="Titre2"/>
    <w:uiPriority w:val="9"/>
    <w:rsid w:val="00E46024"/>
    <w:rPr>
      <w:rFonts w:ascii="EYInterstate Light" w:eastAsiaTheme="majorEastAsia" w:hAnsi="EYInterstate Light" w:cstheme="majorBidi"/>
      <w:b/>
      <w:color w:val="000000" w:themeColor="text1"/>
      <w:sz w:val="32"/>
      <w:szCs w:val="26"/>
    </w:rPr>
  </w:style>
  <w:style w:type="character" w:customStyle="1" w:styleId="Titre3Car">
    <w:name w:val="Titre 3 Car"/>
    <w:basedOn w:val="Policepardfaut"/>
    <w:link w:val="Titre3"/>
    <w:uiPriority w:val="9"/>
    <w:rsid w:val="00FC4215"/>
    <w:rPr>
      <w:rFonts w:ascii="EYInterstate Light" w:eastAsiaTheme="majorEastAsia" w:hAnsi="EYInterstate Light" w:cstheme="majorBidi"/>
      <w:b/>
      <w:sz w:val="28"/>
      <w:szCs w:val="24"/>
      <w:u w:val="single"/>
    </w:rPr>
  </w:style>
  <w:style w:type="paragraph" w:styleId="TM2">
    <w:name w:val="toc 2"/>
    <w:basedOn w:val="Normal"/>
    <w:next w:val="Normal"/>
    <w:autoRedefine/>
    <w:uiPriority w:val="39"/>
    <w:unhideWhenUsed/>
    <w:rsid w:val="00BB14D7"/>
    <w:pPr>
      <w:tabs>
        <w:tab w:val="left" w:pos="660"/>
        <w:tab w:val="right" w:leader="dot" w:pos="9062"/>
      </w:tabs>
      <w:spacing w:after="0"/>
      <w:ind w:left="220"/>
    </w:pPr>
    <w:rPr>
      <w:rFonts w:cstheme="minorHAnsi"/>
      <w:smallCaps/>
      <w:sz w:val="20"/>
      <w:szCs w:val="20"/>
    </w:rPr>
  </w:style>
  <w:style w:type="paragraph" w:styleId="TM3">
    <w:name w:val="toc 3"/>
    <w:basedOn w:val="Normal"/>
    <w:next w:val="Normal"/>
    <w:autoRedefine/>
    <w:uiPriority w:val="39"/>
    <w:unhideWhenUsed/>
    <w:rsid w:val="00460811"/>
    <w:pPr>
      <w:spacing w:after="0"/>
      <w:ind w:left="440"/>
    </w:pPr>
    <w:rPr>
      <w:rFonts w:cstheme="minorHAnsi"/>
      <w:i/>
      <w:iCs/>
      <w:sz w:val="20"/>
      <w:szCs w:val="20"/>
    </w:rPr>
  </w:style>
  <w:style w:type="paragraph" w:styleId="TM4">
    <w:name w:val="toc 4"/>
    <w:basedOn w:val="Normal"/>
    <w:next w:val="Normal"/>
    <w:autoRedefine/>
    <w:uiPriority w:val="39"/>
    <w:unhideWhenUsed/>
    <w:rsid w:val="00460811"/>
    <w:pPr>
      <w:spacing w:after="0"/>
      <w:ind w:left="660"/>
    </w:pPr>
    <w:rPr>
      <w:rFonts w:cstheme="minorHAnsi"/>
      <w:sz w:val="18"/>
      <w:szCs w:val="18"/>
    </w:rPr>
  </w:style>
  <w:style w:type="paragraph" w:styleId="TM5">
    <w:name w:val="toc 5"/>
    <w:basedOn w:val="Normal"/>
    <w:next w:val="Normal"/>
    <w:autoRedefine/>
    <w:uiPriority w:val="39"/>
    <w:unhideWhenUsed/>
    <w:rsid w:val="00460811"/>
    <w:pPr>
      <w:spacing w:after="0"/>
      <w:ind w:left="880"/>
    </w:pPr>
    <w:rPr>
      <w:rFonts w:cstheme="minorHAnsi"/>
      <w:sz w:val="18"/>
      <w:szCs w:val="18"/>
    </w:rPr>
  </w:style>
  <w:style w:type="paragraph" w:styleId="TM6">
    <w:name w:val="toc 6"/>
    <w:basedOn w:val="Normal"/>
    <w:next w:val="Normal"/>
    <w:autoRedefine/>
    <w:uiPriority w:val="39"/>
    <w:unhideWhenUsed/>
    <w:rsid w:val="00460811"/>
    <w:pPr>
      <w:spacing w:after="0"/>
      <w:ind w:left="1100"/>
    </w:pPr>
    <w:rPr>
      <w:rFonts w:cstheme="minorHAnsi"/>
      <w:sz w:val="18"/>
      <w:szCs w:val="18"/>
    </w:rPr>
  </w:style>
  <w:style w:type="paragraph" w:styleId="TM7">
    <w:name w:val="toc 7"/>
    <w:basedOn w:val="Normal"/>
    <w:next w:val="Normal"/>
    <w:autoRedefine/>
    <w:uiPriority w:val="39"/>
    <w:unhideWhenUsed/>
    <w:rsid w:val="00460811"/>
    <w:pPr>
      <w:spacing w:after="0"/>
      <w:ind w:left="1320"/>
    </w:pPr>
    <w:rPr>
      <w:rFonts w:cstheme="minorHAnsi"/>
      <w:sz w:val="18"/>
      <w:szCs w:val="18"/>
    </w:rPr>
  </w:style>
  <w:style w:type="paragraph" w:styleId="TM8">
    <w:name w:val="toc 8"/>
    <w:basedOn w:val="Normal"/>
    <w:next w:val="Normal"/>
    <w:autoRedefine/>
    <w:uiPriority w:val="39"/>
    <w:unhideWhenUsed/>
    <w:rsid w:val="00460811"/>
    <w:pPr>
      <w:spacing w:after="0"/>
      <w:ind w:left="1540"/>
    </w:pPr>
    <w:rPr>
      <w:rFonts w:cstheme="minorHAnsi"/>
      <w:sz w:val="18"/>
      <w:szCs w:val="18"/>
    </w:rPr>
  </w:style>
  <w:style w:type="paragraph" w:styleId="TM9">
    <w:name w:val="toc 9"/>
    <w:basedOn w:val="Normal"/>
    <w:next w:val="Normal"/>
    <w:autoRedefine/>
    <w:uiPriority w:val="39"/>
    <w:unhideWhenUsed/>
    <w:rsid w:val="00460811"/>
    <w:pPr>
      <w:spacing w:after="0"/>
      <w:ind w:left="1760"/>
    </w:pPr>
    <w:rPr>
      <w:rFonts w:cstheme="minorHAnsi"/>
      <w:sz w:val="18"/>
      <w:szCs w:val="18"/>
    </w:rPr>
  </w:style>
  <w:style w:type="paragraph" w:customStyle="1" w:styleId="Soussoustitre">
    <w:name w:val="Sous sous titre"/>
    <w:basedOn w:val="Paragraphedeliste"/>
    <w:link w:val="SoussoustitreChar"/>
    <w:qFormat/>
    <w:rsid w:val="00487EC0"/>
    <w:pPr>
      <w:numPr>
        <w:ilvl w:val="2"/>
        <w:numId w:val="1"/>
      </w:numPr>
    </w:pPr>
    <w:rPr>
      <w:color w:val="70AD47" w:themeColor="accent6"/>
      <w:lang w:val="en-US"/>
    </w:rPr>
  </w:style>
  <w:style w:type="character" w:styleId="Mentionnonrsolue">
    <w:name w:val="Unresolved Mention"/>
    <w:basedOn w:val="Policepardfaut"/>
    <w:uiPriority w:val="99"/>
    <w:semiHidden/>
    <w:unhideWhenUsed/>
    <w:rsid w:val="00C63EAF"/>
    <w:rPr>
      <w:color w:val="605E5C"/>
      <w:shd w:val="clear" w:color="auto" w:fill="E1DFDD"/>
    </w:rPr>
  </w:style>
  <w:style w:type="character" w:customStyle="1" w:styleId="SoussoustitreChar">
    <w:name w:val="Sous sous titre Char"/>
    <w:basedOn w:val="ParagraphedelisteCar"/>
    <w:link w:val="Soussoustitre"/>
    <w:rsid w:val="00487EC0"/>
    <w:rPr>
      <w:rFonts w:ascii="EYInterstate Light" w:hAnsi="EYInterstate Light"/>
      <w:color w:val="70AD47" w:themeColor="accent6"/>
      <w:lang w:val="en-US"/>
    </w:rPr>
  </w:style>
  <w:style w:type="table" w:styleId="Grilledutableau">
    <w:name w:val="Table Grid"/>
    <w:aliases w:val="TabelEcorys,CV1,tableau 1,CV table,chiffres,Tableau D"/>
    <w:basedOn w:val="TableauNormal"/>
    <w:uiPriority w:val="39"/>
    <w:rsid w:val="00103A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076E87"/>
    <w:rPr>
      <w:sz w:val="16"/>
      <w:szCs w:val="16"/>
    </w:rPr>
  </w:style>
  <w:style w:type="paragraph" w:styleId="Commentaire">
    <w:name w:val="annotation text"/>
    <w:basedOn w:val="Normal"/>
    <w:link w:val="CommentaireCar"/>
    <w:uiPriority w:val="99"/>
    <w:unhideWhenUsed/>
    <w:rsid w:val="00076E87"/>
    <w:pPr>
      <w:spacing w:line="240" w:lineRule="auto"/>
    </w:pPr>
    <w:rPr>
      <w:sz w:val="20"/>
      <w:szCs w:val="20"/>
    </w:rPr>
  </w:style>
  <w:style w:type="character" w:customStyle="1" w:styleId="CommentaireCar">
    <w:name w:val="Commentaire Car"/>
    <w:basedOn w:val="Policepardfaut"/>
    <w:link w:val="Commentaire"/>
    <w:uiPriority w:val="99"/>
    <w:rsid w:val="00076E87"/>
    <w:rPr>
      <w:sz w:val="20"/>
      <w:szCs w:val="20"/>
    </w:rPr>
  </w:style>
  <w:style w:type="paragraph" w:styleId="Objetducommentaire">
    <w:name w:val="annotation subject"/>
    <w:basedOn w:val="Commentaire"/>
    <w:next w:val="Commentaire"/>
    <w:link w:val="ObjetducommentaireCar"/>
    <w:uiPriority w:val="99"/>
    <w:semiHidden/>
    <w:unhideWhenUsed/>
    <w:rsid w:val="00076E87"/>
    <w:rPr>
      <w:b/>
      <w:bCs/>
    </w:rPr>
  </w:style>
  <w:style w:type="character" w:customStyle="1" w:styleId="ObjetducommentaireCar">
    <w:name w:val="Objet du commentaire Car"/>
    <w:basedOn w:val="CommentaireCar"/>
    <w:link w:val="Objetducommentaire"/>
    <w:uiPriority w:val="99"/>
    <w:semiHidden/>
    <w:rsid w:val="00076E87"/>
    <w:rPr>
      <w:b/>
      <w:bCs/>
      <w:sz w:val="20"/>
      <w:szCs w:val="20"/>
    </w:rPr>
  </w:style>
  <w:style w:type="paragraph" w:styleId="Lgende">
    <w:name w:val="caption"/>
    <w:aliases w:val="Caption (ALL),Didascalia Carattere2,Didascalia Carattere1 Carattere,Didascalia Carattere Carattere Carattere,Didascalia Carattere2 Carattere Carattere Carattere,Didascalia Carattere1 Carattere Carattere Carattere Carattere,C,Ca,Inscription"/>
    <w:basedOn w:val="Normal"/>
    <w:next w:val="Normal"/>
    <w:link w:val="LgendeCar"/>
    <w:unhideWhenUsed/>
    <w:qFormat/>
    <w:rsid w:val="00CF4BD6"/>
    <w:pPr>
      <w:keepNext/>
      <w:spacing w:line="240" w:lineRule="auto"/>
      <w:jc w:val="center"/>
    </w:pPr>
    <w:rPr>
      <w:bCs/>
      <w:sz w:val="18"/>
      <w:szCs w:val="18"/>
      <w:lang w:val="en-US"/>
    </w:rPr>
  </w:style>
  <w:style w:type="character" w:customStyle="1" w:styleId="LgendeCar">
    <w:name w:val="Légende Car"/>
    <w:aliases w:val="Caption (ALL) Car,Didascalia Carattere2 Car,Didascalia Carattere1 Carattere Car,Didascalia Carattere Carattere Carattere Car,Didascalia Carattere2 Carattere Carattere Carattere Car,C Car,Ca Car,Inscription Car"/>
    <w:basedOn w:val="Policepardfaut"/>
    <w:link w:val="Lgende"/>
    <w:rsid w:val="00A42132"/>
    <w:rPr>
      <w:rFonts w:ascii="EYInterstate Light" w:hAnsi="EYInterstate Light"/>
      <w:bCs/>
      <w:sz w:val="18"/>
      <w:szCs w:val="18"/>
      <w:lang w:val="en-US"/>
    </w:rPr>
  </w:style>
  <w:style w:type="table" w:customStyle="1" w:styleId="TableGrid12">
    <w:name w:val="Table Grid12"/>
    <w:basedOn w:val="TableauNormal"/>
    <w:next w:val="Grilledutableau"/>
    <w:uiPriority w:val="39"/>
    <w:rsid w:val="00710A02"/>
    <w:pPr>
      <w:spacing w:after="0" w:line="240" w:lineRule="auto"/>
    </w:pPr>
    <w:rPr>
      <w:rFonts w:eastAsia="Calibri"/>
      <w:lang w:val="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uiPriority w:val="99"/>
    <w:semiHidden/>
    <w:unhideWhenUsed/>
    <w:rsid w:val="00961D79"/>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961D79"/>
    <w:rPr>
      <w:sz w:val="20"/>
      <w:szCs w:val="20"/>
    </w:rPr>
  </w:style>
  <w:style w:type="character" w:styleId="Appelnotedebasdep">
    <w:name w:val="footnote reference"/>
    <w:basedOn w:val="Policepardfaut"/>
    <w:uiPriority w:val="99"/>
    <w:semiHidden/>
    <w:unhideWhenUsed/>
    <w:rsid w:val="00961D79"/>
    <w:rPr>
      <w:vertAlign w:val="superscript"/>
    </w:rPr>
  </w:style>
  <w:style w:type="paragraph" w:styleId="Pieddepage">
    <w:name w:val="footer"/>
    <w:basedOn w:val="Normal"/>
    <w:link w:val="PieddepageCar"/>
    <w:uiPriority w:val="99"/>
    <w:unhideWhenUsed/>
    <w:rsid w:val="00A03F6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03F6A"/>
  </w:style>
  <w:style w:type="paragraph" w:styleId="Rvision">
    <w:name w:val="Revision"/>
    <w:hidden/>
    <w:uiPriority w:val="99"/>
    <w:semiHidden/>
    <w:rsid w:val="00D7431B"/>
    <w:pPr>
      <w:spacing w:after="0" w:line="240" w:lineRule="auto"/>
    </w:pPr>
  </w:style>
  <w:style w:type="character" w:customStyle="1" w:styleId="sts-tbx-note-label">
    <w:name w:val="sts-tbx-note-label"/>
    <w:basedOn w:val="Policepardfaut"/>
    <w:rsid w:val="00EE231E"/>
  </w:style>
  <w:style w:type="character" w:customStyle="1" w:styleId="sts-tbx-entailedterm">
    <w:name w:val="sts-tbx-entailedterm"/>
    <w:basedOn w:val="Policepardfaut"/>
    <w:rsid w:val="00EE231E"/>
  </w:style>
  <w:style w:type="paragraph" w:styleId="NormalWeb">
    <w:name w:val="Normal (Web)"/>
    <w:basedOn w:val="Normal"/>
    <w:uiPriority w:val="99"/>
    <w:unhideWhenUsed/>
    <w:rsid w:val="006817FB"/>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Mention">
    <w:name w:val="Mention"/>
    <w:basedOn w:val="Policepardfaut"/>
    <w:uiPriority w:val="99"/>
    <w:unhideWhenUsed/>
    <w:rsid w:val="00F1010F"/>
    <w:rPr>
      <w:color w:val="2B579A"/>
      <w:shd w:val="clear" w:color="auto" w:fill="E1DFDD"/>
    </w:rPr>
  </w:style>
  <w:style w:type="paragraph" w:styleId="Titre">
    <w:name w:val="Title"/>
    <w:basedOn w:val="Normal"/>
    <w:next w:val="Normal"/>
    <w:link w:val="TitreCar"/>
    <w:qFormat/>
    <w:rsid w:val="00D91782"/>
    <w:pPr>
      <w:spacing w:after="0" w:line="240" w:lineRule="auto"/>
      <w:contextualSpacing/>
    </w:pPr>
    <w:rPr>
      <w:rFonts w:eastAsiaTheme="majorEastAsia" w:cstheme="majorBidi"/>
      <w:b/>
      <w:color w:val="7F7F7F" w:themeColor="text1" w:themeTint="80"/>
      <w:spacing w:val="-10"/>
      <w:kern w:val="28"/>
      <w:sz w:val="40"/>
      <w:szCs w:val="56"/>
    </w:rPr>
  </w:style>
  <w:style w:type="character" w:customStyle="1" w:styleId="TitreCar">
    <w:name w:val="Titre Car"/>
    <w:basedOn w:val="Policepardfaut"/>
    <w:link w:val="Titre"/>
    <w:rsid w:val="00D91782"/>
    <w:rPr>
      <w:rFonts w:ascii="EYInterstate Light" w:eastAsiaTheme="majorEastAsia" w:hAnsi="EYInterstate Light" w:cstheme="majorBidi"/>
      <w:b/>
      <w:color w:val="7F7F7F" w:themeColor="text1" w:themeTint="80"/>
      <w:spacing w:val="-10"/>
      <w:kern w:val="28"/>
      <w:sz w:val="40"/>
      <w:szCs w:val="56"/>
    </w:rPr>
  </w:style>
  <w:style w:type="character" w:customStyle="1" w:styleId="Titre4Car">
    <w:name w:val="Titre 4 Car"/>
    <w:basedOn w:val="Policepardfaut"/>
    <w:link w:val="Titre4"/>
    <w:uiPriority w:val="9"/>
    <w:rsid w:val="009C62C8"/>
    <w:rPr>
      <w:rFonts w:asciiTheme="majorHAnsi" w:eastAsiaTheme="majorEastAsia" w:hAnsiTheme="majorHAnsi" w:cstheme="majorBidi"/>
      <w:i/>
      <w:iCs/>
      <w:color w:val="2F5496" w:themeColor="accent1" w:themeShade="BF"/>
    </w:rPr>
  </w:style>
  <w:style w:type="paragraph" w:styleId="Tabledesillustrations">
    <w:name w:val="table of figures"/>
    <w:basedOn w:val="Normal"/>
    <w:next w:val="Normal"/>
    <w:uiPriority w:val="99"/>
    <w:unhideWhenUsed/>
    <w:rsid w:val="007D3C82"/>
    <w:pPr>
      <w:spacing w:after="0"/>
    </w:pPr>
  </w:style>
  <w:style w:type="paragraph" w:styleId="Sansinterligne">
    <w:name w:val="No Spacing"/>
    <w:uiPriority w:val="1"/>
    <w:qFormat/>
    <w:rsid w:val="005D3AE2"/>
    <w:pPr>
      <w:spacing w:after="0" w:line="240" w:lineRule="auto"/>
      <w:jc w:val="both"/>
    </w:pPr>
    <w:rPr>
      <w:rFonts w:ascii="EYInterstate Light" w:hAnsi="EYInterstate Light"/>
    </w:rPr>
  </w:style>
  <w:style w:type="character" w:styleId="lev">
    <w:name w:val="Strong"/>
    <w:basedOn w:val="Policepardfaut"/>
    <w:uiPriority w:val="22"/>
    <w:qFormat/>
    <w:rsid w:val="00490C4D"/>
    <w:rPr>
      <w:b/>
      <w:bCs/>
    </w:rPr>
  </w:style>
  <w:style w:type="character" w:customStyle="1" w:styleId="cf01">
    <w:name w:val="cf01"/>
    <w:basedOn w:val="Policepardfaut"/>
    <w:rsid w:val="006C0F95"/>
    <w:rPr>
      <w:rFonts w:ascii="Segoe UI" w:hAnsi="Segoe UI" w:cs="Segoe UI" w:hint="default"/>
      <w:sz w:val="18"/>
      <w:szCs w:val="18"/>
    </w:rPr>
  </w:style>
  <w:style w:type="character" w:styleId="Lienhypertextesuivivisit">
    <w:name w:val="FollowedHyperlink"/>
    <w:basedOn w:val="Policepardfaut"/>
    <w:uiPriority w:val="99"/>
    <w:semiHidden/>
    <w:unhideWhenUsed/>
    <w:rsid w:val="0077672C"/>
    <w:rPr>
      <w:color w:val="954F72" w:themeColor="followedHyperlink"/>
      <w:u w:val="single"/>
    </w:rPr>
  </w:style>
  <w:style w:type="paragraph" w:customStyle="1" w:styleId="pf0">
    <w:name w:val="pf0"/>
    <w:basedOn w:val="Normal"/>
    <w:rsid w:val="002A3257"/>
    <w:pPr>
      <w:spacing w:before="100" w:beforeAutospacing="1" w:after="100" w:afterAutospacing="1" w:line="240" w:lineRule="auto"/>
      <w:jc w:val="left"/>
    </w:pPr>
    <w:rPr>
      <w:rFonts w:ascii="Times New Roman" w:eastAsia="Times New Roman" w:hAnsi="Times New Roman" w:cs="Times New Roman"/>
      <w:sz w:val="24"/>
      <w:szCs w:val="24"/>
      <w:lang w:eastAsia="fr-FR"/>
    </w:rPr>
  </w:style>
  <w:style w:type="table" w:styleId="TableauGrille4-Accentuation1">
    <w:name w:val="Grid Table 4 Accent 1"/>
    <w:basedOn w:val="TableauNormal"/>
    <w:uiPriority w:val="49"/>
    <w:rsid w:val="00B97BB1"/>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eauGrille4-Accentuation5">
    <w:name w:val="Grid Table 4 Accent 5"/>
    <w:basedOn w:val="TableauNormal"/>
    <w:uiPriority w:val="49"/>
    <w:rsid w:val="00754D73"/>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eauGrille5Fonc-Accentuation1">
    <w:name w:val="Grid Table 5 Dark Accent 1"/>
    <w:basedOn w:val="TableauNormal"/>
    <w:uiPriority w:val="50"/>
    <w:rsid w:val="00754D7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TableauGrille5Fonc-Accentuation5">
    <w:name w:val="Grid Table 5 Dark Accent 5"/>
    <w:basedOn w:val="TableauNormal"/>
    <w:uiPriority w:val="50"/>
    <w:rsid w:val="00A740C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paragraph" w:customStyle="1" w:styleId="EYHeading1">
    <w:name w:val="EY Heading 1"/>
    <w:basedOn w:val="Normal"/>
    <w:next w:val="Normal"/>
    <w:qFormat/>
    <w:rsid w:val="00CC6E5F"/>
    <w:pPr>
      <w:numPr>
        <w:numId w:val="47"/>
      </w:numPr>
      <w:spacing w:after="360" w:line="240" w:lineRule="auto"/>
      <w:jc w:val="left"/>
      <w:outlineLvl w:val="0"/>
    </w:pPr>
    <w:rPr>
      <w:rFonts w:ascii="Arial" w:eastAsia="Times New Roman" w:hAnsi="Arial" w:cs="Arial"/>
      <w:b/>
      <w:color w:val="808080"/>
      <w:sz w:val="32"/>
      <w:szCs w:val="24"/>
      <w:lang w:val="en-AU"/>
    </w:rPr>
  </w:style>
  <w:style w:type="paragraph" w:customStyle="1" w:styleId="EYHeading2">
    <w:name w:val="EY Heading 2"/>
    <w:basedOn w:val="Normal"/>
    <w:next w:val="Normal"/>
    <w:qFormat/>
    <w:rsid w:val="00CC6E5F"/>
    <w:pPr>
      <w:keepNext/>
      <w:numPr>
        <w:ilvl w:val="1"/>
        <w:numId w:val="47"/>
      </w:numPr>
      <w:autoSpaceDE w:val="0"/>
      <w:autoSpaceDN w:val="0"/>
      <w:adjustRightInd w:val="0"/>
      <w:spacing w:before="120" w:after="120" w:line="240" w:lineRule="auto"/>
      <w:jc w:val="left"/>
      <w:outlineLvl w:val="1"/>
    </w:pPr>
    <w:rPr>
      <w:rFonts w:ascii="Arial" w:eastAsia="Times New Roman" w:hAnsi="Arial" w:cs="Arial"/>
      <w:b/>
      <w:sz w:val="28"/>
      <w:szCs w:val="24"/>
      <w:lang w:val="en-AU"/>
    </w:rPr>
  </w:style>
  <w:style w:type="paragraph" w:customStyle="1" w:styleId="EYHeading3">
    <w:name w:val="EY Heading 3"/>
    <w:basedOn w:val="Normal"/>
    <w:next w:val="Normal"/>
    <w:qFormat/>
    <w:rsid w:val="00CC6E5F"/>
    <w:pPr>
      <w:keepNext/>
      <w:numPr>
        <w:ilvl w:val="2"/>
        <w:numId w:val="47"/>
      </w:numPr>
      <w:autoSpaceDE w:val="0"/>
      <w:autoSpaceDN w:val="0"/>
      <w:adjustRightInd w:val="0"/>
      <w:spacing w:before="120" w:after="120" w:line="240" w:lineRule="auto"/>
      <w:jc w:val="left"/>
      <w:outlineLvl w:val="2"/>
    </w:pPr>
    <w:rPr>
      <w:rFonts w:ascii="Arial" w:eastAsia="Times New Roman" w:hAnsi="Arial" w:cs="Arial"/>
      <w:b/>
      <w:sz w:val="26"/>
      <w:szCs w:val="24"/>
      <w:lang w:val="en-AU"/>
    </w:rPr>
  </w:style>
  <w:style w:type="paragraph" w:customStyle="1" w:styleId="EYHeading4">
    <w:name w:val="EY Heading 4"/>
    <w:basedOn w:val="Normal"/>
    <w:next w:val="Normal"/>
    <w:qFormat/>
    <w:rsid w:val="00CC6E5F"/>
    <w:pPr>
      <w:keepNext/>
      <w:numPr>
        <w:ilvl w:val="3"/>
        <w:numId w:val="47"/>
      </w:numPr>
      <w:autoSpaceDE w:val="0"/>
      <w:autoSpaceDN w:val="0"/>
      <w:adjustRightInd w:val="0"/>
      <w:spacing w:after="120" w:line="240" w:lineRule="auto"/>
      <w:jc w:val="left"/>
      <w:outlineLvl w:val="3"/>
    </w:pPr>
    <w:rPr>
      <w:rFonts w:ascii="Arial" w:eastAsia="Times New Roman" w:hAnsi="Arial" w:cs="Arial"/>
      <w:b/>
      <w:szCs w:val="24"/>
      <w:lang w:val="en-AU"/>
    </w:rPr>
  </w:style>
  <w:style w:type="paragraph" w:customStyle="1" w:styleId="EYBodytextwithparaspace">
    <w:name w:val="EY Body text (with para space)"/>
    <w:basedOn w:val="Normal"/>
    <w:qFormat/>
    <w:rsid w:val="00445AFE"/>
    <w:pPr>
      <w:autoSpaceDE w:val="0"/>
      <w:autoSpaceDN w:val="0"/>
      <w:adjustRightInd w:val="0"/>
      <w:spacing w:after="120" w:line="240" w:lineRule="auto"/>
      <w:jc w:val="left"/>
    </w:pPr>
    <w:rPr>
      <w:rFonts w:eastAsia="@Yu Mincho Demibold" w:cs="@Yu Mincho Demibold"/>
      <w:sz w:val="20"/>
      <w:szCs w:val="20"/>
      <w:lang w:val="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964223">
      <w:bodyDiv w:val="1"/>
      <w:marLeft w:val="0"/>
      <w:marRight w:val="0"/>
      <w:marTop w:val="0"/>
      <w:marBottom w:val="0"/>
      <w:divBdr>
        <w:top w:val="none" w:sz="0" w:space="0" w:color="auto"/>
        <w:left w:val="none" w:sz="0" w:space="0" w:color="auto"/>
        <w:bottom w:val="none" w:sz="0" w:space="0" w:color="auto"/>
        <w:right w:val="none" w:sz="0" w:space="0" w:color="auto"/>
      </w:divBdr>
      <w:divsChild>
        <w:div w:id="547910521">
          <w:marLeft w:val="0"/>
          <w:marRight w:val="0"/>
          <w:marTop w:val="0"/>
          <w:marBottom w:val="0"/>
          <w:divBdr>
            <w:top w:val="none" w:sz="0" w:space="0" w:color="auto"/>
            <w:left w:val="none" w:sz="0" w:space="0" w:color="auto"/>
            <w:bottom w:val="none" w:sz="0" w:space="0" w:color="auto"/>
            <w:right w:val="none" w:sz="0" w:space="0" w:color="auto"/>
          </w:divBdr>
          <w:divsChild>
            <w:div w:id="1053731">
              <w:marLeft w:val="0"/>
              <w:marRight w:val="0"/>
              <w:marTop w:val="0"/>
              <w:marBottom w:val="0"/>
              <w:divBdr>
                <w:top w:val="none" w:sz="0" w:space="0" w:color="auto"/>
                <w:left w:val="none" w:sz="0" w:space="0" w:color="auto"/>
                <w:bottom w:val="none" w:sz="0" w:space="0" w:color="auto"/>
                <w:right w:val="none" w:sz="0" w:space="0" w:color="auto"/>
              </w:divBdr>
              <w:divsChild>
                <w:div w:id="1228342172">
                  <w:marLeft w:val="0"/>
                  <w:marRight w:val="0"/>
                  <w:marTop w:val="0"/>
                  <w:marBottom w:val="0"/>
                  <w:divBdr>
                    <w:top w:val="none" w:sz="0" w:space="0" w:color="auto"/>
                    <w:left w:val="none" w:sz="0" w:space="0" w:color="auto"/>
                    <w:bottom w:val="none" w:sz="0" w:space="0" w:color="auto"/>
                    <w:right w:val="none" w:sz="0" w:space="0" w:color="auto"/>
                  </w:divBdr>
                  <w:divsChild>
                    <w:div w:id="88158076">
                      <w:marLeft w:val="0"/>
                      <w:marRight w:val="0"/>
                      <w:marTop w:val="0"/>
                      <w:marBottom w:val="0"/>
                      <w:divBdr>
                        <w:top w:val="none" w:sz="0" w:space="0" w:color="auto"/>
                        <w:left w:val="none" w:sz="0" w:space="0" w:color="auto"/>
                        <w:bottom w:val="none" w:sz="0" w:space="0" w:color="auto"/>
                        <w:right w:val="none" w:sz="0" w:space="0" w:color="auto"/>
                      </w:divBdr>
                      <w:divsChild>
                        <w:div w:id="587273931">
                          <w:marLeft w:val="0"/>
                          <w:marRight w:val="0"/>
                          <w:marTop w:val="0"/>
                          <w:marBottom w:val="0"/>
                          <w:divBdr>
                            <w:top w:val="none" w:sz="0" w:space="0" w:color="auto"/>
                            <w:left w:val="none" w:sz="0" w:space="0" w:color="auto"/>
                            <w:bottom w:val="none" w:sz="0" w:space="0" w:color="auto"/>
                            <w:right w:val="none" w:sz="0" w:space="0" w:color="auto"/>
                          </w:divBdr>
                          <w:divsChild>
                            <w:div w:id="1964652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823976">
      <w:bodyDiv w:val="1"/>
      <w:marLeft w:val="0"/>
      <w:marRight w:val="0"/>
      <w:marTop w:val="0"/>
      <w:marBottom w:val="0"/>
      <w:divBdr>
        <w:top w:val="none" w:sz="0" w:space="0" w:color="auto"/>
        <w:left w:val="none" w:sz="0" w:space="0" w:color="auto"/>
        <w:bottom w:val="none" w:sz="0" w:space="0" w:color="auto"/>
        <w:right w:val="none" w:sz="0" w:space="0" w:color="auto"/>
      </w:divBdr>
    </w:div>
    <w:div w:id="55472727">
      <w:bodyDiv w:val="1"/>
      <w:marLeft w:val="0"/>
      <w:marRight w:val="0"/>
      <w:marTop w:val="0"/>
      <w:marBottom w:val="0"/>
      <w:divBdr>
        <w:top w:val="none" w:sz="0" w:space="0" w:color="auto"/>
        <w:left w:val="none" w:sz="0" w:space="0" w:color="auto"/>
        <w:bottom w:val="none" w:sz="0" w:space="0" w:color="auto"/>
        <w:right w:val="none" w:sz="0" w:space="0" w:color="auto"/>
      </w:divBdr>
    </w:div>
    <w:div w:id="70778926">
      <w:bodyDiv w:val="1"/>
      <w:marLeft w:val="0"/>
      <w:marRight w:val="0"/>
      <w:marTop w:val="0"/>
      <w:marBottom w:val="0"/>
      <w:divBdr>
        <w:top w:val="none" w:sz="0" w:space="0" w:color="auto"/>
        <w:left w:val="none" w:sz="0" w:space="0" w:color="auto"/>
        <w:bottom w:val="none" w:sz="0" w:space="0" w:color="auto"/>
        <w:right w:val="none" w:sz="0" w:space="0" w:color="auto"/>
      </w:divBdr>
    </w:div>
    <w:div w:id="83697507">
      <w:bodyDiv w:val="1"/>
      <w:marLeft w:val="0"/>
      <w:marRight w:val="0"/>
      <w:marTop w:val="0"/>
      <w:marBottom w:val="0"/>
      <w:divBdr>
        <w:top w:val="none" w:sz="0" w:space="0" w:color="auto"/>
        <w:left w:val="none" w:sz="0" w:space="0" w:color="auto"/>
        <w:bottom w:val="none" w:sz="0" w:space="0" w:color="auto"/>
        <w:right w:val="none" w:sz="0" w:space="0" w:color="auto"/>
      </w:divBdr>
    </w:div>
    <w:div w:id="90008055">
      <w:bodyDiv w:val="1"/>
      <w:marLeft w:val="0"/>
      <w:marRight w:val="0"/>
      <w:marTop w:val="0"/>
      <w:marBottom w:val="0"/>
      <w:divBdr>
        <w:top w:val="none" w:sz="0" w:space="0" w:color="auto"/>
        <w:left w:val="none" w:sz="0" w:space="0" w:color="auto"/>
        <w:bottom w:val="none" w:sz="0" w:space="0" w:color="auto"/>
        <w:right w:val="none" w:sz="0" w:space="0" w:color="auto"/>
      </w:divBdr>
    </w:div>
    <w:div w:id="118031182">
      <w:bodyDiv w:val="1"/>
      <w:marLeft w:val="0"/>
      <w:marRight w:val="0"/>
      <w:marTop w:val="0"/>
      <w:marBottom w:val="0"/>
      <w:divBdr>
        <w:top w:val="none" w:sz="0" w:space="0" w:color="auto"/>
        <w:left w:val="none" w:sz="0" w:space="0" w:color="auto"/>
        <w:bottom w:val="none" w:sz="0" w:space="0" w:color="auto"/>
        <w:right w:val="none" w:sz="0" w:space="0" w:color="auto"/>
      </w:divBdr>
    </w:div>
    <w:div w:id="139689505">
      <w:bodyDiv w:val="1"/>
      <w:marLeft w:val="0"/>
      <w:marRight w:val="0"/>
      <w:marTop w:val="0"/>
      <w:marBottom w:val="0"/>
      <w:divBdr>
        <w:top w:val="none" w:sz="0" w:space="0" w:color="auto"/>
        <w:left w:val="none" w:sz="0" w:space="0" w:color="auto"/>
        <w:bottom w:val="none" w:sz="0" w:space="0" w:color="auto"/>
        <w:right w:val="none" w:sz="0" w:space="0" w:color="auto"/>
      </w:divBdr>
    </w:div>
    <w:div w:id="169104096">
      <w:bodyDiv w:val="1"/>
      <w:marLeft w:val="0"/>
      <w:marRight w:val="0"/>
      <w:marTop w:val="0"/>
      <w:marBottom w:val="0"/>
      <w:divBdr>
        <w:top w:val="none" w:sz="0" w:space="0" w:color="auto"/>
        <w:left w:val="none" w:sz="0" w:space="0" w:color="auto"/>
        <w:bottom w:val="none" w:sz="0" w:space="0" w:color="auto"/>
        <w:right w:val="none" w:sz="0" w:space="0" w:color="auto"/>
      </w:divBdr>
    </w:div>
    <w:div w:id="176384809">
      <w:bodyDiv w:val="1"/>
      <w:marLeft w:val="0"/>
      <w:marRight w:val="0"/>
      <w:marTop w:val="0"/>
      <w:marBottom w:val="0"/>
      <w:divBdr>
        <w:top w:val="none" w:sz="0" w:space="0" w:color="auto"/>
        <w:left w:val="none" w:sz="0" w:space="0" w:color="auto"/>
        <w:bottom w:val="none" w:sz="0" w:space="0" w:color="auto"/>
        <w:right w:val="none" w:sz="0" w:space="0" w:color="auto"/>
      </w:divBdr>
      <w:divsChild>
        <w:div w:id="1515269690">
          <w:marLeft w:val="0"/>
          <w:marRight w:val="0"/>
          <w:marTop w:val="0"/>
          <w:marBottom w:val="0"/>
          <w:divBdr>
            <w:top w:val="none" w:sz="0" w:space="0" w:color="auto"/>
            <w:left w:val="none" w:sz="0" w:space="0" w:color="auto"/>
            <w:bottom w:val="none" w:sz="0" w:space="0" w:color="auto"/>
            <w:right w:val="none" w:sz="0" w:space="0" w:color="auto"/>
          </w:divBdr>
          <w:divsChild>
            <w:div w:id="151021140">
              <w:marLeft w:val="0"/>
              <w:marRight w:val="0"/>
              <w:marTop w:val="0"/>
              <w:marBottom w:val="0"/>
              <w:divBdr>
                <w:top w:val="none" w:sz="0" w:space="0" w:color="auto"/>
                <w:left w:val="none" w:sz="0" w:space="0" w:color="auto"/>
                <w:bottom w:val="none" w:sz="0" w:space="0" w:color="auto"/>
                <w:right w:val="none" w:sz="0" w:space="0" w:color="auto"/>
              </w:divBdr>
              <w:divsChild>
                <w:div w:id="564073340">
                  <w:marLeft w:val="0"/>
                  <w:marRight w:val="0"/>
                  <w:marTop w:val="0"/>
                  <w:marBottom w:val="0"/>
                  <w:divBdr>
                    <w:top w:val="none" w:sz="0" w:space="0" w:color="auto"/>
                    <w:left w:val="none" w:sz="0" w:space="0" w:color="auto"/>
                    <w:bottom w:val="none" w:sz="0" w:space="0" w:color="auto"/>
                    <w:right w:val="none" w:sz="0" w:space="0" w:color="auto"/>
                  </w:divBdr>
                  <w:divsChild>
                    <w:div w:id="1652365274">
                      <w:marLeft w:val="0"/>
                      <w:marRight w:val="0"/>
                      <w:marTop w:val="0"/>
                      <w:marBottom w:val="0"/>
                      <w:divBdr>
                        <w:top w:val="none" w:sz="0" w:space="0" w:color="auto"/>
                        <w:left w:val="none" w:sz="0" w:space="0" w:color="auto"/>
                        <w:bottom w:val="none" w:sz="0" w:space="0" w:color="auto"/>
                        <w:right w:val="none" w:sz="0" w:space="0" w:color="auto"/>
                      </w:divBdr>
                      <w:divsChild>
                        <w:div w:id="1255166334">
                          <w:marLeft w:val="0"/>
                          <w:marRight w:val="0"/>
                          <w:marTop w:val="0"/>
                          <w:marBottom w:val="0"/>
                          <w:divBdr>
                            <w:top w:val="none" w:sz="0" w:space="0" w:color="auto"/>
                            <w:left w:val="none" w:sz="0" w:space="0" w:color="auto"/>
                            <w:bottom w:val="none" w:sz="0" w:space="0" w:color="auto"/>
                            <w:right w:val="none" w:sz="0" w:space="0" w:color="auto"/>
                          </w:divBdr>
                          <w:divsChild>
                            <w:div w:id="117730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398481">
      <w:bodyDiv w:val="1"/>
      <w:marLeft w:val="0"/>
      <w:marRight w:val="0"/>
      <w:marTop w:val="0"/>
      <w:marBottom w:val="0"/>
      <w:divBdr>
        <w:top w:val="none" w:sz="0" w:space="0" w:color="auto"/>
        <w:left w:val="none" w:sz="0" w:space="0" w:color="auto"/>
        <w:bottom w:val="none" w:sz="0" w:space="0" w:color="auto"/>
        <w:right w:val="none" w:sz="0" w:space="0" w:color="auto"/>
      </w:divBdr>
    </w:div>
    <w:div w:id="216357919">
      <w:bodyDiv w:val="1"/>
      <w:marLeft w:val="0"/>
      <w:marRight w:val="0"/>
      <w:marTop w:val="0"/>
      <w:marBottom w:val="0"/>
      <w:divBdr>
        <w:top w:val="none" w:sz="0" w:space="0" w:color="auto"/>
        <w:left w:val="none" w:sz="0" w:space="0" w:color="auto"/>
        <w:bottom w:val="none" w:sz="0" w:space="0" w:color="auto"/>
        <w:right w:val="none" w:sz="0" w:space="0" w:color="auto"/>
      </w:divBdr>
    </w:div>
    <w:div w:id="226645378">
      <w:bodyDiv w:val="1"/>
      <w:marLeft w:val="0"/>
      <w:marRight w:val="0"/>
      <w:marTop w:val="0"/>
      <w:marBottom w:val="0"/>
      <w:divBdr>
        <w:top w:val="none" w:sz="0" w:space="0" w:color="auto"/>
        <w:left w:val="none" w:sz="0" w:space="0" w:color="auto"/>
        <w:bottom w:val="none" w:sz="0" w:space="0" w:color="auto"/>
        <w:right w:val="none" w:sz="0" w:space="0" w:color="auto"/>
      </w:divBdr>
    </w:div>
    <w:div w:id="239025096">
      <w:bodyDiv w:val="1"/>
      <w:marLeft w:val="0"/>
      <w:marRight w:val="0"/>
      <w:marTop w:val="0"/>
      <w:marBottom w:val="0"/>
      <w:divBdr>
        <w:top w:val="none" w:sz="0" w:space="0" w:color="auto"/>
        <w:left w:val="none" w:sz="0" w:space="0" w:color="auto"/>
        <w:bottom w:val="none" w:sz="0" w:space="0" w:color="auto"/>
        <w:right w:val="none" w:sz="0" w:space="0" w:color="auto"/>
      </w:divBdr>
    </w:div>
    <w:div w:id="274102227">
      <w:bodyDiv w:val="1"/>
      <w:marLeft w:val="0"/>
      <w:marRight w:val="0"/>
      <w:marTop w:val="0"/>
      <w:marBottom w:val="0"/>
      <w:divBdr>
        <w:top w:val="none" w:sz="0" w:space="0" w:color="auto"/>
        <w:left w:val="none" w:sz="0" w:space="0" w:color="auto"/>
        <w:bottom w:val="none" w:sz="0" w:space="0" w:color="auto"/>
        <w:right w:val="none" w:sz="0" w:space="0" w:color="auto"/>
      </w:divBdr>
    </w:div>
    <w:div w:id="276640939">
      <w:bodyDiv w:val="1"/>
      <w:marLeft w:val="0"/>
      <w:marRight w:val="0"/>
      <w:marTop w:val="0"/>
      <w:marBottom w:val="0"/>
      <w:divBdr>
        <w:top w:val="none" w:sz="0" w:space="0" w:color="auto"/>
        <w:left w:val="none" w:sz="0" w:space="0" w:color="auto"/>
        <w:bottom w:val="none" w:sz="0" w:space="0" w:color="auto"/>
        <w:right w:val="none" w:sz="0" w:space="0" w:color="auto"/>
      </w:divBdr>
    </w:div>
    <w:div w:id="284385598">
      <w:bodyDiv w:val="1"/>
      <w:marLeft w:val="0"/>
      <w:marRight w:val="0"/>
      <w:marTop w:val="0"/>
      <w:marBottom w:val="0"/>
      <w:divBdr>
        <w:top w:val="none" w:sz="0" w:space="0" w:color="auto"/>
        <w:left w:val="none" w:sz="0" w:space="0" w:color="auto"/>
        <w:bottom w:val="none" w:sz="0" w:space="0" w:color="auto"/>
        <w:right w:val="none" w:sz="0" w:space="0" w:color="auto"/>
      </w:divBdr>
    </w:div>
    <w:div w:id="287125958">
      <w:bodyDiv w:val="1"/>
      <w:marLeft w:val="0"/>
      <w:marRight w:val="0"/>
      <w:marTop w:val="0"/>
      <w:marBottom w:val="0"/>
      <w:divBdr>
        <w:top w:val="none" w:sz="0" w:space="0" w:color="auto"/>
        <w:left w:val="none" w:sz="0" w:space="0" w:color="auto"/>
        <w:bottom w:val="none" w:sz="0" w:space="0" w:color="auto"/>
        <w:right w:val="none" w:sz="0" w:space="0" w:color="auto"/>
      </w:divBdr>
    </w:div>
    <w:div w:id="287275059">
      <w:bodyDiv w:val="1"/>
      <w:marLeft w:val="0"/>
      <w:marRight w:val="0"/>
      <w:marTop w:val="0"/>
      <w:marBottom w:val="0"/>
      <w:divBdr>
        <w:top w:val="none" w:sz="0" w:space="0" w:color="auto"/>
        <w:left w:val="none" w:sz="0" w:space="0" w:color="auto"/>
        <w:bottom w:val="none" w:sz="0" w:space="0" w:color="auto"/>
        <w:right w:val="none" w:sz="0" w:space="0" w:color="auto"/>
      </w:divBdr>
    </w:div>
    <w:div w:id="292709814">
      <w:bodyDiv w:val="1"/>
      <w:marLeft w:val="0"/>
      <w:marRight w:val="0"/>
      <w:marTop w:val="0"/>
      <w:marBottom w:val="0"/>
      <w:divBdr>
        <w:top w:val="none" w:sz="0" w:space="0" w:color="auto"/>
        <w:left w:val="none" w:sz="0" w:space="0" w:color="auto"/>
        <w:bottom w:val="none" w:sz="0" w:space="0" w:color="auto"/>
        <w:right w:val="none" w:sz="0" w:space="0" w:color="auto"/>
      </w:divBdr>
    </w:div>
    <w:div w:id="345983910">
      <w:bodyDiv w:val="1"/>
      <w:marLeft w:val="0"/>
      <w:marRight w:val="0"/>
      <w:marTop w:val="0"/>
      <w:marBottom w:val="0"/>
      <w:divBdr>
        <w:top w:val="none" w:sz="0" w:space="0" w:color="auto"/>
        <w:left w:val="none" w:sz="0" w:space="0" w:color="auto"/>
        <w:bottom w:val="none" w:sz="0" w:space="0" w:color="auto"/>
        <w:right w:val="none" w:sz="0" w:space="0" w:color="auto"/>
      </w:divBdr>
    </w:div>
    <w:div w:id="362172660">
      <w:bodyDiv w:val="1"/>
      <w:marLeft w:val="0"/>
      <w:marRight w:val="0"/>
      <w:marTop w:val="0"/>
      <w:marBottom w:val="0"/>
      <w:divBdr>
        <w:top w:val="none" w:sz="0" w:space="0" w:color="auto"/>
        <w:left w:val="none" w:sz="0" w:space="0" w:color="auto"/>
        <w:bottom w:val="none" w:sz="0" w:space="0" w:color="auto"/>
        <w:right w:val="none" w:sz="0" w:space="0" w:color="auto"/>
      </w:divBdr>
    </w:div>
    <w:div w:id="367024861">
      <w:bodyDiv w:val="1"/>
      <w:marLeft w:val="0"/>
      <w:marRight w:val="0"/>
      <w:marTop w:val="0"/>
      <w:marBottom w:val="0"/>
      <w:divBdr>
        <w:top w:val="none" w:sz="0" w:space="0" w:color="auto"/>
        <w:left w:val="none" w:sz="0" w:space="0" w:color="auto"/>
        <w:bottom w:val="none" w:sz="0" w:space="0" w:color="auto"/>
        <w:right w:val="none" w:sz="0" w:space="0" w:color="auto"/>
      </w:divBdr>
    </w:div>
    <w:div w:id="379060304">
      <w:bodyDiv w:val="1"/>
      <w:marLeft w:val="0"/>
      <w:marRight w:val="0"/>
      <w:marTop w:val="0"/>
      <w:marBottom w:val="0"/>
      <w:divBdr>
        <w:top w:val="none" w:sz="0" w:space="0" w:color="auto"/>
        <w:left w:val="none" w:sz="0" w:space="0" w:color="auto"/>
        <w:bottom w:val="none" w:sz="0" w:space="0" w:color="auto"/>
        <w:right w:val="none" w:sz="0" w:space="0" w:color="auto"/>
      </w:divBdr>
    </w:div>
    <w:div w:id="384840496">
      <w:bodyDiv w:val="1"/>
      <w:marLeft w:val="0"/>
      <w:marRight w:val="0"/>
      <w:marTop w:val="0"/>
      <w:marBottom w:val="0"/>
      <w:divBdr>
        <w:top w:val="none" w:sz="0" w:space="0" w:color="auto"/>
        <w:left w:val="none" w:sz="0" w:space="0" w:color="auto"/>
        <w:bottom w:val="none" w:sz="0" w:space="0" w:color="auto"/>
        <w:right w:val="none" w:sz="0" w:space="0" w:color="auto"/>
      </w:divBdr>
      <w:divsChild>
        <w:div w:id="1947618897">
          <w:marLeft w:val="0"/>
          <w:marRight w:val="0"/>
          <w:marTop w:val="0"/>
          <w:marBottom w:val="0"/>
          <w:divBdr>
            <w:top w:val="none" w:sz="0" w:space="0" w:color="auto"/>
            <w:left w:val="none" w:sz="0" w:space="0" w:color="auto"/>
            <w:bottom w:val="none" w:sz="0" w:space="0" w:color="auto"/>
            <w:right w:val="none" w:sz="0" w:space="0" w:color="auto"/>
          </w:divBdr>
          <w:divsChild>
            <w:div w:id="737442167">
              <w:marLeft w:val="0"/>
              <w:marRight w:val="0"/>
              <w:marTop w:val="0"/>
              <w:marBottom w:val="0"/>
              <w:divBdr>
                <w:top w:val="none" w:sz="0" w:space="0" w:color="auto"/>
                <w:left w:val="none" w:sz="0" w:space="0" w:color="auto"/>
                <w:bottom w:val="none" w:sz="0" w:space="0" w:color="auto"/>
                <w:right w:val="none" w:sz="0" w:space="0" w:color="auto"/>
              </w:divBdr>
              <w:divsChild>
                <w:div w:id="2131894902">
                  <w:marLeft w:val="0"/>
                  <w:marRight w:val="0"/>
                  <w:marTop w:val="0"/>
                  <w:marBottom w:val="0"/>
                  <w:divBdr>
                    <w:top w:val="none" w:sz="0" w:space="0" w:color="auto"/>
                    <w:left w:val="none" w:sz="0" w:space="0" w:color="auto"/>
                    <w:bottom w:val="none" w:sz="0" w:space="0" w:color="auto"/>
                    <w:right w:val="none" w:sz="0" w:space="0" w:color="auto"/>
                  </w:divBdr>
                  <w:divsChild>
                    <w:div w:id="722142859">
                      <w:marLeft w:val="0"/>
                      <w:marRight w:val="0"/>
                      <w:marTop w:val="0"/>
                      <w:marBottom w:val="0"/>
                      <w:divBdr>
                        <w:top w:val="none" w:sz="0" w:space="0" w:color="auto"/>
                        <w:left w:val="none" w:sz="0" w:space="0" w:color="auto"/>
                        <w:bottom w:val="none" w:sz="0" w:space="0" w:color="auto"/>
                        <w:right w:val="none" w:sz="0" w:space="0" w:color="auto"/>
                      </w:divBdr>
                      <w:divsChild>
                        <w:div w:id="391268195">
                          <w:marLeft w:val="0"/>
                          <w:marRight w:val="0"/>
                          <w:marTop w:val="0"/>
                          <w:marBottom w:val="0"/>
                          <w:divBdr>
                            <w:top w:val="none" w:sz="0" w:space="0" w:color="auto"/>
                            <w:left w:val="none" w:sz="0" w:space="0" w:color="auto"/>
                            <w:bottom w:val="none" w:sz="0" w:space="0" w:color="auto"/>
                            <w:right w:val="none" w:sz="0" w:space="0" w:color="auto"/>
                          </w:divBdr>
                          <w:divsChild>
                            <w:div w:id="1266426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6611609">
      <w:bodyDiv w:val="1"/>
      <w:marLeft w:val="0"/>
      <w:marRight w:val="0"/>
      <w:marTop w:val="0"/>
      <w:marBottom w:val="0"/>
      <w:divBdr>
        <w:top w:val="none" w:sz="0" w:space="0" w:color="auto"/>
        <w:left w:val="none" w:sz="0" w:space="0" w:color="auto"/>
        <w:bottom w:val="none" w:sz="0" w:space="0" w:color="auto"/>
        <w:right w:val="none" w:sz="0" w:space="0" w:color="auto"/>
      </w:divBdr>
    </w:div>
    <w:div w:id="424034607">
      <w:bodyDiv w:val="1"/>
      <w:marLeft w:val="0"/>
      <w:marRight w:val="0"/>
      <w:marTop w:val="0"/>
      <w:marBottom w:val="0"/>
      <w:divBdr>
        <w:top w:val="none" w:sz="0" w:space="0" w:color="auto"/>
        <w:left w:val="none" w:sz="0" w:space="0" w:color="auto"/>
        <w:bottom w:val="none" w:sz="0" w:space="0" w:color="auto"/>
        <w:right w:val="none" w:sz="0" w:space="0" w:color="auto"/>
      </w:divBdr>
    </w:div>
    <w:div w:id="424960214">
      <w:bodyDiv w:val="1"/>
      <w:marLeft w:val="0"/>
      <w:marRight w:val="0"/>
      <w:marTop w:val="0"/>
      <w:marBottom w:val="0"/>
      <w:divBdr>
        <w:top w:val="none" w:sz="0" w:space="0" w:color="auto"/>
        <w:left w:val="none" w:sz="0" w:space="0" w:color="auto"/>
        <w:bottom w:val="none" w:sz="0" w:space="0" w:color="auto"/>
        <w:right w:val="none" w:sz="0" w:space="0" w:color="auto"/>
      </w:divBdr>
    </w:div>
    <w:div w:id="462384353">
      <w:bodyDiv w:val="1"/>
      <w:marLeft w:val="0"/>
      <w:marRight w:val="0"/>
      <w:marTop w:val="0"/>
      <w:marBottom w:val="0"/>
      <w:divBdr>
        <w:top w:val="none" w:sz="0" w:space="0" w:color="auto"/>
        <w:left w:val="none" w:sz="0" w:space="0" w:color="auto"/>
        <w:bottom w:val="none" w:sz="0" w:space="0" w:color="auto"/>
        <w:right w:val="none" w:sz="0" w:space="0" w:color="auto"/>
      </w:divBdr>
    </w:div>
    <w:div w:id="486022119">
      <w:bodyDiv w:val="1"/>
      <w:marLeft w:val="0"/>
      <w:marRight w:val="0"/>
      <w:marTop w:val="0"/>
      <w:marBottom w:val="0"/>
      <w:divBdr>
        <w:top w:val="none" w:sz="0" w:space="0" w:color="auto"/>
        <w:left w:val="none" w:sz="0" w:space="0" w:color="auto"/>
        <w:bottom w:val="none" w:sz="0" w:space="0" w:color="auto"/>
        <w:right w:val="none" w:sz="0" w:space="0" w:color="auto"/>
      </w:divBdr>
    </w:div>
    <w:div w:id="506138481">
      <w:bodyDiv w:val="1"/>
      <w:marLeft w:val="0"/>
      <w:marRight w:val="0"/>
      <w:marTop w:val="0"/>
      <w:marBottom w:val="0"/>
      <w:divBdr>
        <w:top w:val="none" w:sz="0" w:space="0" w:color="auto"/>
        <w:left w:val="none" w:sz="0" w:space="0" w:color="auto"/>
        <w:bottom w:val="none" w:sz="0" w:space="0" w:color="auto"/>
        <w:right w:val="none" w:sz="0" w:space="0" w:color="auto"/>
      </w:divBdr>
    </w:div>
    <w:div w:id="507138824">
      <w:bodyDiv w:val="1"/>
      <w:marLeft w:val="0"/>
      <w:marRight w:val="0"/>
      <w:marTop w:val="0"/>
      <w:marBottom w:val="0"/>
      <w:divBdr>
        <w:top w:val="none" w:sz="0" w:space="0" w:color="auto"/>
        <w:left w:val="none" w:sz="0" w:space="0" w:color="auto"/>
        <w:bottom w:val="none" w:sz="0" w:space="0" w:color="auto"/>
        <w:right w:val="none" w:sz="0" w:space="0" w:color="auto"/>
      </w:divBdr>
      <w:divsChild>
        <w:div w:id="1469399172">
          <w:marLeft w:val="0"/>
          <w:marRight w:val="0"/>
          <w:marTop w:val="0"/>
          <w:marBottom w:val="0"/>
          <w:divBdr>
            <w:top w:val="none" w:sz="0" w:space="0" w:color="auto"/>
            <w:left w:val="none" w:sz="0" w:space="0" w:color="auto"/>
            <w:bottom w:val="none" w:sz="0" w:space="0" w:color="auto"/>
            <w:right w:val="none" w:sz="0" w:space="0" w:color="auto"/>
          </w:divBdr>
          <w:divsChild>
            <w:div w:id="1253658061">
              <w:marLeft w:val="0"/>
              <w:marRight w:val="0"/>
              <w:marTop w:val="0"/>
              <w:marBottom w:val="0"/>
              <w:divBdr>
                <w:top w:val="none" w:sz="0" w:space="0" w:color="auto"/>
                <w:left w:val="none" w:sz="0" w:space="0" w:color="auto"/>
                <w:bottom w:val="none" w:sz="0" w:space="0" w:color="auto"/>
                <w:right w:val="none" w:sz="0" w:space="0" w:color="auto"/>
              </w:divBdr>
              <w:divsChild>
                <w:div w:id="599921387">
                  <w:marLeft w:val="0"/>
                  <w:marRight w:val="0"/>
                  <w:marTop w:val="0"/>
                  <w:marBottom w:val="0"/>
                  <w:divBdr>
                    <w:top w:val="none" w:sz="0" w:space="0" w:color="auto"/>
                    <w:left w:val="none" w:sz="0" w:space="0" w:color="auto"/>
                    <w:bottom w:val="none" w:sz="0" w:space="0" w:color="auto"/>
                    <w:right w:val="none" w:sz="0" w:space="0" w:color="auto"/>
                  </w:divBdr>
                  <w:divsChild>
                    <w:div w:id="187669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547643">
          <w:marLeft w:val="0"/>
          <w:marRight w:val="0"/>
          <w:marTop w:val="0"/>
          <w:marBottom w:val="0"/>
          <w:divBdr>
            <w:top w:val="none" w:sz="0" w:space="0" w:color="auto"/>
            <w:left w:val="none" w:sz="0" w:space="0" w:color="auto"/>
            <w:bottom w:val="none" w:sz="0" w:space="0" w:color="auto"/>
            <w:right w:val="none" w:sz="0" w:space="0" w:color="auto"/>
          </w:divBdr>
          <w:divsChild>
            <w:div w:id="1519811963">
              <w:marLeft w:val="0"/>
              <w:marRight w:val="0"/>
              <w:marTop w:val="0"/>
              <w:marBottom w:val="0"/>
              <w:divBdr>
                <w:top w:val="none" w:sz="0" w:space="0" w:color="auto"/>
                <w:left w:val="none" w:sz="0" w:space="0" w:color="auto"/>
                <w:bottom w:val="none" w:sz="0" w:space="0" w:color="auto"/>
                <w:right w:val="none" w:sz="0" w:space="0" w:color="auto"/>
              </w:divBdr>
              <w:divsChild>
                <w:div w:id="15086851">
                  <w:marLeft w:val="0"/>
                  <w:marRight w:val="0"/>
                  <w:marTop w:val="0"/>
                  <w:marBottom w:val="0"/>
                  <w:divBdr>
                    <w:top w:val="none" w:sz="0" w:space="0" w:color="auto"/>
                    <w:left w:val="none" w:sz="0" w:space="0" w:color="auto"/>
                    <w:bottom w:val="none" w:sz="0" w:space="0" w:color="auto"/>
                    <w:right w:val="none" w:sz="0" w:space="0" w:color="auto"/>
                  </w:divBdr>
                  <w:divsChild>
                    <w:div w:id="66200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4370317">
      <w:bodyDiv w:val="1"/>
      <w:marLeft w:val="0"/>
      <w:marRight w:val="0"/>
      <w:marTop w:val="0"/>
      <w:marBottom w:val="0"/>
      <w:divBdr>
        <w:top w:val="none" w:sz="0" w:space="0" w:color="auto"/>
        <w:left w:val="none" w:sz="0" w:space="0" w:color="auto"/>
        <w:bottom w:val="none" w:sz="0" w:space="0" w:color="auto"/>
        <w:right w:val="none" w:sz="0" w:space="0" w:color="auto"/>
      </w:divBdr>
    </w:div>
    <w:div w:id="555237401">
      <w:bodyDiv w:val="1"/>
      <w:marLeft w:val="0"/>
      <w:marRight w:val="0"/>
      <w:marTop w:val="0"/>
      <w:marBottom w:val="0"/>
      <w:divBdr>
        <w:top w:val="none" w:sz="0" w:space="0" w:color="auto"/>
        <w:left w:val="none" w:sz="0" w:space="0" w:color="auto"/>
        <w:bottom w:val="none" w:sz="0" w:space="0" w:color="auto"/>
        <w:right w:val="none" w:sz="0" w:space="0" w:color="auto"/>
      </w:divBdr>
    </w:div>
    <w:div w:id="557395433">
      <w:bodyDiv w:val="1"/>
      <w:marLeft w:val="0"/>
      <w:marRight w:val="0"/>
      <w:marTop w:val="0"/>
      <w:marBottom w:val="0"/>
      <w:divBdr>
        <w:top w:val="none" w:sz="0" w:space="0" w:color="auto"/>
        <w:left w:val="none" w:sz="0" w:space="0" w:color="auto"/>
        <w:bottom w:val="none" w:sz="0" w:space="0" w:color="auto"/>
        <w:right w:val="none" w:sz="0" w:space="0" w:color="auto"/>
      </w:divBdr>
    </w:div>
    <w:div w:id="586115648">
      <w:bodyDiv w:val="1"/>
      <w:marLeft w:val="0"/>
      <w:marRight w:val="0"/>
      <w:marTop w:val="0"/>
      <w:marBottom w:val="0"/>
      <w:divBdr>
        <w:top w:val="none" w:sz="0" w:space="0" w:color="auto"/>
        <w:left w:val="none" w:sz="0" w:space="0" w:color="auto"/>
        <w:bottom w:val="none" w:sz="0" w:space="0" w:color="auto"/>
        <w:right w:val="none" w:sz="0" w:space="0" w:color="auto"/>
      </w:divBdr>
    </w:div>
    <w:div w:id="634679337">
      <w:bodyDiv w:val="1"/>
      <w:marLeft w:val="0"/>
      <w:marRight w:val="0"/>
      <w:marTop w:val="0"/>
      <w:marBottom w:val="0"/>
      <w:divBdr>
        <w:top w:val="none" w:sz="0" w:space="0" w:color="auto"/>
        <w:left w:val="none" w:sz="0" w:space="0" w:color="auto"/>
        <w:bottom w:val="none" w:sz="0" w:space="0" w:color="auto"/>
        <w:right w:val="none" w:sz="0" w:space="0" w:color="auto"/>
      </w:divBdr>
    </w:div>
    <w:div w:id="635643093">
      <w:bodyDiv w:val="1"/>
      <w:marLeft w:val="0"/>
      <w:marRight w:val="0"/>
      <w:marTop w:val="0"/>
      <w:marBottom w:val="0"/>
      <w:divBdr>
        <w:top w:val="none" w:sz="0" w:space="0" w:color="auto"/>
        <w:left w:val="none" w:sz="0" w:space="0" w:color="auto"/>
        <w:bottom w:val="none" w:sz="0" w:space="0" w:color="auto"/>
        <w:right w:val="none" w:sz="0" w:space="0" w:color="auto"/>
      </w:divBdr>
    </w:div>
    <w:div w:id="680008312">
      <w:bodyDiv w:val="1"/>
      <w:marLeft w:val="0"/>
      <w:marRight w:val="0"/>
      <w:marTop w:val="0"/>
      <w:marBottom w:val="0"/>
      <w:divBdr>
        <w:top w:val="none" w:sz="0" w:space="0" w:color="auto"/>
        <w:left w:val="none" w:sz="0" w:space="0" w:color="auto"/>
        <w:bottom w:val="none" w:sz="0" w:space="0" w:color="auto"/>
        <w:right w:val="none" w:sz="0" w:space="0" w:color="auto"/>
      </w:divBdr>
      <w:divsChild>
        <w:div w:id="965621671">
          <w:marLeft w:val="706"/>
          <w:marRight w:val="0"/>
          <w:marTop w:val="0"/>
          <w:marBottom w:val="60"/>
          <w:divBdr>
            <w:top w:val="none" w:sz="0" w:space="0" w:color="auto"/>
            <w:left w:val="none" w:sz="0" w:space="0" w:color="auto"/>
            <w:bottom w:val="none" w:sz="0" w:space="0" w:color="auto"/>
            <w:right w:val="none" w:sz="0" w:space="0" w:color="auto"/>
          </w:divBdr>
        </w:div>
      </w:divsChild>
    </w:div>
    <w:div w:id="681665420">
      <w:bodyDiv w:val="1"/>
      <w:marLeft w:val="0"/>
      <w:marRight w:val="0"/>
      <w:marTop w:val="0"/>
      <w:marBottom w:val="0"/>
      <w:divBdr>
        <w:top w:val="none" w:sz="0" w:space="0" w:color="auto"/>
        <w:left w:val="none" w:sz="0" w:space="0" w:color="auto"/>
        <w:bottom w:val="none" w:sz="0" w:space="0" w:color="auto"/>
        <w:right w:val="none" w:sz="0" w:space="0" w:color="auto"/>
      </w:divBdr>
      <w:divsChild>
        <w:div w:id="1130242565">
          <w:marLeft w:val="0"/>
          <w:marRight w:val="0"/>
          <w:marTop w:val="0"/>
          <w:marBottom w:val="0"/>
          <w:divBdr>
            <w:top w:val="none" w:sz="0" w:space="0" w:color="auto"/>
            <w:left w:val="none" w:sz="0" w:space="0" w:color="auto"/>
            <w:bottom w:val="none" w:sz="0" w:space="0" w:color="auto"/>
            <w:right w:val="none" w:sz="0" w:space="0" w:color="auto"/>
          </w:divBdr>
          <w:divsChild>
            <w:div w:id="975798042">
              <w:marLeft w:val="0"/>
              <w:marRight w:val="0"/>
              <w:marTop w:val="0"/>
              <w:marBottom w:val="0"/>
              <w:divBdr>
                <w:top w:val="single" w:sz="6" w:space="0" w:color="4E4E5D"/>
                <w:left w:val="single" w:sz="6" w:space="0" w:color="4E4E5D"/>
                <w:bottom w:val="single" w:sz="6" w:space="0" w:color="4E4E5D"/>
                <w:right w:val="single" w:sz="6" w:space="0" w:color="4E4E5D"/>
              </w:divBdr>
            </w:div>
          </w:divsChild>
        </w:div>
        <w:div w:id="2090081906">
          <w:marLeft w:val="0"/>
          <w:marRight w:val="0"/>
          <w:marTop w:val="0"/>
          <w:marBottom w:val="0"/>
          <w:divBdr>
            <w:top w:val="none" w:sz="0" w:space="0" w:color="auto"/>
            <w:left w:val="none" w:sz="0" w:space="0" w:color="auto"/>
            <w:bottom w:val="none" w:sz="0" w:space="0" w:color="auto"/>
            <w:right w:val="none" w:sz="0" w:space="0" w:color="auto"/>
          </w:divBdr>
          <w:divsChild>
            <w:div w:id="503589116">
              <w:marLeft w:val="0"/>
              <w:marRight w:val="0"/>
              <w:marTop w:val="0"/>
              <w:marBottom w:val="0"/>
              <w:divBdr>
                <w:top w:val="none" w:sz="0" w:space="0" w:color="auto"/>
                <w:left w:val="none" w:sz="0" w:space="0" w:color="auto"/>
                <w:bottom w:val="none" w:sz="0" w:space="0" w:color="auto"/>
                <w:right w:val="none" w:sz="0" w:space="0" w:color="auto"/>
              </w:divBdr>
              <w:divsChild>
                <w:div w:id="522406581">
                  <w:marLeft w:val="0"/>
                  <w:marRight w:val="0"/>
                  <w:marTop w:val="0"/>
                  <w:marBottom w:val="0"/>
                  <w:divBdr>
                    <w:top w:val="none" w:sz="0" w:space="0" w:color="auto"/>
                    <w:left w:val="none" w:sz="0" w:space="0" w:color="auto"/>
                    <w:bottom w:val="none" w:sz="0" w:space="0" w:color="auto"/>
                    <w:right w:val="none" w:sz="0" w:space="0" w:color="auto"/>
                  </w:divBdr>
                  <w:divsChild>
                    <w:div w:id="1350907688">
                      <w:marLeft w:val="0"/>
                      <w:marRight w:val="0"/>
                      <w:marTop w:val="0"/>
                      <w:marBottom w:val="0"/>
                      <w:divBdr>
                        <w:top w:val="none" w:sz="0" w:space="0" w:color="auto"/>
                        <w:left w:val="none" w:sz="0" w:space="0" w:color="auto"/>
                        <w:bottom w:val="none" w:sz="0" w:space="0" w:color="auto"/>
                        <w:right w:val="none" w:sz="0" w:space="0" w:color="auto"/>
                      </w:divBdr>
                      <w:divsChild>
                        <w:div w:id="877397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251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177539">
      <w:bodyDiv w:val="1"/>
      <w:marLeft w:val="0"/>
      <w:marRight w:val="0"/>
      <w:marTop w:val="0"/>
      <w:marBottom w:val="0"/>
      <w:divBdr>
        <w:top w:val="none" w:sz="0" w:space="0" w:color="auto"/>
        <w:left w:val="none" w:sz="0" w:space="0" w:color="auto"/>
        <w:bottom w:val="none" w:sz="0" w:space="0" w:color="auto"/>
        <w:right w:val="none" w:sz="0" w:space="0" w:color="auto"/>
      </w:divBdr>
    </w:div>
    <w:div w:id="693533973">
      <w:bodyDiv w:val="1"/>
      <w:marLeft w:val="0"/>
      <w:marRight w:val="0"/>
      <w:marTop w:val="0"/>
      <w:marBottom w:val="0"/>
      <w:divBdr>
        <w:top w:val="none" w:sz="0" w:space="0" w:color="auto"/>
        <w:left w:val="none" w:sz="0" w:space="0" w:color="auto"/>
        <w:bottom w:val="none" w:sz="0" w:space="0" w:color="auto"/>
        <w:right w:val="none" w:sz="0" w:space="0" w:color="auto"/>
      </w:divBdr>
    </w:div>
    <w:div w:id="723602526">
      <w:bodyDiv w:val="1"/>
      <w:marLeft w:val="0"/>
      <w:marRight w:val="0"/>
      <w:marTop w:val="0"/>
      <w:marBottom w:val="0"/>
      <w:divBdr>
        <w:top w:val="none" w:sz="0" w:space="0" w:color="auto"/>
        <w:left w:val="none" w:sz="0" w:space="0" w:color="auto"/>
        <w:bottom w:val="none" w:sz="0" w:space="0" w:color="auto"/>
        <w:right w:val="none" w:sz="0" w:space="0" w:color="auto"/>
      </w:divBdr>
    </w:div>
    <w:div w:id="739257053">
      <w:bodyDiv w:val="1"/>
      <w:marLeft w:val="0"/>
      <w:marRight w:val="0"/>
      <w:marTop w:val="0"/>
      <w:marBottom w:val="0"/>
      <w:divBdr>
        <w:top w:val="none" w:sz="0" w:space="0" w:color="auto"/>
        <w:left w:val="none" w:sz="0" w:space="0" w:color="auto"/>
        <w:bottom w:val="none" w:sz="0" w:space="0" w:color="auto"/>
        <w:right w:val="none" w:sz="0" w:space="0" w:color="auto"/>
      </w:divBdr>
    </w:div>
    <w:div w:id="768309337">
      <w:bodyDiv w:val="1"/>
      <w:marLeft w:val="0"/>
      <w:marRight w:val="0"/>
      <w:marTop w:val="0"/>
      <w:marBottom w:val="0"/>
      <w:divBdr>
        <w:top w:val="none" w:sz="0" w:space="0" w:color="auto"/>
        <w:left w:val="none" w:sz="0" w:space="0" w:color="auto"/>
        <w:bottom w:val="none" w:sz="0" w:space="0" w:color="auto"/>
        <w:right w:val="none" w:sz="0" w:space="0" w:color="auto"/>
      </w:divBdr>
    </w:div>
    <w:div w:id="774131035">
      <w:bodyDiv w:val="1"/>
      <w:marLeft w:val="0"/>
      <w:marRight w:val="0"/>
      <w:marTop w:val="0"/>
      <w:marBottom w:val="0"/>
      <w:divBdr>
        <w:top w:val="none" w:sz="0" w:space="0" w:color="auto"/>
        <w:left w:val="none" w:sz="0" w:space="0" w:color="auto"/>
        <w:bottom w:val="none" w:sz="0" w:space="0" w:color="auto"/>
        <w:right w:val="none" w:sz="0" w:space="0" w:color="auto"/>
      </w:divBdr>
      <w:divsChild>
        <w:div w:id="983585332">
          <w:marLeft w:val="0"/>
          <w:marRight w:val="0"/>
          <w:marTop w:val="0"/>
          <w:marBottom w:val="0"/>
          <w:divBdr>
            <w:top w:val="none" w:sz="0" w:space="0" w:color="auto"/>
            <w:left w:val="none" w:sz="0" w:space="0" w:color="auto"/>
            <w:bottom w:val="none" w:sz="0" w:space="0" w:color="auto"/>
            <w:right w:val="none" w:sz="0" w:space="0" w:color="auto"/>
          </w:divBdr>
          <w:divsChild>
            <w:div w:id="1177381110">
              <w:marLeft w:val="0"/>
              <w:marRight w:val="0"/>
              <w:marTop w:val="0"/>
              <w:marBottom w:val="0"/>
              <w:divBdr>
                <w:top w:val="none" w:sz="0" w:space="0" w:color="auto"/>
                <w:left w:val="none" w:sz="0" w:space="0" w:color="auto"/>
                <w:bottom w:val="none" w:sz="0" w:space="0" w:color="auto"/>
                <w:right w:val="none" w:sz="0" w:space="0" w:color="auto"/>
              </w:divBdr>
              <w:divsChild>
                <w:div w:id="1662538790">
                  <w:marLeft w:val="0"/>
                  <w:marRight w:val="0"/>
                  <w:marTop w:val="0"/>
                  <w:marBottom w:val="0"/>
                  <w:divBdr>
                    <w:top w:val="none" w:sz="0" w:space="0" w:color="auto"/>
                    <w:left w:val="none" w:sz="0" w:space="0" w:color="auto"/>
                    <w:bottom w:val="none" w:sz="0" w:space="0" w:color="auto"/>
                    <w:right w:val="none" w:sz="0" w:space="0" w:color="auto"/>
                  </w:divBdr>
                  <w:divsChild>
                    <w:div w:id="1175656332">
                      <w:marLeft w:val="0"/>
                      <w:marRight w:val="0"/>
                      <w:marTop w:val="0"/>
                      <w:marBottom w:val="0"/>
                      <w:divBdr>
                        <w:top w:val="none" w:sz="0" w:space="0" w:color="auto"/>
                        <w:left w:val="none" w:sz="0" w:space="0" w:color="auto"/>
                        <w:bottom w:val="none" w:sz="0" w:space="0" w:color="auto"/>
                        <w:right w:val="none" w:sz="0" w:space="0" w:color="auto"/>
                      </w:divBdr>
                      <w:divsChild>
                        <w:div w:id="838617322">
                          <w:marLeft w:val="0"/>
                          <w:marRight w:val="0"/>
                          <w:marTop w:val="0"/>
                          <w:marBottom w:val="0"/>
                          <w:divBdr>
                            <w:top w:val="none" w:sz="0" w:space="0" w:color="auto"/>
                            <w:left w:val="none" w:sz="0" w:space="0" w:color="auto"/>
                            <w:bottom w:val="none" w:sz="0" w:space="0" w:color="auto"/>
                            <w:right w:val="none" w:sz="0" w:space="0" w:color="auto"/>
                          </w:divBdr>
                          <w:divsChild>
                            <w:div w:id="2129424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5446114">
      <w:bodyDiv w:val="1"/>
      <w:marLeft w:val="0"/>
      <w:marRight w:val="0"/>
      <w:marTop w:val="0"/>
      <w:marBottom w:val="0"/>
      <w:divBdr>
        <w:top w:val="none" w:sz="0" w:space="0" w:color="auto"/>
        <w:left w:val="none" w:sz="0" w:space="0" w:color="auto"/>
        <w:bottom w:val="none" w:sz="0" w:space="0" w:color="auto"/>
        <w:right w:val="none" w:sz="0" w:space="0" w:color="auto"/>
      </w:divBdr>
    </w:div>
    <w:div w:id="777217475">
      <w:bodyDiv w:val="1"/>
      <w:marLeft w:val="0"/>
      <w:marRight w:val="0"/>
      <w:marTop w:val="0"/>
      <w:marBottom w:val="0"/>
      <w:divBdr>
        <w:top w:val="none" w:sz="0" w:space="0" w:color="auto"/>
        <w:left w:val="none" w:sz="0" w:space="0" w:color="auto"/>
        <w:bottom w:val="none" w:sz="0" w:space="0" w:color="auto"/>
        <w:right w:val="none" w:sz="0" w:space="0" w:color="auto"/>
      </w:divBdr>
      <w:divsChild>
        <w:div w:id="513227751">
          <w:marLeft w:val="0"/>
          <w:marRight w:val="0"/>
          <w:marTop w:val="0"/>
          <w:marBottom w:val="0"/>
          <w:divBdr>
            <w:top w:val="none" w:sz="0" w:space="0" w:color="auto"/>
            <w:left w:val="none" w:sz="0" w:space="0" w:color="auto"/>
            <w:bottom w:val="none" w:sz="0" w:space="0" w:color="auto"/>
            <w:right w:val="none" w:sz="0" w:space="0" w:color="auto"/>
          </w:divBdr>
          <w:divsChild>
            <w:div w:id="764689680">
              <w:marLeft w:val="0"/>
              <w:marRight w:val="0"/>
              <w:marTop w:val="0"/>
              <w:marBottom w:val="0"/>
              <w:divBdr>
                <w:top w:val="none" w:sz="0" w:space="0" w:color="auto"/>
                <w:left w:val="none" w:sz="0" w:space="0" w:color="auto"/>
                <w:bottom w:val="none" w:sz="0" w:space="0" w:color="auto"/>
                <w:right w:val="none" w:sz="0" w:space="0" w:color="auto"/>
              </w:divBdr>
              <w:divsChild>
                <w:div w:id="953370400">
                  <w:marLeft w:val="0"/>
                  <w:marRight w:val="0"/>
                  <w:marTop w:val="0"/>
                  <w:marBottom w:val="0"/>
                  <w:divBdr>
                    <w:top w:val="none" w:sz="0" w:space="0" w:color="auto"/>
                    <w:left w:val="none" w:sz="0" w:space="0" w:color="auto"/>
                    <w:bottom w:val="none" w:sz="0" w:space="0" w:color="auto"/>
                    <w:right w:val="none" w:sz="0" w:space="0" w:color="auto"/>
                  </w:divBdr>
                  <w:divsChild>
                    <w:div w:id="187762797">
                      <w:marLeft w:val="0"/>
                      <w:marRight w:val="0"/>
                      <w:marTop w:val="0"/>
                      <w:marBottom w:val="0"/>
                      <w:divBdr>
                        <w:top w:val="none" w:sz="0" w:space="0" w:color="auto"/>
                        <w:left w:val="none" w:sz="0" w:space="0" w:color="auto"/>
                        <w:bottom w:val="none" w:sz="0" w:space="0" w:color="auto"/>
                        <w:right w:val="none" w:sz="0" w:space="0" w:color="auto"/>
                      </w:divBdr>
                      <w:divsChild>
                        <w:div w:id="1359309295">
                          <w:marLeft w:val="0"/>
                          <w:marRight w:val="0"/>
                          <w:marTop w:val="0"/>
                          <w:marBottom w:val="0"/>
                          <w:divBdr>
                            <w:top w:val="none" w:sz="0" w:space="0" w:color="auto"/>
                            <w:left w:val="none" w:sz="0" w:space="0" w:color="auto"/>
                            <w:bottom w:val="none" w:sz="0" w:space="0" w:color="auto"/>
                            <w:right w:val="none" w:sz="0" w:space="0" w:color="auto"/>
                          </w:divBdr>
                          <w:divsChild>
                            <w:div w:id="289286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8474049">
      <w:bodyDiv w:val="1"/>
      <w:marLeft w:val="0"/>
      <w:marRight w:val="0"/>
      <w:marTop w:val="0"/>
      <w:marBottom w:val="0"/>
      <w:divBdr>
        <w:top w:val="none" w:sz="0" w:space="0" w:color="auto"/>
        <w:left w:val="none" w:sz="0" w:space="0" w:color="auto"/>
        <w:bottom w:val="none" w:sz="0" w:space="0" w:color="auto"/>
        <w:right w:val="none" w:sz="0" w:space="0" w:color="auto"/>
      </w:divBdr>
    </w:div>
    <w:div w:id="799615956">
      <w:bodyDiv w:val="1"/>
      <w:marLeft w:val="0"/>
      <w:marRight w:val="0"/>
      <w:marTop w:val="0"/>
      <w:marBottom w:val="0"/>
      <w:divBdr>
        <w:top w:val="none" w:sz="0" w:space="0" w:color="auto"/>
        <w:left w:val="none" w:sz="0" w:space="0" w:color="auto"/>
        <w:bottom w:val="none" w:sz="0" w:space="0" w:color="auto"/>
        <w:right w:val="none" w:sz="0" w:space="0" w:color="auto"/>
      </w:divBdr>
    </w:div>
    <w:div w:id="801534031">
      <w:bodyDiv w:val="1"/>
      <w:marLeft w:val="0"/>
      <w:marRight w:val="0"/>
      <w:marTop w:val="0"/>
      <w:marBottom w:val="0"/>
      <w:divBdr>
        <w:top w:val="none" w:sz="0" w:space="0" w:color="auto"/>
        <w:left w:val="none" w:sz="0" w:space="0" w:color="auto"/>
        <w:bottom w:val="none" w:sz="0" w:space="0" w:color="auto"/>
        <w:right w:val="none" w:sz="0" w:space="0" w:color="auto"/>
      </w:divBdr>
      <w:divsChild>
        <w:div w:id="2099326196">
          <w:marLeft w:val="0"/>
          <w:marRight w:val="0"/>
          <w:marTop w:val="0"/>
          <w:marBottom w:val="0"/>
          <w:divBdr>
            <w:top w:val="none" w:sz="0" w:space="0" w:color="auto"/>
            <w:left w:val="none" w:sz="0" w:space="0" w:color="auto"/>
            <w:bottom w:val="none" w:sz="0" w:space="0" w:color="auto"/>
            <w:right w:val="none" w:sz="0" w:space="0" w:color="auto"/>
          </w:divBdr>
          <w:divsChild>
            <w:div w:id="632178042">
              <w:marLeft w:val="0"/>
              <w:marRight w:val="0"/>
              <w:marTop w:val="0"/>
              <w:marBottom w:val="0"/>
              <w:divBdr>
                <w:top w:val="none" w:sz="0" w:space="0" w:color="auto"/>
                <w:left w:val="none" w:sz="0" w:space="0" w:color="auto"/>
                <w:bottom w:val="none" w:sz="0" w:space="0" w:color="auto"/>
                <w:right w:val="none" w:sz="0" w:space="0" w:color="auto"/>
              </w:divBdr>
              <w:divsChild>
                <w:div w:id="2067413968">
                  <w:marLeft w:val="0"/>
                  <w:marRight w:val="0"/>
                  <w:marTop w:val="0"/>
                  <w:marBottom w:val="0"/>
                  <w:divBdr>
                    <w:top w:val="none" w:sz="0" w:space="0" w:color="auto"/>
                    <w:left w:val="none" w:sz="0" w:space="0" w:color="auto"/>
                    <w:bottom w:val="none" w:sz="0" w:space="0" w:color="auto"/>
                    <w:right w:val="none" w:sz="0" w:space="0" w:color="auto"/>
                  </w:divBdr>
                  <w:divsChild>
                    <w:div w:id="963267993">
                      <w:marLeft w:val="0"/>
                      <w:marRight w:val="0"/>
                      <w:marTop w:val="0"/>
                      <w:marBottom w:val="0"/>
                      <w:divBdr>
                        <w:top w:val="none" w:sz="0" w:space="0" w:color="auto"/>
                        <w:left w:val="none" w:sz="0" w:space="0" w:color="auto"/>
                        <w:bottom w:val="none" w:sz="0" w:space="0" w:color="auto"/>
                        <w:right w:val="none" w:sz="0" w:space="0" w:color="auto"/>
                      </w:divBdr>
                      <w:divsChild>
                        <w:div w:id="2091846458">
                          <w:marLeft w:val="0"/>
                          <w:marRight w:val="0"/>
                          <w:marTop w:val="0"/>
                          <w:marBottom w:val="0"/>
                          <w:divBdr>
                            <w:top w:val="none" w:sz="0" w:space="0" w:color="auto"/>
                            <w:left w:val="none" w:sz="0" w:space="0" w:color="auto"/>
                            <w:bottom w:val="none" w:sz="0" w:space="0" w:color="auto"/>
                            <w:right w:val="none" w:sz="0" w:space="0" w:color="auto"/>
                          </w:divBdr>
                          <w:divsChild>
                            <w:div w:id="1188254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7455986">
      <w:bodyDiv w:val="1"/>
      <w:marLeft w:val="0"/>
      <w:marRight w:val="0"/>
      <w:marTop w:val="0"/>
      <w:marBottom w:val="0"/>
      <w:divBdr>
        <w:top w:val="none" w:sz="0" w:space="0" w:color="auto"/>
        <w:left w:val="none" w:sz="0" w:space="0" w:color="auto"/>
        <w:bottom w:val="none" w:sz="0" w:space="0" w:color="auto"/>
        <w:right w:val="none" w:sz="0" w:space="0" w:color="auto"/>
      </w:divBdr>
    </w:div>
    <w:div w:id="817650719">
      <w:bodyDiv w:val="1"/>
      <w:marLeft w:val="0"/>
      <w:marRight w:val="0"/>
      <w:marTop w:val="0"/>
      <w:marBottom w:val="0"/>
      <w:divBdr>
        <w:top w:val="none" w:sz="0" w:space="0" w:color="auto"/>
        <w:left w:val="none" w:sz="0" w:space="0" w:color="auto"/>
        <w:bottom w:val="none" w:sz="0" w:space="0" w:color="auto"/>
        <w:right w:val="none" w:sz="0" w:space="0" w:color="auto"/>
      </w:divBdr>
    </w:div>
    <w:div w:id="849372830">
      <w:bodyDiv w:val="1"/>
      <w:marLeft w:val="0"/>
      <w:marRight w:val="0"/>
      <w:marTop w:val="0"/>
      <w:marBottom w:val="0"/>
      <w:divBdr>
        <w:top w:val="none" w:sz="0" w:space="0" w:color="auto"/>
        <w:left w:val="none" w:sz="0" w:space="0" w:color="auto"/>
        <w:bottom w:val="none" w:sz="0" w:space="0" w:color="auto"/>
        <w:right w:val="none" w:sz="0" w:space="0" w:color="auto"/>
      </w:divBdr>
    </w:div>
    <w:div w:id="857693646">
      <w:bodyDiv w:val="1"/>
      <w:marLeft w:val="0"/>
      <w:marRight w:val="0"/>
      <w:marTop w:val="0"/>
      <w:marBottom w:val="0"/>
      <w:divBdr>
        <w:top w:val="none" w:sz="0" w:space="0" w:color="auto"/>
        <w:left w:val="none" w:sz="0" w:space="0" w:color="auto"/>
        <w:bottom w:val="none" w:sz="0" w:space="0" w:color="auto"/>
        <w:right w:val="none" w:sz="0" w:space="0" w:color="auto"/>
      </w:divBdr>
    </w:div>
    <w:div w:id="874082402">
      <w:bodyDiv w:val="1"/>
      <w:marLeft w:val="0"/>
      <w:marRight w:val="0"/>
      <w:marTop w:val="0"/>
      <w:marBottom w:val="0"/>
      <w:divBdr>
        <w:top w:val="none" w:sz="0" w:space="0" w:color="auto"/>
        <w:left w:val="none" w:sz="0" w:space="0" w:color="auto"/>
        <w:bottom w:val="none" w:sz="0" w:space="0" w:color="auto"/>
        <w:right w:val="none" w:sz="0" w:space="0" w:color="auto"/>
      </w:divBdr>
    </w:div>
    <w:div w:id="875193845">
      <w:bodyDiv w:val="1"/>
      <w:marLeft w:val="0"/>
      <w:marRight w:val="0"/>
      <w:marTop w:val="0"/>
      <w:marBottom w:val="0"/>
      <w:divBdr>
        <w:top w:val="none" w:sz="0" w:space="0" w:color="auto"/>
        <w:left w:val="none" w:sz="0" w:space="0" w:color="auto"/>
        <w:bottom w:val="none" w:sz="0" w:space="0" w:color="auto"/>
        <w:right w:val="none" w:sz="0" w:space="0" w:color="auto"/>
      </w:divBdr>
    </w:div>
    <w:div w:id="917591886">
      <w:bodyDiv w:val="1"/>
      <w:marLeft w:val="0"/>
      <w:marRight w:val="0"/>
      <w:marTop w:val="0"/>
      <w:marBottom w:val="0"/>
      <w:divBdr>
        <w:top w:val="none" w:sz="0" w:space="0" w:color="auto"/>
        <w:left w:val="none" w:sz="0" w:space="0" w:color="auto"/>
        <w:bottom w:val="none" w:sz="0" w:space="0" w:color="auto"/>
        <w:right w:val="none" w:sz="0" w:space="0" w:color="auto"/>
      </w:divBdr>
      <w:divsChild>
        <w:div w:id="128786003">
          <w:marLeft w:val="0"/>
          <w:marRight w:val="0"/>
          <w:marTop w:val="0"/>
          <w:marBottom w:val="0"/>
          <w:divBdr>
            <w:top w:val="none" w:sz="0" w:space="0" w:color="auto"/>
            <w:left w:val="none" w:sz="0" w:space="0" w:color="auto"/>
            <w:bottom w:val="none" w:sz="0" w:space="0" w:color="auto"/>
            <w:right w:val="none" w:sz="0" w:space="0" w:color="auto"/>
          </w:divBdr>
          <w:divsChild>
            <w:div w:id="1348364045">
              <w:marLeft w:val="0"/>
              <w:marRight w:val="0"/>
              <w:marTop w:val="0"/>
              <w:marBottom w:val="0"/>
              <w:divBdr>
                <w:top w:val="none" w:sz="0" w:space="0" w:color="auto"/>
                <w:left w:val="none" w:sz="0" w:space="0" w:color="auto"/>
                <w:bottom w:val="none" w:sz="0" w:space="0" w:color="auto"/>
                <w:right w:val="none" w:sz="0" w:space="0" w:color="auto"/>
              </w:divBdr>
            </w:div>
            <w:div w:id="1505050634">
              <w:marLeft w:val="0"/>
              <w:marRight w:val="0"/>
              <w:marTop w:val="0"/>
              <w:marBottom w:val="0"/>
              <w:divBdr>
                <w:top w:val="none" w:sz="0" w:space="0" w:color="auto"/>
                <w:left w:val="none" w:sz="0" w:space="0" w:color="auto"/>
                <w:bottom w:val="none" w:sz="0" w:space="0" w:color="auto"/>
                <w:right w:val="none" w:sz="0" w:space="0" w:color="auto"/>
              </w:divBdr>
              <w:divsChild>
                <w:div w:id="520902217">
                  <w:marLeft w:val="0"/>
                  <w:marRight w:val="0"/>
                  <w:marTop w:val="0"/>
                  <w:marBottom w:val="0"/>
                  <w:divBdr>
                    <w:top w:val="none" w:sz="0" w:space="0" w:color="auto"/>
                    <w:left w:val="none" w:sz="0" w:space="0" w:color="auto"/>
                    <w:bottom w:val="none" w:sz="0" w:space="0" w:color="auto"/>
                    <w:right w:val="none" w:sz="0" w:space="0" w:color="auto"/>
                  </w:divBdr>
                  <w:divsChild>
                    <w:div w:id="889997298">
                      <w:marLeft w:val="0"/>
                      <w:marRight w:val="0"/>
                      <w:marTop w:val="0"/>
                      <w:marBottom w:val="0"/>
                      <w:divBdr>
                        <w:top w:val="none" w:sz="0" w:space="0" w:color="auto"/>
                        <w:left w:val="none" w:sz="0" w:space="0" w:color="auto"/>
                        <w:bottom w:val="none" w:sz="0" w:space="0" w:color="auto"/>
                        <w:right w:val="none" w:sz="0" w:space="0" w:color="auto"/>
                      </w:divBdr>
                      <w:divsChild>
                        <w:div w:id="96223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1252950">
          <w:marLeft w:val="0"/>
          <w:marRight w:val="0"/>
          <w:marTop w:val="0"/>
          <w:marBottom w:val="0"/>
          <w:divBdr>
            <w:top w:val="none" w:sz="0" w:space="0" w:color="auto"/>
            <w:left w:val="none" w:sz="0" w:space="0" w:color="auto"/>
            <w:bottom w:val="none" w:sz="0" w:space="0" w:color="auto"/>
            <w:right w:val="none" w:sz="0" w:space="0" w:color="auto"/>
          </w:divBdr>
          <w:divsChild>
            <w:div w:id="736128515">
              <w:marLeft w:val="0"/>
              <w:marRight w:val="0"/>
              <w:marTop w:val="0"/>
              <w:marBottom w:val="0"/>
              <w:divBdr>
                <w:top w:val="single" w:sz="6" w:space="0" w:color="4E4E5D"/>
                <w:left w:val="single" w:sz="6" w:space="0" w:color="4E4E5D"/>
                <w:bottom w:val="single" w:sz="6" w:space="0" w:color="4E4E5D"/>
                <w:right w:val="single" w:sz="6" w:space="0" w:color="4E4E5D"/>
              </w:divBdr>
            </w:div>
          </w:divsChild>
        </w:div>
      </w:divsChild>
    </w:div>
    <w:div w:id="938416938">
      <w:bodyDiv w:val="1"/>
      <w:marLeft w:val="0"/>
      <w:marRight w:val="0"/>
      <w:marTop w:val="0"/>
      <w:marBottom w:val="0"/>
      <w:divBdr>
        <w:top w:val="none" w:sz="0" w:space="0" w:color="auto"/>
        <w:left w:val="none" w:sz="0" w:space="0" w:color="auto"/>
        <w:bottom w:val="none" w:sz="0" w:space="0" w:color="auto"/>
        <w:right w:val="none" w:sz="0" w:space="0" w:color="auto"/>
      </w:divBdr>
    </w:div>
    <w:div w:id="949355276">
      <w:bodyDiv w:val="1"/>
      <w:marLeft w:val="0"/>
      <w:marRight w:val="0"/>
      <w:marTop w:val="0"/>
      <w:marBottom w:val="0"/>
      <w:divBdr>
        <w:top w:val="none" w:sz="0" w:space="0" w:color="auto"/>
        <w:left w:val="none" w:sz="0" w:space="0" w:color="auto"/>
        <w:bottom w:val="none" w:sz="0" w:space="0" w:color="auto"/>
        <w:right w:val="none" w:sz="0" w:space="0" w:color="auto"/>
      </w:divBdr>
    </w:div>
    <w:div w:id="953832513">
      <w:bodyDiv w:val="1"/>
      <w:marLeft w:val="0"/>
      <w:marRight w:val="0"/>
      <w:marTop w:val="0"/>
      <w:marBottom w:val="0"/>
      <w:divBdr>
        <w:top w:val="none" w:sz="0" w:space="0" w:color="auto"/>
        <w:left w:val="none" w:sz="0" w:space="0" w:color="auto"/>
        <w:bottom w:val="none" w:sz="0" w:space="0" w:color="auto"/>
        <w:right w:val="none" w:sz="0" w:space="0" w:color="auto"/>
      </w:divBdr>
      <w:divsChild>
        <w:div w:id="1021012894">
          <w:marLeft w:val="0"/>
          <w:marRight w:val="0"/>
          <w:marTop w:val="0"/>
          <w:marBottom w:val="0"/>
          <w:divBdr>
            <w:top w:val="none" w:sz="0" w:space="0" w:color="auto"/>
            <w:left w:val="none" w:sz="0" w:space="0" w:color="auto"/>
            <w:bottom w:val="none" w:sz="0" w:space="0" w:color="auto"/>
            <w:right w:val="none" w:sz="0" w:space="0" w:color="auto"/>
          </w:divBdr>
          <w:divsChild>
            <w:div w:id="1846478847">
              <w:marLeft w:val="0"/>
              <w:marRight w:val="0"/>
              <w:marTop w:val="0"/>
              <w:marBottom w:val="0"/>
              <w:divBdr>
                <w:top w:val="none" w:sz="0" w:space="0" w:color="auto"/>
                <w:left w:val="none" w:sz="0" w:space="0" w:color="auto"/>
                <w:bottom w:val="none" w:sz="0" w:space="0" w:color="auto"/>
                <w:right w:val="none" w:sz="0" w:space="0" w:color="auto"/>
              </w:divBdr>
              <w:divsChild>
                <w:div w:id="239172202">
                  <w:marLeft w:val="0"/>
                  <w:marRight w:val="0"/>
                  <w:marTop w:val="0"/>
                  <w:marBottom w:val="0"/>
                  <w:divBdr>
                    <w:top w:val="none" w:sz="0" w:space="0" w:color="auto"/>
                    <w:left w:val="none" w:sz="0" w:space="0" w:color="auto"/>
                    <w:bottom w:val="none" w:sz="0" w:space="0" w:color="auto"/>
                    <w:right w:val="none" w:sz="0" w:space="0" w:color="auto"/>
                  </w:divBdr>
                  <w:divsChild>
                    <w:div w:id="560672228">
                      <w:marLeft w:val="0"/>
                      <w:marRight w:val="0"/>
                      <w:marTop w:val="0"/>
                      <w:marBottom w:val="0"/>
                      <w:divBdr>
                        <w:top w:val="none" w:sz="0" w:space="0" w:color="auto"/>
                        <w:left w:val="none" w:sz="0" w:space="0" w:color="auto"/>
                        <w:bottom w:val="none" w:sz="0" w:space="0" w:color="auto"/>
                        <w:right w:val="none" w:sz="0" w:space="0" w:color="auto"/>
                      </w:divBdr>
                      <w:divsChild>
                        <w:div w:id="1596672920">
                          <w:marLeft w:val="0"/>
                          <w:marRight w:val="0"/>
                          <w:marTop w:val="0"/>
                          <w:marBottom w:val="0"/>
                          <w:divBdr>
                            <w:top w:val="none" w:sz="0" w:space="0" w:color="auto"/>
                            <w:left w:val="none" w:sz="0" w:space="0" w:color="auto"/>
                            <w:bottom w:val="none" w:sz="0" w:space="0" w:color="auto"/>
                            <w:right w:val="none" w:sz="0" w:space="0" w:color="auto"/>
                          </w:divBdr>
                          <w:divsChild>
                            <w:div w:id="5855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9091735">
      <w:bodyDiv w:val="1"/>
      <w:marLeft w:val="0"/>
      <w:marRight w:val="0"/>
      <w:marTop w:val="0"/>
      <w:marBottom w:val="0"/>
      <w:divBdr>
        <w:top w:val="none" w:sz="0" w:space="0" w:color="auto"/>
        <w:left w:val="none" w:sz="0" w:space="0" w:color="auto"/>
        <w:bottom w:val="none" w:sz="0" w:space="0" w:color="auto"/>
        <w:right w:val="none" w:sz="0" w:space="0" w:color="auto"/>
      </w:divBdr>
    </w:div>
    <w:div w:id="1002701736">
      <w:bodyDiv w:val="1"/>
      <w:marLeft w:val="0"/>
      <w:marRight w:val="0"/>
      <w:marTop w:val="0"/>
      <w:marBottom w:val="0"/>
      <w:divBdr>
        <w:top w:val="none" w:sz="0" w:space="0" w:color="auto"/>
        <w:left w:val="none" w:sz="0" w:space="0" w:color="auto"/>
        <w:bottom w:val="none" w:sz="0" w:space="0" w:color="auto"/>
        <w:right w:val="none" w:sz="0" w:space="0" w:color="auto"/>
      </w:divBdr>
    </w:div>
    <w:div w:id="1006438882">
      <w:bodyDiv w:val="1"/>
      <w:marLeft w:val="0"/>
      <w:marRight w:val="0"/>
      <w:marTop w:val="0"/>
      <w:marBottom w:val="0"/>
      <w:divBdr>
        <w:top w:val="none" w:sz="0" w:space="0" w:color="auto"/>
        <w:left w:val="none" w:sz="0" w:space="0" w:color="auto"/>
        <w:bottom w:val="none" w:sz="0" w:space="0" w:color="auto"/>
        <w:right w:val="none" w:sz="0" w:space="0" w:color="auto"/>
      </w:divBdr>
    </w:div>
    <w:div w:id="1020277096">
      <w:bodyDiv w:val="1"/>
      <w:marLeft w:val="0"/>
      <w:marRight w:val="0"/>
      <w:marTop w:val="0"/>
      <w:marBottom w:val="0"/>
      <w:divBdr>
        <w:top w:val="none" w:sz="0" w:space="0" w:color="auto"/>
        <w:left w:val="none" w:sz="0" w:space="0" w:color="auto"/>
        <w:bottom w:val="none" w:sz="0" w:space="0" w:color="auto"/>
        <w:right w:val="none" w:sz="0" w:space="0" w:color="auto"/>
      </w:divBdr>
    </w:div>
    <w:div w:id="1021081199">
      <w:bodyDiv w:val="1"/>
      <w:marLeft w:val="0"/>
      <w:marRight w:val="0"/>
      <w:marTop w:val="0"/>
      <w:marBottom w:val="0"/>
      <w:divBdr>
        <w:top w:val="none" w:sz="0" w:space="0" w:color="auto"/>
        <w:left w:val="none" w:sz="0" w:space="0" w:color="auto"/>
        <w:bottom w:val="none" w:sz="0" w:space="0" w:color="auto"/>
        <w:right w:val="none" w:sz="0" w:space="0" w:color="auto"/>
      </w:divBdr>
      <w:divsChild>
        <w:div w:id="1457408180">
          <w:marLeft w:val="0"/>
          <w:marRight w:val="0"/>
          <w:marTop w:val="0"/>
          <w:marBottom w:val="0"/>
          <w:divBdr>
            <w:top w:val="none" w:sz="0" w:space="0" w:color="auto"/>
            <w:left w:val="none" w:sz="0" w:space="0" w:color="auto"/>
            <w:bottom w:val="none" w:sz="0" w:space="0" w:color="auto"/>
            <w:right w:val="none" w:sz="0" w:space="0" w:color="auto"/>
          </w:divBdr>
          <w:divsChild>
            <w:div w:id="545213995">
              <w:marLeft w:val="0"/>
              <w:marRight w:val="0"/>
              <w:marTop w:val="0"/>
              <w:marBottom w:val="0"/>
              <w:divBdr>
                <w:top w:val="none" w:sz="0" w:space="0" w:color="auto"/>
                <w:left w:val="none" w:sz="0" w:space="0" w:color="auto"/>
                <w:bottom w:val="none" w:sz="0" w:space="0" w:color="auto"/>
                <w:right w:val="none" w:sz="0" w:space="0" w:color="auto"/>
              </w:divBdr>
              <w:divsChild>
                <w:div w:id="426273774">
                  <w:marLeft w:val="0"/>
                  <w:marRight w:val="0"/>
                  <w:marTop w:val="0"/>
                  <w:marBottom w:val="0"/>
                  <w:divBdr>
                    <w:top w:val="none" w:sz="0" w:space="0" w:color="auto"/>
                    <w:left w:val="none" w:sz="0" w:space="0" w:color="auto"/>
                    <w:bottom w:val="none" w:sz="0" w:space="0" w:color="auto"/>
                    <w:right w:val="none" w:sz="0" w:space="0" w:color="auto"/>
                  </w:divBdr>
                  <w:divsChild>
                    <w:div w:id="1484079069">
                      <w:marLeft w:val="0"/>
                      <w:marRight w:val="0"/>
                      <w:marTop w:val="0"/>
                      <w:marBottom w:val="0"/>
                      <w:divBdr>
                        <w:top w:val="none" w:sz="0" w:space="0" w:color="auto"/>
                        <w:left w:val="none" w:sz="0" w:space="0" w:color="auto"/>
                        <w:bottom w:val="none" w:sz="0" w:space="0" w:color="auto"/>
                        <w:right w:val="none" w:sz="0" w:space="0" w:color="auto"/>
                      </w:divBdr>
                      <w:divsChild>
                        <w:div w:id="1875922034">
                          <w:marLeft w:val="0"/>
                          <w:marRight w:val="0"/>
                          <w:marTop w:val="0"/>
                          <w:marBottom w:val="0"/>
                          <w:divBdr>
                            <w:top w:val="none" w:sz="0" w:space="0" w:color="auto"/>
                            <w:left w:val="none" w:sz="0" w:space="0" w:color="auto"/>
                            <w:bottom w:val="none" w:sz="0" w:space="0" w:color="auto"/>
                            <w:right w:val="none" w:sz="0" w:space="0" w:color="auto"/>
                          </w:divBdr>
                          <w:divsChild>
                            <w:div w:id="112191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6731512">
      <w:bodyDiv w:val="1"/>
      <w:marLeft w:val="0"/>
      <w:marRight w:val="0"/>
      <w:marTop w:val="0"/>
      <w:marBottom w:val="0"/>
      <w:divBdr>
        <w:top w:val="none" w:sz="0" w:space="0" w:color="auto"/>
        <w:left w:val="none" w:sz="0" w:space="0" w:color="auto"/>
        <w:bottom w:val="none" w:sz="0" w:space="0" w:color="auto"/>
        <w:right w:val="none" w:sz="0" w:space="0" w:color="auto"/>
      </w:divBdr>
    </w:div>
    <w:div w:id="1071807502">
      <w:bodyDiv w:val="1"/>
      <w:marLeft w:val="0"/>
      <w:marRight w:val="0"/>
      <w:marTop w:val="0"/>
      <w:marBottom w:val="0"/>
      <w:divBdr>
        <w:top w:val="none" w:sz="0" w:space="0" w:color="auto"/>
        <w:left w:val="none" w:sz="0" w:space="0" w:color="auto"/>
        <w:bottom w:val="none" w:sz="0" w:space="0" w:color="auto"/>
        <w:right w:val="none" w:sz="0" w:space="0" w:color="auto"/>
      </w:divBdr>
    </w:div>
    <w:div w:id="1079865396">
      <w:bodyDiv w:val="1"/>
      <w:marLeft w:val="0"/>
      <w:marRight w:val="0"/>
      <w:marTop w:val="0"/>
      <w:marBottom w:val="0"/>
      <w:divBdr>
        <w:top w:val="none" w:sz="0" w:space="0" w:color="auto"/>
        <w:left w:val="none" w:sz="0" w:space="0" w:color="auto"/>
        <w:bottom w:val="none" w:sz="0" w:space="0" w:color="auto"/>
        <w:right w:val="none" w:sz="0" w:space="0" w:color="auto"/>
      </w:divBdr>
    </w:div>
    <w:div w:id="1137455732">
      <w:bodyDiv w:val="1"/>
      <w:marLeft w:val="0"/>
      <w:marRight w:val="0"/>
      <w:marTop w:val="0"/>
      <w:marBottom w:val="0"/>
      <w:divBdr>
        <w:top w:val="none" w:sz="0" w:space="0" w:color="auto"/>
        <w:left w:val="none" w:sz="0" w:space="0" w:color="auto"/>
        <w:bottom w:val="none" w:sz="0" w:space="0" w:color="auto"/>
        <w:right w:val="none" w:sz="0" w:space="0" w:color="auto"/>
      </w:divBdr>
    </w:div>
    <w:div w:id="1174144331">
      <w:bodyDiv w:val="1"/>
      <w:marLeft w:val="0"/>
      <w:marRight w:val="0"/>
      <w:marTop w:val="0"/>
      <w:marBottom w:val="0"/>
      <w:divBdr>
        <w:top w:val="none" w:sz="0" w:space="0" w:color="auto"/>
        <w:left w:val="none" w:sz="0" w:space="0" w:color="auto"/>
        <w:bottom w:val="none" w:sz="0" w:space="0" w:color="auto"/>
        <w:right w:val="none" w:sz="0" w:space="0" w:color="auto"/>
      </w:divBdr>
    </w:div>
    <w:div w:id="1204562586">
      <w:bodyDiv w:val="1"/>
      <w:marLeft w:val="0"/>
      <w:marRight w:val="0"/>
      <w:marTop w:val="0"/>
      <w:marBottom w:val="0"/>
      <w:divBdr>
        <w:top w:val="none" w:sz="0" w:space="0" w:color="auto"/>
        <w:left w:val="none" w:sz="0" w:space="0" w:color="auto"/>
        <w:bottom w:val="none" w:sz="0" w:space="0" w:color="auto"/>
        <w:right w:val="none" w:sz="0" w:space="0" w:color="auto"/>
      </w:divBdr>
    </w:div>
    <w:div w:id="1205290540">
      <w:bodyDiv w:val="1"/>
      <w:marLeft w:val="0"/>
      <w:marRight w:val="0"/>
      <w:marTop w:val="0"/>
      <w:marBottom w:val="0"/>
      <w:divBdr>
        <w:top w:val="none" w:sz="0" w:space="0" w:color="auto"/>
        <w:left w:val="none" w:sz="0" w:space="0" w:color="auto"/>
        <w:bottom w:val="none" w:sz="0" w:space="0" w:color="auto"/>
        <w:right w:val="none" w:sz="0" w:space="0" w:color="auto"/>
      </w:divBdr>
    </w:div>
    <w:div w:id="1222325417">
      <w:bodyDiv w:val="1"/>
      <w:marLeft w:val="0"/>
      <w:marRight w:val="0"/>
      <w:marTop w:val="0"/>
      <w:marBottom w:val="0"/>
      <w:divBdr>
        <w:top w:val="none" w:sz="0" w:space="0" w:color="auto"/>
        <w:left w:val="none" w:sz="0" w:space="0" w:color="auto"/>
        <w:bottom w:val="none" w:sz="0" w:space="0" w:color="auto"/>
        <w:right w:val="none" w:sz="0" w:space="0" w:color="auto"/>
      </w:divBdr>
    </w:div>
    <w:div w:id="1226909722">
      <w:bodyDiv w:val="1"/>
      <w:marLeft w:val="0"/>
      <w:marRight w:val="0"/>
      <w:marTop w:val="0"/>
      <w:marBottom w:val="0"/>
      <w:divBdr>
        <w:top w:val="none" w:sz="0" w:space="0" w:color="auto"/>
        <w:left w:val="none" w:sz="0" w:space="0" w:color="auto"/>
        <w:bottom w:val="none" w:sz="0" w:space="0" w:color="auto"/>
        <w:right w:val="none" w:sz="0" w:space="0" w:color="auto"/>
      </w:divBdr>
    </w:div>
    <w:div w:id="1267159057">
      <w:bodyDiv w:val="1"/>
      <w:marLeft w:val="0"/>
      <w:marRight w:val="0"/>
      <w:marTop w:val="0"/>
      <w:marBottom w:val="0"/>
      <w:divBdr>
        <w:top w:val="none" w:sz="0" w:space="0" w:color="auto"/>
        <w:left w:val="none" w:sz="0" w:space="0" w:color="auto"/>
        <w:bottom w:val="none" w:sz="0" w:space="0" w:color="auto"/>
        <w:right w:val="none" w:sz="0" w:space="0" w:color="auto"/>
      </w:divBdr>
    </w:div>
    <w:div w:id="1276523107">
      <w:bodyDiv w:val="1"/>
      <w:marLeft w:val="0"/>
      <w:marRight w:val="0"/>
      <w:marTop w:val="0"/>
      <w:marBottom w:val="0"/>
      <w:divBdr>
        <w:top w:val="none" w:sz="0" w:space="0" w:color="auto"/>
        <w:left w:val="none" w:sz="0" w:space="0" w:color="auto"/>
        <w:bottom w:val="none" w:sz="0" w:space="0" w:color="auto"/>
        <w:right w:val="none" w:sz="0" w:space="0" w:color="auto"/>
      </w:divBdr>
      <w:divsChild>
        <w:div w:id="886406782">
          <w:marLeft w:val="0"/>
          <w:marRight w:val="0"/>
          <w:marTop w:val="0"/>
          <w:marBottom w:val="0"/>
          <w:divBdr>
            <w:top w:val="none" w:sz="0" w:space="0" w:color="auto"/>
            <w:left w:val="none" w:sz="0" w:space="0" w:color="auto"/>
            <w:bottom w:val="none" w:sz="0" w:space="0" w:color="auto"/>
            <w:right w:val="none" w:sz="0" w:space="0" w:color="auto"/>
          </w:divBdr>
          <w:divsChild>
            <w:div w:id="1887141785">
              <w:marLeft w:val="0"/>
              <w:marRight w:val="0"/>
              <w:marTop w:val="0"/>
              <w:marBottom w:val="0"/>
              <w:divBdr>
                <w:top w:val="none" w:sz="0" w:space="0" w:color="auto"/>
                <w:left w:val="none" w:sz="0" w:space="0" w:color="auto"/>
                <w:bottom w:val="none" w:sz="0" w:space="0" w:color="auto"/>
                <w:right w:val="none" w:sz="0" w:space="0" w:color="auto"/>
              </w:divBdr>
              <w:divsChild>
                <w:div w:id="1553076528">
                  <w:marLeft w:val="0"/>
                  <w:marRight w:val="0"/>
                  <w:marTop w:val="0"/>
                  <w:marBottom w:val="0"/>
                  <w:divBdr>
                    <w:top w:val="none" w:sz="0" w:space="0" w:color="auto"/>
                    <w:left w:val="none" w:sz="0" w:space="0" w:color="auto"/>
                    <w:bottom w:val="none" w:sz="0" w:space="0" w:color="auto"/>
                    <w:right w:val="none" w:sz="0" w:space="0" w:color="auto"/>
                  </w:divBdr>
                  <w:divsChild>
                    <w:div w:id="208498828">
                      <w:marLeft w:val="0"/>
                      <w:marRight w:val="0"/>
                      <w:marTop w:val="0"/>
                      <w:marBottom w:val="0"/>
                      <w:divBdr>
                        <w:top w:val="none" w:sz="0" w:space="0" w:color="auto"/>
                        <w:left w:val="none" w:sz="0" w:space="0" w:color="auto"/>
                        <w:bottom w:val="none" w:sz="0" w:space="0" w:color="auto"/>
                        <w:right w:val="none" w:sz="0" w:space="0" w:color="auto"/>
                      </w:divBdr>
                      <w:divsChild>
                        <w:div w:id="1181823070">
                          <w:marLeft w:val="0"/>
                          <w:marRight w:val="0"/>
                          <w:marTop w:val="0"/>
                          <w:marBottom w:val="0"/>
                          <w:divBdr>
                            <w:top w:val="none" w:sz="0" w:space="0" w:color="auto"/>
                            <w:left w:val="none" w:sz="0" w:space="0" w:color="auto"/>
                            <w:bottom w:val="none" w:sz="0" w:space="0" w:color="auto"/>
                            <w:right w:val="none" w:sz="0" w:space="0" w:color="auto"/>
                          </w:divBdr>
                          <w:divsChild>
                            <w:div w:id="191307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8218705">
      <w:bodyDiv w:val="1"/>
      <w:marLeft w:val="0"/>
      <w:marRight w:val="0"/>
      <w:marTop w:val="0"/>
      <w:marBottom w:val="0"/>
      <w:divBdr>
        <w:top w:val="none" w:sz="0" w:space="0" w:color="auto"/>
        <w:left w:val="none" w:sz="0" w:space="0" w:color="auto"/>
        <w:bottom w:val="none" w:sz="0" w:space="0" w:color="auto"/>
        <w:right w:val="none" w:sz="0" w:space="0" w:color="auto"/>
      </w:divBdr>
    </w:div>
    <w:div w:id="1305816864">
      <w:bodyDiv w:val="1"/>
      <w:marLeft w:val="0"/>
      <w:marRight w:val="0"/>
      <w:marTop w:val="0"/>
      <w:marBottom w:val="0"/>
      <w:divBdr>
        <w:top w:val="none" w:sz="0" w:space="0" w:color="auto"/>
        <w:left w:val="none" w:sz="0" w:space="0" w:color="auto"/>
        <w:bottom w:val="none" w:sz="0" w:space="0" w:color="auto"/>
        <w:right w:val="none" w:sz="0" w:space="0" w:color="auto"/>
      </w:divBdr>
    </w:div>
    <w:div w:id="1323581935">
      <w:bodyDiv w:val="1"/>
      <w:marLeft w:val="0"/>
      <w:marRight w:val="0"/>
      <w:marTop w:val="0"/>
      <w:marBottom w:val="0"/>
      <w:divBdr>
        <w:top w:val="none" w:sz="0" w:space="0" w:color="auto"/>
        <w:left w:val="none" w:sz="0" w:space="0" w:color="auto"/>
        <w:bottom w:val="none" w:sz="0" w:space="0" w:color="auto"/>
        <w:right w:val="none" w:sz="0" w:space="0" w:color="auto"/>
      </w:divBdr>
    </w:div>
    <w:div w:id="1354452662">
      <w:bodyDiv w:val="1"/>
      <w:marLeft w:val="0"/>
      <w:marRight w:val="0"/>
      <w:marTop w:val="0"/>
      <w:marBottom w:val="0"/>
      <w:divBdr>
        <w:top w:val="none" w:sz="0" w:space="0" w:color="auto"/>
        <w:left w:val="none" w:sz="0" w:space="0" w:color="auto"/>
        <w:bottom w:val="none" w:sz="0" w:space="0" w:color="auto"/>
        <w:right w:val="none" w:sz="0" w:space="0" w:color="auto"/>
      </w:divBdr>
    </w:div>
    <w:div w:id="1380393693">
      <w:bodyDiv w:val="1"/>
      <w:marLeft w:val="0"/>
      <w:marRight w:val="0"/>
      <w:marTop w:val="0"/>
      <w:marBottom w:val="0"/>
      <w:divBdr>
        <w:top w:val="none" w:sz="0" w:space="0" w:color="auto"/>
        <w:left w:val="none" w:sz="0" w:space="0" w:color="auto"/>
        <w:bottom w:val="none" w:sz="0" w:space="0" w:color="auto"/>
        <w:right w:val="none" w:sz="0" w:space="0" w:color="auto"/>
      </w:divBdr>
    </w:div>
    <w:div w:id="1382747962">
      <w:bodyDiv w:val="1"/>
      <w:marLeft w:val="0"/>
      <w:marRight w:val="0"/>
      <w:marTop w:val="0"/>
      <w:marBottom w:val="0"/>
      <w:divBdr>
        <w:top w:val="none" w:sz="0" w:space="0" w:color="auto"/>
        <w:left w:val="none" w:sz="0" w:space="0" w:color="auto"/>
        <w:bottom w:val="none" w:sz="0" w:space="0" w:color="auto"/>
        <w:right w:val="none" w:sz="0" w:space="0" w:color="auto"/>
      </w:divBdr>
    </w:div>
    <w:div w:id="1396977945">
      <w:bodyDiv w:val="1"/>
      <w:marLeft w:val="0"/>
      <w:marRight w:val="0"/>
      <w:marTop w:val="0"/>
      <w:marBottom w:val="0"/>
      <w:divBdr>
        <w:top w:val="none" w:sz="0" w:space="0" w:color="auto"/>
        <w:left w:val="none" w:sz="0" w:space="0" w:color="auto"/>
        <w:bottom w:val="none" w:sz="0" w:space="0" w:color="auto"/>
        <w:right w:val="none" w:sz="0" w:space="0" w:color="auto"/>
      </w:divBdr>
      <w:divsChild>
        <w:div w:id="1004747639">
          <w:marLeft w:val="0"/>
          <w:marRight w:val="0"/>
          <w:marTop w:val="0"/>
          <w:marBottom w:val="0"/>
          <w:divBdr>
            <w:top w:val="none" w:sz="0" w:space="0" w:color="auto"/>
            <w:left w:val="none" w:sz="0" w:space="0" w:color="auto"/>
            <w:bottom w:val="none" w:sz="0" w:space="0" w:color="auto"/>
            <w:right w:val="none" w:sz="0" w:space="0" w:color="auto"/>
          </w:divBdr>
          <w:divsChild>
            <w:div w:id="1873834033">
              <w:marLeft w:val="0"/>
              <w:marRight w:val="0"/>
              <w:marTop w:val="0"/>
              <w:marBottom w:val="0"/>
              <w:divBdr>
                <w:top w:val="none" w:sz="0" w:space="0" w:color="auto"/>
                <w:left w:val="none" w:sz="0" w:space="0" w:color="auto"/>
                <w:bottom w:val="none" w:sz="0" w:space="0" w:color="auto"/>
                <w:right w:val="none" w:sz="0" w:space="0" w:color="auto"/>
              </w:divBdr>
              <w:divsChild>
                <w:div w:id="979268202">
                  <w:marLeft w:val="0"/>
                  <w:marRight w:val="0"/>
                  <w:marTop w:val="0"/>
                  <w:marBottom w:val="0"/>
                  <w:divBdr>
                    <w:top w:val="none" w:sz="0" w:space="0" w:color="auto"/>
                    <w:left w:val="none" w:sz="0" w:space="0" w:color="auto"/>
                    <w:bottom w:val="none" w:sz="0" w:space="0" w:color="auto"/>
                    <w:right w:val="none" w:sz="0" w:space="0" w:color="auto"/>
                  </w:divBdr>
                  <w:divsChild>
                    <w:div w:id="321199428">
                      <w:marLeft w:val="0"/>
                      <w:marRight w:val="0"/>
                      <w:marTop w:val="0"/>
                      <w:marBottom w:val="0"/>
                      <w:divBdr>
                        <w:top w:val="none" w:sz="0" w:space="0" w:color="auto"/>
                        <w:left w:val="none" w:sz="0" w:space="0" w:color="auto"/>
                        <w:bottom w:val="none" w:sz="0" w:space="0" w:color="auto"/>
                        <w:right w:val="none" w:sz="0" w:space="0" w:color="auto"/>
                      </w:divBdr>
                      <w:divsChild>
                        <w:div w:id="543760667">
                          <w:marLeft w:val="0"/>
                          <w:marRight w:val="0"/>
                          <w:marTop w:val="0"/>
                          <w:marBottom w:val="0"/>
                          <w:divBdr>
                            <w:top w:val="none" w:sz="0" w:space="0" w:color="auto"/>
                            <w:left w:val="none" w:sz="0" w:space="0" w:color="auto"/>
                            <w:bottom w:val="none" w:sz="0" w:space="0" w:color="auto"/>
                            <w:right w:val="none" w:sz="0" w:space="0" w:color="auto"/>
                          </w:divBdr>
                          <w:divsChild>
                            <w:div w:id="200543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6367732">
      <w:bodyDiv w:val="1"/>
      <w:marLeft w:val="0"/>
      <w:marRight w:val="0"/>
      <w:marTop w:val="0"/>
      <w:marBottom w:val="0"/>
      <w:divBdr>
        <w:top w:val="none" w:sz="0" w:space="0" w:color="auto"/>
        <w:left w:val="none" w:sz="0" w:space="0" w:color="auto"/>
        <w:bottom w:val="none" w:sz="0" w:space="0" w:color="auto"/>
        <w:right w:val="none" w:sz="0" w:space="0" w:color="auto"/>
      </w:divBdr>
    </w:div>
    <w:div w:id="1445467965">
      <w:bodyDiv w:val="1"/>
      <w:marLeft w:val="0"/>
      <w:marRight w:val="0"/>
      <w:marTop w:val="0"/>
      <w:marBottom w:val="0"/>
      <w:divBdr>
        <w:top w:val="none" w:sz="0" w:space="0" w:color="auto"/>
        <w:left w:val="none" w:sz="0" w:space="0" w:color="auto"/>
        <w:bottom w:val="none" w:sz="0" w:space="0" w:color="auto"/>
        <w:right w:val="none" w:sz="0" w:space="0" w:color="auto"/>
      </w:divBdr>
    </w:div>
    <w:div w:id="1462579166">
      <w:bodyDiv w:val="1"/>
      <w:marLeft w:val="0"/>
      <w:marRight w:val="0"/>
      <w:marTop w:val="0"/>
      <w:marBottom w:val="0"/>
      <w:divBdr>
        <w:top w:val="none" w:sz="0" w:space="0" w:color="auto"/>
        <w:left w:val="none" w:sz="0" w:space="0" w:color="auto"/>
        <w:bottom w:val="none" w:sz="0" w:space="0" w:color="auto"/>
        <w:right w:val="none" w:sz="0" w:space="0" w:color="auto"/>
      </w:divBdr>
    </w:div>
    <w:div w:id="1466312014">
      <w:bodyDiv w:val="1"/>
      <w:marLeft w:val="0"/>
      <w:marRight w:val="0"/>
      <w:marTop w:val="0"/>
      <w:marBottom w:val="0"/>
      <w:divBdr>
        <w:top w:val="none" w:sz="0" w:space="0" w:color="auto"/>
        <w:left w:val="none" w:sz="0" w:space="0" w:color="auto"/>
        <w:bottom w:val="none" w:sz="0" w:space="0" w:color="auto"/>
        <w:right w:val="none" w:sz="0" w:space="0" w:color="auto"/>
      </w:divBdr>
    </w:div>
    <w:div w:id="1476876008">
      <w:bodyDiv w:val="1"/>
      <w:marLeft w:val="0"/>
      <w:marRight w:val="0"/>
      <w:marTop w:val="0"/>
      <w:marBottom w:val="0"/>
      <w:divBdr>
        <w:top w:val="none" w:sz="0" w:space="0" w:color="auto"/>
        <w:left w:val="none" w:sz="0" w:space="0" w:color="auto"/>
        <w:bottom w:val="none" w:sz="0" w:space="0" w:color="auto"/>
        <w:right w:val="none" w:sz="0" w:space="0" w:color="auto"/>
      </w:divBdr>
    </w:div>
    <w:div w:id="1482193316">
      <w:bodyDiv w:val="1"/>
      <w:marLeft w:val="0"/>
      <w:marRight w:val="0"/>
      <w:marTop w:val="0"/>
      <w:marBottom w:val="0"/>
      <w:divBdr>
        <w:top w:val="none" w:sz="0" w:space="0" w:color="auto"/>
        <w:left w:val="none" w:sz="0" w:space="0" w:color="auto"/>
        <w:bottom w:val="none" w:sz="0" w:space="0" w:color="auto"/>
        <w:right w:val="none" w:sz="0" w:space="0" w:color="auto"/>
      </w:divBdr>
    </w:div>
    <w:div w:id="1498421069">
      <w:bodyDiv w:val="1"/>
      <w:marLeft w:val="0"/>
      <w:marRight w:val="0"/>
      <w:marTop w:val="0"/>
      <w:marBottom w:val="0"/>
      <w:divBdr>
        <w:top w:val="none" w:sz="0" w:space="0" w:color="auto"/>
        <w:left w:val="none" w:sz="0" w:space="0" w:color="auto"/>
        <w:bottom w:val="none" w:sz="0" w:space="0" w:color="auto"/>
        <w:right w:val="none" w:sz="0" w:space="0" w:color="auto"/>
      </w:divBdr>
    </w:div>
    <w:div w:id="1508592418">
      <w:bodyDiv w:val="1"/>
      <w:marLeft w:val="0"/>
      <w:marRight w:val="0"/>
      <w:marTop w:val="0"/>
      <w:marBottom w:val="0"/>
      <w:divBdr>
        <w:top w:val="none" w:sz="0" w:space="0" w:color="auto"/>
        <w:left w:val="none" w:sz="0" w:space="0" w:color="auto"/>
        <w:bottom w:val="none" w:sz="0" w:space="0" w:color="auto"/>
        <w:right w:val="none" w:sz="0" w:space="0" w:color="auto"/>
      </w:divBdr>
    </w:div>
    <w:div w:id="1511874387">
      <w:bodyDiv w:val="1"/>
      <w:marLeft w:val="0"/>
      <w:marRight w:val="0"/>
      <w:marTop w:val="0"/>
      <w:marBottom w:val="0"/>
      <w:divBdr>
        <w:top w:val="none" w:sz="0" w:space="0" w:color="auto"/>
        <w:left w:val="none" w:sz="0" w:space="0" w:color="auto"/>
        <w:bottom w:val="none" w:sz="0" w:space="0" w:color="auto"/>
        <w:right w:val="none" w:sz="0" w:space="0" w:color="auto"/>
      </w:divBdr>
      <w:divsChild>
        <w:div w:id="1758406568">
          <w:marLeft w:val="0"/>
          <w:marRight w:val="0"/>
          <w:marTop w:val="0"/>
          <w:marBottom w:val="0"/>
          <w:divBdr>
            <w:top w:val="none" w:sz="0" w:space="0" w:color="auto"/>
            <w:left w:val="none" w:sz="0" w:space="0" w:color="auto"/>
            <w:bottom w:val="none" w:sz="0" w:space="0" w:color="auto"/>
            <w:right w:val="none" w:sz="0" w:space="0" w:color="auto"/>
          </w:divBdr>
          <w:divsChild>
            <w:div w:id="1979721336">
              <w:marLeft w:val="0"/>
              <w:marRight w:val="0"/>
              <w:marTop w:val="0"/>
              <w:marBottom w:val="0"/>
              <w:divBdr>
                <w:top w:val="none" w:sz="0" w:space="0" w:color="auto"/>
                <w:left w:val="none" w:sz="0" w:space="0" w:color="auto"/>
                <w:bottom w:val="none" w:sz="0" w:space="0" w:color="auto"/>
                <w:right w:val="none" w:sz="0" w:space="0" w:color="auto"/>
              </w:divBdr>
              <w:divsChild>
                <w:div w:id="870654785">
                  <w:marLeft w:val="0"/>
                  <w:marRight w:val="0"/>
                  <w:marTop w:val="0"/>
                  <w:marBottom w:val="0"/>
                  <w:divBdr>
                    <w:top w:val="none" w:sz="0" w:space="0" w:color="auto"/>
                    <w:left w:val="none" w:sz="0" w:space="0" w:color="auto"/>
                    <w:bottom w:val="none" w:sz="0" w:space="0" w:color="auto"/>
                    <w:right w:val="none" w:sz="0" w:space="0" w:color="auto"/>
                  </w:divBdr>
                  <w:divsChild>
                    <w:div w:id="2144813445">
                      <w:marLeft w:val="0"/>
                      <w:marRight w:val="0"/>
                      <w:marTop w:val="0"/>
                      <w:marBottom w:val="0"/>
                      <w:divBdr>
                        <w:top w:val="none" w:sz="0" w:space="0" w:color="auto"/>
                        <w:left w:val="none" w:sz="0" w:space="0" w:color="auto"/>
                        <w:bottom w:val="none" w:sz="0" w:space="0" w:color="auto"/>
                        <w:right w:val="none" w:sz="0" w:space="0" w:color="auto"/>
                      </w:divBdr>
                      <w:divsChild>
                        <w:div w:id="1148280108">
                          <w:marLeft w:val="0"/>
                          <w:marRight w:val="0"/>
                          <w:marTop w:val="0"/>
                          <w:marBottom w:val="0"/>
                          <w:divBdr>
                            <w:top w:val="none" w:sz="0" w:space="0" w:color="auto"/>
                            <w:left w:val="none" w:sz="0" w:space="0" w:color="auto"/>
                            <w:bottom w:val="none" w:sz="0" w:space="0" w:color="auto"/>
                            <w:right w:val="none" w:sz="0" w:space="0" w:color="auto"/>
                          </w:divBdr>
                          <w:divsChild>
                            <w:div w:id="37775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2424342">
      <w:bodyDiv w:val="1"/>
      <w:marLeft w:val="0"/>
      <w:marRight w:val="0"/>
      <w:marTop w:val="0"/>
      <w:marBottom w:val="0"/>
      <w:divBdr>
        <w:top w:val="none" w:sz="0" w:space="0" w:color="auto"/>
        <w:left w:val="none" w:sz="0" w:space="0" w:color="auto"/>
        <w:bottom w:val="none" w:sz="0" w:space="0" w:color="auto"/>
        <w:right w:val="none" w:sz="0" w:space="0" w:color="auto"/>
      </w:divBdr>
    </w:div>
    <w:div w:id="1563251638">
      <w:bodyDiv w:val="1"/>
      <w:marLeft w:val="0"/>
      <w:marRight w:val="0"/>
      <w:marTop w:val="0"/>
      <w:marBottom w:val="0"/>
      <w:divBdr>
        <w:top w:val="none" w:sz="0" w:space="0" w:color="auto"/>
        <w:left w:val="none" w:sz="0" w:space="0" w:color="auto"/>
        <w:bottom w:val="none" w:sz="0" w:space="0" w:color="auto"/>
        <w:right w:val="none" w:sz="0" w:space="0" w:color="auto"/>
      </w:divBdr>
    </w:div>
    <w:div w:id="1614246083">
      <w:bodyDiv w:val="1"/>
      <w:marLeft w:val="0"/>
      <w:marRight w:val="0"/>
      <w:marTop w:val="0"/>
      <w:marBottom w:val="0"/>
      <w:divBdr>
        <w:top w:val="none" w:sz="0" w:space="0" w:color="auto"/>
        <w:left w:val="none" w:sz="0" w:space="0" w:color="auto"/>
        <w:bottom w:val="none" w:sz="0" w:space="0" w:color="auto"/>
        <w:right w:val="none" w:sz="0" w:space="0" w:color="auto"/>
      </w:divBdr>
    </w:div>
    <w:div w:id="1615138943">
      <w:bodyDiv w:val="1"/>
      <w:marLeft w:val="0"/>
      <w:marRight w:val="0"/>
      <w:marTop w:val="0"/>
      <w:marBottom w:val="0"/>
      <w:divBdr>
        <w:top w:val="none" w:sz="0" w:space="0" w:color="auto"/>
        <w:left w:val="none" w:sz="0" w:space="0" w:color="auto"/>
        <w:bottom w:val="none" w:sz="0" w:space="0" w:color="auto"/>
        <w:right w:val="none" w:sz="0" w:space="0" w:color="auto"/>
      </w:divBdr>
    </w:div>
    <w:div w:id="1617515604">
      <w:bodyDiv w:val="1"/>
      <w:marLeft w:val="0"/>
      <w:marRight w:val="0"/>
      <w:marTop w:val="0"/>
      <w:marBottom w:val="0"/>
      <w:divBdr>
        <w:top w:val="none" w:sz="0" w:space="0" w:color="auto"/>
        <w:left w:val="none" w:sz="0" w:space="0" w:color="auto"/>
        <w:bottom w:val="none" w:sz="0" w:space="0" w:color="auto"/>
        <w:right w:val="none" w:sz="0" w:space="0" w:color="auto"/>
      </w:divBdr>
      <w:divsChild>
        <w:div w:id="534004436">
          <w:marLeft w:val="0"/>
          <w:marRight w:val="0"/>
          <w:marTop w:val="0"/>
          <w:marBottom w:val="0"/>
          <w:divBdr>
            <w:top w:val="none" w:sz="0" w:space="0" w:color="auto"/>
            <w:left w:val="none" w:sz="0" w:space="0" w:color="auto"/>
            <w:bottom w:val="none" w:sz="0" w:space="0" w:color="auto"/>
            <w:right w:val="none" w:sz="0" w:space="0" w:color="auto"/>
          </w:divBdr>
          <w:divsChild>
            <w:div w:id="1695613963">
              <w:marLeft w:val="0"/>
              <w:marRight w:val="0"/>
              <w:marTop w:val="0"/>
              <w:marBottom w:val="0"/>
              <w:divBdr>
                <w:top w:val="none" w:sz="0" w:space="0" w:color="auto"/>
                <w:left w:val="none" w:sz="0" w:space="0" w:color="auto"/>
                <w:bottom w:val="none" w:sz="0" w:space="0" w:color="auto"/>
                <w:right w:val="none" w:sz="0" w:space="0" w:color="auto"/>
              </w:divBdr>
              <w:divsChild>
                <w:div w:id="1772583740">
                  <w:marLeft w:val="0"/>
                  <w:marRight w:val="0"/>
                  <w:marTop w:val="0"/>
                  <w:marBottom w:val="0"/>
                  <w:divBdr>
                    <w:top w:val="none" w:sz="0" w:space="0" w:color="auto"/>
                    <w:left w:val="none" w:sz="0" w:space="0" w:color="auto"/>
                    <w:bottom w:val="none" w:sz="0" w:space="0" w:color="auto"/>
                    <w:right w:val="none" w:sz="0" w:space="0" w:color="auto"/>
                  </w:divBdr>
                  <w:divsChild>
                    <w:div w:id="490294100">
                      <w:marLeft w:val="0"/>
                      <w:marRight w:val="0"/>
                      <w:marTop w:val="0"/>
                      <w:marBottom w:val="0"/>
                      <w:divBdr>
                        <w:top w:val="none" w:sz="0" w:space="0" w:color="auto"/>
                        <w:left w:val="none" w:sz="0" w:space="0" w:color="auto"/>
                        <w:bottom w:val="none" w:sz="0" w:space="0" w:color="auto"/>
                        <w:right w:val="none" w:sz="0" w:space="0" w:color="auto"/>
                      </w:divBdr>
                      <w:divsChild>
                        <w:div w:id="1497502749">
                          <w:marLeft w:val="0"/>
                          <w:marRight w:val="0"/>
                          <w:marTop w:val="0"/>
                          <w:marBottom w:val="0"/>
                          <w:divBdr>
                            <w:top w:val="none" w:sz="0" w:space="0" w:color="auto"/>
                            <w:left w:val="none" w:sz="0" w:space="0" w:color="auto"/>
                            <w:bottom w:val="none" w:sz="0" w:space="0" w:color="auto"/>
                            <w:right w:val="none" w:sz="0" w:space="0" w:color="auto"/>
                          </w:divBdr>
                          <w:divsChild>
                            <w:div w:id="2077892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8292087">
      <w:bodyDiv w:val="1"/>
      <w:marLeft w:val="0"/>
      <w:marRight w:val="0"/>
      <w:marTop w:val="0"/>
      <w:marBottom w:val="0"/>
      <w:divBdr>
        <w:top w:val="none" w:sz="0" w:space="0" w:color="auto"/>
        <w:left w:val="none" w:sz="0" w:space="0" w:color="auto"/>
        <w:bottom w:val="none" w:sz="0" w:space="0" w:color="auto"/>
        <w:right w:val="none" w:sz="0" w:space="0" w:color="auto"/>
      </w:divBdr>
    </w:div>
    <w:div w:id="1635058285">
      <w:bodyDiv w:val="1"/>
      <w:marLeft w:val="0"/>
      <w:marRight w:val="0"/>
      <w:marTop w:val="0"/>
      <w:marBottom w:val="0"/>
      <w:divBdr>
        <w:top w:val="none" w:sz="0" w:space="0" w:color="auto"/>
        <w:left w:val="none" w:sz="0" w:space="0" w:color="auto"/>
        <w:bottom w:val="none" w:sz="0" w:space="0" w:color="auto"/>
        <w:right w:val="none" w:sz="0" w:space="0" w:color="auto"/>
      </w:divBdr>
    </w:div>
    <w:div w:id="1648968608">
      <w:bodyDiv w:val="1"/>
      <w:marLeft w:val="0"/>
      <w:marRight w:val="0"/>
      <w:marTop w:val="0"/>
      <w:marBottom w:val="0"/>
      <w:divBdr>
        <w:top w:val="none" w:sz="0" w:space="0" w:color="auto"/>
        <w:left w:val="none" w:sz="0" w:space="0" w:color="auto"/>
        <w:bottom w:val="none" w:sz="0" w:space="0" w:color="auto"/>
        <w:right w:val="none" w:sz="0" w:space="0" w:color="auto"/>
      </w:divBdr>
      <w:divsChild>
        <w:div w:id="1029768495">
          <w:marLeft w:val="0"/>
          <w:marRight w:val="0"/>
          <w:marTop w:val="0"/>
          <w:marBottom w:val="0"/>
          <w:divBdr>
            <w:top w:val="none" w:sz="0" w:space="0" w:color="auto"/>
            <w:left w:val="none" w:sz="0" w:space="0" w:color="auto"/>
            <w:bottom w:val="none" w:sz="0" w:space="0" w:color="auto"/>
            <w:right w:val="none" w:sz="0" w:space="0" w:color="auto"/>
          </w:divBdr>
          <w:divsChild>
            <w:div w:id="847477537">
              <w:marLeft w:val="0"/>
              <w:marRight w:val="0"/>
              <w:marTop w:val="0"/>
              <w:marBottom w:val="0"/>
              <w:divBdr>
                <w:top w:val="none" w:sz="0" w:space="0" w:color="auto"/>
                <w:left w:val="none" w:sz="0" w:space="0" w:color="auto"/>
                <w:bottom w:val="none" w:sz="0" w:space="0" w:color="auto"/>
                <w:right w:val="none" w:sz="0" w:space="0" w:color="auto"/>
              </w:divBdr>
              <w:divsChild>
                <w:div w:id="1585801605">
                  <w:marLeft w:val="0"/>
                  <w:marRight w:val="0"/>
                  <w:marTop w:val="0"/>
                  <w:marBottom w:val="0"/>
                  <w:divBdr>
                    <w:top w:val="none" w:sz="0" w:space="0" w:color="auto"/>
                    <w:left w:val="none" w:sz="0" w:space="0" w:color="auto"/>
                    <w:bottom w:val="none" w:sz="0" w:space="0" w:color="auto"/>
                    <w:right w:val="none" w:sz="0" w:space="0" w:color="auto"/>
                  </w:divBdr>
                  <w:divsChild>
                    <w:div w:id="1588803307">
                      <w:marLeft w:val="0"/>
                      <w:marRight w:val="0"/>
                      <w:marTop w:val="0"/>
                      <w:marBottom w:val="0"/>
                      <w:divBdr>
                        <w:top w:val="none" w:sz="0" w:space="0" w:color="auto"/>
                        <w:left w:val="none" w:sz="0" w:space="0" w:color="auto"/>
                        <w:bottom w:val="none" w:sz="0" w:space="0" w:color="auto"/>
                        <w:right w:val="none" w:sz="0" w:space="0" w:color="auto"/>
                      </w:divBdr>
                      <w:divsChild>
                        <w:div w:id="265382438">
                          <w:marLeft w:val="0"/>
                          <w:marRight w:val="0"/>
                          <w:marTop w:val="0"/>
                          <w:marBottom w:val="0"/>
                          <w:divBdr>
                            <w:top w:val="none" w:sz="0" w:space="0" w:color="auto"/>
                            <w:left w:val="none" w:sz="0" w:space="0" w:color="auto"/>
                            <w:bottom w:val="none" w:sz="0" w:space="0" w:color="auto"/>
                            <w:right w:val="none" w:sz="0" w:space="0" w:color="auto"/>
                          </w:divBdr>
                          <w:divsChild>
                            <w:div w:id="1089734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2904725">
      <w:bodyDiv w:val="1"/>
      <w:marLeft w:val="0"/>
      <w:marRight w:val="0"/>
      <w:marTop w:val="0"/>
      <w:marBottom w:val="0"/>
      <w:divBdr>
        <w:top w:val="none" w:sz="0" w:space="0" w:color="auto"/>
        <w:left w:val="none" w:sz="0" w:space="0" w:color="auto"/>
        <w:bottom w:val="none" w:sz="0" w:space="0" w:color="auto"/>
        <w:right w:val="none" w:sz="0" w:space="0" w:color="auto"/>
      </w:divBdr>
    </w:div>
    <w:div w:id="1695841805">
      <w:bodyDiv w:val="1"/>
      <w:marLeft w:val="0"/>
      <w:marRight w:val="0"/>
      <w:marTop w:val="0"/>
      <w:marBottom w:val="0"/>
      <w:divBdr>
        <w:top w:val="none" w:sz="0" w:space="0" w:color="auto"/>
        <w:left w:val="none" w:sz="0" w:space="0" w:color="auto"/>
        <w:bottom w:val="none" w:sz="0" w:space="0" w:color="auto"/>
        <w:right w:val="none" w:sz="0" w:space="0" w:color="auto"/>
      </w:divBdr>
      <w:divsChild>
        <w:div w:id="2004896359">
          <w:marLeft w:val="0"/>
          <w:marRight w:val="0"/>
          <w:marTop w:val="0"/>
          <w:marBottom w:val="0"/>
          <w:divBdr>
            <w:top w:val="none" w:sz="0" w:space="0" w:color="auto"/>
            <w:left w:val="none" w:sz="0" w:space="0" w:color="auto"/>
            <w:bottom w:val="none" w:sz="0" w:space="0" w:color="auto"/>
            <w:right w:val="none" w:sz="0" w:space="0" w:color="auto"/>
          </w:divBdr>
          <w:divsChild>
            <w:div w:id="294800309">
              <w:marLeft w:val="0"/>
              <w:marRight w:val="0"/>
              <w:marTop w:val="0"/>
              <w:marBottom w:val="0"/>
              <w:divBdr>
                <w:top w:val="none" w:sz="0" w:space="0" w:color="auto"/>
                <w:left w:val="none" w:sz="0" w:space="0" w:color="auto"/>
                <w:bottom w:val="none" w:sz="0" w:space="0" w:color="auto"/>
                <w:right w:val="none" w:sz="0" w:space="0" w:color="auto"/>
              </w:divBdr>
              <w:divsChild>
                <w:div w:id="1058166627">
                  <w:marLeft w:val="0"/>
                  <w:marRight w:val="0"/>
                  <w:marTop w:val="0"/>
                  <w:marBottom w:val="0"/>
                  <w:divBdr>
                    <w:top w:val="none" w:sz="0" w:space="0" w:color="auto"/>
                    <w:left w:val="none" w:sz="0" w:space="0" w:color="auto"/>
                    <w:bottom w:val="none" w:sz="0" w:space="0" w:color="auto"/>
                    <w:right w:val="none" w:sz="0" w:space="0" w:color="auto"/>
                  </w:divBdr>
                  <w:divsChild>
                    <w:div w:id="1805079699">
                      <w:marLeft w:val="0"/>
                      <w:marRight w:val="0"/>
                      <w:marTop w:val="0"/>
                      <w:marBottom w:val="0"/>
                      <w:divBdr>
                        <w:top w:val="none" w:sz="0" w:space="0" w:color="auto"/>
                        <w:left w:val="none" w:sz="0" w:space="0" w:color="auto"/>
                        <w:bottom w:val="none" w:sz="0" w:space="0" w:color="auto"/>
                        <w:right w:val="none" w:sz="0" w:space="0" w:color="auto"/>
                      </w:divBdr>
                      <w:divsChild>
                        <w:div w:id="1378356177">
                          <w:marLeft w:val="0"/>
                          <w:marRight w:val="0"/>
                          <w:marTop w:val="0"/>
                          <w:marBottom w:val="0"/>
                          <w:divBdr>
                            <w:top w:val="none" w:sz="0" w:space="0" w:color="auto"/>
                            <w:left w:val="none" w:sz="0" w:space="0" w:color="auto"/>
                            <w:bottom w:val="none" w:sz="0" w:space="0" w:color="auto"/>
                            <w:right w:val="none" w:sz="0" w:space="0" w:color="auto"/>
                          </w:divBdr>
                          <w:divsChild>
                            <w:div w:id="198281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8921974">
      <w:bodyDiv w:val="1"/>
      <w:marLeft w:val="0"/>
      <w:marRight w:val="0"/>
      <w:marTop w:val="0"/>
      <w:marBottom w:val="0"/>
      <w:divBdr>
        <w:top w:val="none" w:sz="0" w:space="0" w:color="auto"/>
        <w:left w:val="none" w:sz="0" w:space="0" w:color="auto"/>
        <w:bottom w:val="none" w:sz="0" w:space="0" w:color="auto"/>
        <w:right w:val="none" w:sz="0" w:space="0" w:color="auto"/>
      </w:divBdr>
    </w:div>
    <w:div w:id="1705665865">
      <w:bodyDiv w:val="1"/>
      <w:marLeft w:val="0"/>
      <w:marRight w:val="0"/>
      <w:marTop w:val="0"/>
      <w:marBottom w:val="0"/>
      <w:divBdr>
        <w:top w:val="none" w:sz="0" w:space="0" w:color="auto"/>
        <w:left w:val="none" w:sz="0" w:space="0" w:color="auto"/>
        <w:bottom w:val="none" w:sz="0" w:space="0" w:color="auto"/>
        <w:right w:val="none" w:sz="0" w:space="0" w:color="auto"/>
      </w:divBdr>
    </w:div>
    <w:div w:id="1707215561">
      <w:bodyDiv w:val="1"/>
      <w:marLeft w:val="0"/>
      <w:marRight w:val="0"/>
      <w:marTop w:val="0"/>
      <w:marBottom w:val="0"/>
      <w:divBdr>
        <w:top w:val="none" w:sz="0" w:space="0" w:color="auto"/>
        <w:left w:val="none" w:sz="0" w:space="0" w:color="auto"/>
        <w:bottom w:val="none" w:sz="0" w:space="0" w:color="auto"/>
        <w:right w:val="none" w:sz="0" w:space="0" w:color="auto"/>
      </w:divBdr>
      <w:divsChild>
        <w:div w:id="860319344">
          <w:marLeft w:val="346"/>
          <w:marRight w:val="0"/>
          <w:marTop w:val="0"/>
          <w:marBottom w:val="0"/>
          <w:divBdr>
            <w:top w:val="none" w:sz="0" w:space="0" w:color="auto"/>
            <w:left w:val="none" w:sz="0" w:space="0" w:color="auto"/>
            <w:bottom w:val="none" w:sz="0" w:space="0" w:color="auto"/>
            <w:right w:val="none" w:sz="0" w:space="0" w:color="auto"/>
          </w:divBdr>
        </w:div>
      </w:divsChild>
    </w:div>
    <w:div w:id="1726879889">
      <w:bodyDiv w:val="1"/>
      <w:marLeft w:val="0"/>
      <w:marRight w:val="0"/>
      <w:marTop w:val="0"/>
      <w:marBottom w:val="0"/>
      <w:divBdr>
        <w:top w:val="none" w:sz="0" w:space="0" w:color="auto"/>
        <w:left w:val="none" w:sz="0" w:space="0" w:color="auto"/>
        <w:bottom w:val="none" w:sz="0" w:space="0" w:color="auto"/>
        <w:right w:val="none" w:sz="0" w:space="0" w:color="auto"/>
      </w:divBdr>
    </w:div>
    <w:div w:id="1729382301">
      <w:bodyDiv w:val="1"/>
      <w:marLeft w:val="0"/>
      <w:marRight w:val="0"/>
      <w:marTop w:val="0"/>
      <w:marBottom w:val="0"/>
      <w:divBdr>
        <w:top w:val="none" w:sz="0" w:space="0" w:color="auto"/>
        <w:left w:val="none" w:sz="0" w:space="0" w:color="auto"/>
        <w:bottom w:val="none" w:sz="0" w:space="0" w:color="auto"/>
        <w:right w:val="none" w:sz="0" w:space="0" w:color="auto"/>
      </w:divBdr>
    </w:div>
    <w:div w:id="1732463298">
      <w:bodyDiv w:val="1"/>
      <w:marLeft w:val="0"/>
      <w:marRight w:val="0"/>
      <w:marTop w:val="0"/>
      <w:marBottom w:val="0"/>
      <w:divBdr>
        <w:top w:val="none" w:sz="0" w:space="0" w:color="auto"/>
        <w:left w:val="none" w:sz="0" w:space="0" w:color="auto"/>
        <w:bottom w:val="none" w:sz="0" w:space="0" w:color="auto"/>
        <w:right w:val="none" w:sz="0" w:space="0" w:color="auto"/>
      </w:divBdr>
    </w:div>
    <w:div w:id="1758479452">
      <w:bodyDiv w:val="1"/>
      <w:marLeft w:val="0"/>
      <w:marRight w:val="0"/>
      <w:marTop w:val="0"/>
      <w:marBottom w:val="0"/>
      <w:divBdr>
        <w:top w:val="none" w:sz="0" w:space="0" w:color="auto"/>
        <w:left w:val="none" w:sz="0" w:space="0" w:color="auto"/>
        <w:bottom w:val="none" w:sz="0" w:space="0" w:color="auto"/>
        <w:right w:val="none" w:sz="0" w:space="0" w:color="auto"/>
      </w:divBdr>
      <w:divsChild>
        <w:div w:id="680353287">
          <w:marLeft w:val="0"/>
          <w:marRight w:val="0"/>
          <w:marTop w:val="0"/>
          <w:marBottom w:val="0"/>
          <w:divBdr>
            <w:top w:val="none" w:sz="0" w:space="0" w:color="auto"/>
            <w:left w:val="none" w:sz="0" w:space="0" w:color="auto"/>
            <w:bottom w:val="none" w:sz="0" w:space="0" w:color="auto"/>
            <w:right w:val="none" w:sz="0" w:space="0" w:color="auto"/>
          </w:divBdr>
          <w:divsChild>
            <w:div w:id="1117407845">
              <w:marLeft w:val="0"/>
              <w:marRight w:val="0"/>
              <w:marTop w:val="0"/>
              <w:marBottom w:val="0"/>
              <w:divBdr>
                <w:top w:val="none" w:sz="0" w:space="0" w:color="auto"/>
                <w:left w:val="none" w:sz="0" w:space="0" w:color="auto"/>
                <w:bottom w:val="none" w:sz="0" w:space="0" w:color="auto"/>
                <w:right w:val="none" w:sz="0" w:space="0" w:color="auto"/>
              </w:divBdr>
              <w:divsChild>
                <w:div w:id="896401910">
                  <w:marLeft w:val="0"/>
                  <w:marRight w:val="0"/>
                  <w:marTop w:val="0"/>
                  <w:marBottom w:val="0"/>
                  <w:divBdr>
                    <w:top w:val="none" w:sz="0" w:space="0" w:color="auto"/>
                    <w:left w:val="none" w:sz="0" w:space="0" w:color="auto"/>
                    <w:bottom w:val="none" w:sz="0" w:space="0" w:color="auto"/>
                    <w:right w:val="none" w:sz="0" w:space="0" w:color="auto"/>
                  </w:divBdr>
                  <w:divsChild>
                    <w:div w:id="1679581109">
                      <w:marLeft w:val="0"/>
                      <w:marRight w:val="0"/>
                      <w:marTop w:val="0"/>
                      <w:marBottom w:val="0"/>
                      <w:divBdr>
                        <w:top w:val="none" w:sz="0" w:space="0" w:color="auto"/>
                        <w:left w:val="none" w:sz="0" w:space="0" w:color="auto"/>
                        <w:bottom w:val="none" w:sz="0" w:space="0" w:color="auto"/>
                        <w:right w:val="none" w:sz="0" w:space="0" w:color="auto"/>
                      </w:divBdr>
                      <w:divsChild>
                        <w:div w:id="1634096417">
                          <w:marLeft w:val="0"/>
                          <w:marRight w:val="0"/>
                          <w:marTop w:val="0"/>
                          <w:marBottom w:val="0"/>
                          <w:divBdr>
                            <w:top w:val="none" w:sz="0" w:space="0" w:color="auto"/>
                            <w:left w:val="none" w:sz="0" w:space="0" w:color="auto"/>
                            <w:bottom w:val="none" w:sz="0" w:space="0" w:color="auto"/>
                            <w:right w:val="none" w:sz="0" w:space="0" w:color="auto"/>
                          </w:divBdr>
                          <w:divsChild>
                            <w:div w:id="206603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4260674">
      <w:bodyDiv w:val="1"/>
      <w:marLeft w:val="0"/>
      <w:marRight w:val="0"/>
      <w:marTop w:val="0"/>
      <w:marBottom w:val="0"/>
      <w:divBdr>
        <w:top w:val="none" w:sz="0" w:space="0" w:color="auto"/>
        <w:left w:val="none" w:sz="0" w:space="0" w:color="auto"/>
        <w:bottom w:val="none" w:sz="0" w:space="0" w:color="auto"/>
        <w:right w:val="none" w:sz="0" w:space="0" w:color="auto"/>
      </w:divBdr>
    </w:div>
    <w:div w:id="1767460121">
      <w:bodyDiv w:val="1"/>
      <w:marLeft w:val="0"/>
      <w:marRight w:val="0"/>
      <w:marTop w:val="0"/>
      <w:marBottom w:val="0"/>
      <w:divBdr>
        <w:top w:val="none" w:sz="0" w:space="0" w:color="auto"/>
        <w:left w:val="none" w:sz="0" w:space="0" w:color="auto"/>
        <w:bottom w:val="none" w:sz="0" w:space="0" w:color="auto"/>
        <w:right w:val="none" w:sz="0" w:space="0" w:color="auto"/>
      </w:divBdr>
    </w:div>
    <w:div w:id="1803425098">
      <w:bodyDiv w:val="1"/>
      <w:marLeft w:val="0"/>
      <w:marRight w:val="0"/>
      <w:marTop w:val="0"/>
      <w:marBottom w:val="0"/>
      <w:divBdr>
        <w:top w:val="none" w:sz="0" w:space="0" w:color="auto"/>
        <w:left w:val="none" w:sz="0" w:space="0" w:color="auto"/>
        <w:bottom w:val="none" w:sz="0" w:space="0" w:color="auto"/>
        <w:right w:val="none" w:sz="0" w:space="0" w:color="auto"/>
      </w:divBdr>
      <w:divsChild>
        <w:div w:id="516969744">
          <w:marLeft w:val="0"/>
          <w:marRight w:val="0"/>
          <w:marTop w:val="0"/>
          <w:marBottom w:val="0"/>
          <w:divBdr>
            <w:top w:val="none" w:sz="0" w:space="0" w:color="auto"/>
            <w:left w:val="none" w:sz="0" w:space="0" w:color="auto"/>
            <w:bottom w:val="none" w:sz="0" w:space="0" w:color="auto"/>
            <w:right w:val="none" w:sz="0" w:space="0" w:color="auto"/>
          </w:divBdr>
          <w:divsChild>
            <w:div w:id="1469132894">
              <w:marLeft w:val="0"/>
              <w:marRight w:val="0"/>
              <w:marTop w:val="0"/>
              <w:marBottom w:val="0"/>
              <w:divBdr>
                <w:top w:val="none" w:sz="0" w:space="0" w:color="auto"/>
                <w:left w:val="none" w:sz="0" w:space="0" w:color="auto"/>
                <w:bottom w:val="none" w:sz="0" w:space="0" w:color="auto"/>
                <w:right w:val="none" w:sz="0" w:space="0" w:color="auto"/>
              </w:divBdr>
              <w:divsChild>
                <w:div w:id="67458977">
                  <w:marLeft w:val="0"/>
                  <w:marRight w:val="0"/>
                  <w:marTop w:val="0"/>
                  <w:marBottom w:val="0"/>
                  <w:divBdr>
                    <w:top w:val="none" w:sz="0" w:space="0" w:color="auto"/>
                    <w:left w:val="none" w:sz="0" w:space="0" w:color="auto"/>
                    <w:bottom w:val="none" w:sz="0" w:space="0" w:color="auto"/>
                    <w:right w:val="none" w:sz="0" w:space="0" w:color="auto"/>
                  </w:divBdr>
                  <w:divsChild>
                    <w:div w:id="1175726923">
                      <w:marLeft w:val="0"/>
                      <w:marRight w:val="0"/>
                      <w:marTop w:val="0"/>
                      <w:marBottom w:val="0"/>
                      <w:divBdr>
                        <w:top w:val="none" w:sz="0" w:space="0" w:color="auto"/>
                        <w:left w:val="none" w:sz="0" w:space="0" w:color="auto"/>
                        <w:bottom w:val="none" w:sz="0" w:space="0" w:color="auto"/>
                        <w:right w:val="none" w:sz="0" w:space="0" w:color="auto"/>
                      </w:divBdr>
                      <w:divsChild>
                        <w:div w:id="58140933">
                          <w:marLeft w:val="0"/>
                          <w:marRight w:val="0"/>
                          <w:marTop w:val="0"/>
                          <w:marBottom w:val="0"/>
                          <w:divBdr>
                            <w:top w:val="none" w:sz="0" w:space="0" w:color="auto"/>
                            <w:left w:val="none" w:sz="0" w:space="0" w:color="auto"/>
                            <w:bottom w:val="none" w:sz="0" w:space="0" w:color="auto"/>
                            <w:right w:val="none" w:sz="0" w:space="0" w:color="auto"/>
                          </w:divBdr>
                          <w:divsChild>
                            <w:div w:id="24696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1582372">
      <w:bodyDiv w:val="1"/>
      <w:marLeft w:val="0"/>
      <w:marRight w:val="0"/>
      <w:marTop w:val="0"/>
      <w:marBottom w:val="0"/>
      <w:divBdr>
        <w:top w:val="none" w:sz="0" w:space="0" w:color="auto"/>
        <w:left w:val="none" w:sz="0" w:space="0" w:color="auto"/>
        <w:bottom w:val="none" w:sz="0" w:space="0" w:color="auto"/>
        <w:right w:val="none" w:sz="0" w:space="0" w:color="auto"/>
      </w:divBdr>
    </w:div>
    <w:div w:id="1879388089">
      <w:bodyDiv w:val="1"/>
      <w:marLeft w:val="0"/>
      <w:marRight w:val="0"/>
      <w:marTop w:val="0"/>
      <w:marBottom w:val="0"/>
      <w:divBdr>
        <w:top w:val="none" w:sz="0" w:space="0" w:color="auto"/>
        <w:left w:val="none" w:sz="0" w:space="0" w:color="auto"/>
        <w:bottom w:val="none" w:sz="0" w:space="0" w:color="auto"/>
        <w:right w:val="none" w:sz="0" w:space="0" w:color="auto"/>
      </w:divBdr>
    </w:div>
    <w:div w:id="1885675070">
      <w:bodyDiv w:val="1"/>
      <w:marLeft w:val="0"/>
      <w:marRight w:val="0"/>
      <w:marTop w:val="0"/>
      <w:marBottom w:val="0"/>
      <w:divBdr>
        <w:top w:val="none" w:sz="0" w:space="0" w:color="auto"/>
        <w:left w:val="none" w:sz="0" w:space="0" w:color="auto"/>
        <w:bottom w:val="none" w:sz="0" w:space="0" w:color="auto"/>
        <w:right w:val="none" w:sz="0" w:space="0" w:color="auto"/>
      </w:divBdr>
    </w:div>
    <w:div w:id="1907841745">
      <w:bodyDiv w:val="1"/>
      <w:marLeft w:val="0"/>
      <w:marRight w:val="0"/>
      <w:marTop w:val="0"/>
      <w:marBottom w:val="0"/>
      <w:divBdr>
        <w:top w:val="none" w:sz="0" w:space="0" w:color="auto"/>
        <w:left w:val="none" w:sz="0" w:space="0" w:color="auto"/>
        <w:bottom w:val="none" w:sz="0" w:space="0" w:color="auto"/>
        <w:right w:val="none" w:sz="0" w:space="0" w:color="auto"/>
      </w:divBdr>
      <w:divsChild>
        <w:div w:id="2048219142">
          <w:marLeft w:val="0"/>
          <w:marRight w:val="0"/>
          <w:marTop w:val="0"/>
          <w:marBottom w:val="0"/>
          <w:divBdr>
            <w:top w:val="none" w:sz="0" w:space="0" w:color="auto"/>
            <w:left w:val="none" w:sz="0" w:space="0" w:color="auto"/>
            <w:bottom w:val="none" w:sz="0" w:space="0" w:color="auto"/>
            <w:right w:val="none" w:sz="0" w:space="0" w:color="auto"/>
          </w:divBdr>
          <w:divsChild>
            <w:div w:id="381905137">
              <w:marLeft w:val="0"/>
              <w:marRight w:val="0"/>
              <w:marTop w:val="0"/>
              <w:marBottom w:val="0"/>
              <w:divBdr>
                <w:top w:val="none" w:sz="0" w:space="0" w:color="auto"/>
                <w:left w:val="none" w:sz="0" w:space="0" w:color="auto"/>
                <w:bottom w:val="none" w:sz="0" w:space="0" w:color="auto"/>
                <w:right w:val="none" w:sz="0" w:space="0" w:color="auto"/>
              </w:divBdr>
              <w:divsChild>
                <w:div w:id="592785015">
                  <w:marLeft w:val="0"/>
                  <w:marRight w:val="0"/>
                  <w:marTop w:val="0"/>
                  <w:marBottom w:val="0"/>
                  <w:divBdr>
                    <w:top w:val="none" w:sz="0" w:space="0" w:color="auto"/>
                    <w:left w:val="none" w:sz="0" w:space="0" w:color="auto"/>
                    <w:bottom w:val="none" w:sz="0" w:space="0" w:color="auto"/>
                    <w:right w:val="none" w:sz="0" w:space="0" w:color="auto"/>
                  </w:divBdr>
                  <w:divsChild>
                    <w:div w:id="785277172">
                      <w:marLeft w:val="0"/>
                      <w:marRight w:val="0"/>
                      <w:marTop w:val="0"/>
                      <w:marBottom w:val="0"/>
                      <w:divBdr>
                        <w:top w:val="none" w:sz="0" w:space="0" w:color="auto"/>
                        <w:left w:val="none" w:sz="0" w:space="0" w:color="auto"/>
                        <w:bottom w:val="none" w:sz="0" w:space="0" w:color="auto"/>
                        <w:right w:val="none" w:sz="0" w:space="0" w:color="auto"/>
                      </w:divBdr>
                      <w:divsChild>
                        <w:div w:id="869604999">
                          <w:marLeft w:val="0"/>
                          <w:marRight w:val="0"/>
                          <w:marTop w:val="0"/>
                          <w:marBottom w:val="0"/>
                          <w:divBdr>
                            <w:top w:val="none" w:sz="0" w:space="0" w:color="auto"/>
                            <w:left w:val="none" w:sz="0" w:space="0" w:color="auto"/>
                            <w:bottom w:val="none" w:sz="0" w:space="0" w:color="auto"/>
                            <w:right w:val="none" w:sz="0" w:space="0" w:color="auto"/>
                          </w:divBdr>
                          <w:divsChild>
                            <w:div w:id="831994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6202883">
      <w:bodyDiv w:val="1"/>
      <w:marLeft w:val="0"/>
      <w:marRight w:val="0"/>
      <w:marTop w:val="0"/>
      <w:marBottom w:val="0"/>
      <w:divBdr>
        <w:top w:val="none" w:sz="0" w:space="0" w:color="auto"/>
        <w:left w:val="none" w:sz="0" w:space="0" w:color="auto"/>
        <w:bottom w:val="none" w:sz="0" w:space="0" w:color="auto"/>
        <w:right w:val="none" w:sz="0" w:space="0" w:color="auto"/>
      </w:divBdr>
    </w:div>
    <w:div w:id="1963686243">
      <w:bodyDiv w:val="1"/>
      <w:marLeft w:val="0"/>
      <w:marRight w:val="0"/>
      <w:marTop w:val="0"/>
      <w:marBottom w:val="0"/>
      <w:divBdr>
        <w:top w:val="none" w:sz="0" w:space="0" w:color="auto"/>
        <w:left w:val="none" w:sz="0" w:space="0" w:color="auto"/>
        <w:bottom w:val="none" w:sz="0" w:space="0" w:color="auto"/>
        <w:right w:val="none" w:sz="0" w:space="0" w:color="auto"/>
      </w:divBdr>
      <w:divsChild>
        <w:div w:id="950666563">
          <w:marLeft w:val="0"/>
          <w:marRight w:val="0"/>
          <w:marTop w:val="0"/>
          <w:marBottom w:val="0"/>
          <w:divBdr>
            <w:top w:val="none" w:sz="0" w:space="0" w:color="auto"/>
            <w:left w:val="none" w:sz="0" w:space="0" w:color="auto"/>
            <w:bottom w:val="none" w:sz="0" w:space="0" w:color="auto"/>
            <w:right w:val="none" w:sz="0" w:space="0" w:color="auto"/>
          </w:divBdr>
          <w:divsChild>
            <w:div w:id="632910187">
              <w:marLeft w:val="0"/>
              <w:marRight w:val="0"/>
              <w:marTop w:val="0"/>
              <w:marBottom w:val="0"/>
              <w:divBdr>
                <w:top w:val="none" w:sz="0" w:space="0" w:color="auto"/>
                <w:left w:val="none" w:sz="0" w:space="0" w:color="auto"/>
                <w:bottom w:val="none" w:sz="0" w:space="0" w:color="auto"/>
                <w:right w:val="none" w:sz="0" w:space="0" w:color="auto"/>
              </w:divBdr>
              <w:divsChild>
                <w:div w:id="1419325384">
                  <w:marLeft w:val="0"/>
                  <w:marRight w:val="0"/>
                  <w:marTop w:val="0"/>
                  <w:marBottom w:val="0"/>
                  <w:divBdr>
                    <w:top w:val="none" w:sz="0" w:space="0" w:color="auto"/>
                    <w:left w:val="none" w:sz="0" w:space="0" w:color="auto"/>
                    <w:bottom w:val="none" w:sz="0" w:space="0" w:color="auto"/>
                    <w:right w:val="none" w:sz="0" w:space="0" w:color="auto"/>
                  </w:divBdr>
                  <w:divsChild>
                    <w:div w:id="231894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688551">
          <w:marLeft w:val="0"/>
          <w:marRight w:val="0"/>
          <w:marTop w:val="0"/>
          <w:marBottom w:val="0"/>
          <w:divBdr>
            <w:top w:val="none" w:sz="0" w:space="0" w:color="auto"/>
            <w:left w:val="none" w:sz="0" w:space="0" w:color="auto"/>
            <w:bottom w:val="none" w:sz="0" w:space="0" w:color="auto"/>
            <w:right w:val="none" w:sz="0" w:space="0" w:color="auto"/>
          </w:divBdr>
          <w:divsChild>
            <w:div w:id="1084032326">
              <w:marLeft w:val="0"/>
              <w:marRight w:val="0"/>
              <w:marTop w:val="0"/>
              <w:marBottom w:val="0"/>
              <w:divBdr>
                <w:top w:val="none" w:sz="0" w:space="0" w:color="auto"/>
                <w:left w:val="none" w:sz="0" w:space="0" w:color="auto"/>
                <w:bottom w:val="none" w:sz="0" w:space="0" w:color="auto"/>
                <w:right w:val="none" w:sz="0" w:space="0" w:color="auto"/>
              </w:divBdr>
              <w:divsChild>
                <w:div w:id="904412613">
                  <w:marLeft w:val="0"/>
                  <w:marRight w:val="0"/>
                  <w:marTop w:val="0"/>
                  <w:marBottom w:val="0"/>
                  <w:divBdr>
                    <w:top w:val="none" w:sz="0" w:space="0" w:color="auto"/>
                    <w:left w:val="none" w:sz="0" w:space="0" w:color="auto"/>
                    <w:bottom w:val="none" w:sz="0" w:space="0" w:color="auto"/>
                    <w:right w:val="none" w:sz="0" w:space="0" w:color="auto"/>
                  </w:divBdr>
                  <w:divsChild>
                    <w:div w:id="343243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8292285">
      <w:bodyDiv w:val="1"/>
      <w:marLeft w:val="0"/>
      <w:marRight w:val="0"/>
      <w:marTop w:val="0"/>
      <w:marBottom w:val="0"/>
      <w:divBdr>
        <w:top w:val="none" w:sz="0" w:space="0" w:color="auto"/>
        <w:left w:val="none" w:sz="0" w:space="0" w:color="auto"/>
        <w:bottom w:val="none" w:sz="0" w:space="0" w:color="auto"/>
        <w:right w:val="none" w:sz="0" w:space="0" w:color="auto"/>
      </w:divBdr>
    </w:div>
    <w:div w:id="2029520454">
      <w:bodyDiv w:val="1"/>
      <w:marLeft w:val="0"/>
      <w:marRight w:val="0"/>
      <w:marTop w:val="0"/>
      <w:marBottom w:val="0"/>
      <w:divBdr>
        <w:top w:val="none" w:sz="0" w:space="0" w:color="auto"/>
        <w:left w:val="none" w:sz="0" w:space="0" w:color="auto"/>
        <w:bottom w:val="none" w:sz="0" w:space="0" w:color="auto"/>
        <w:right w:val="none" w:sz="0" w:space="0" w:color="auto"/>
      </w:divBdr>
    </w:div>
    <w:div w:id="2041008434">
      <w:bodyDiv w:val="1"/>
      <w:marLeft w:val="0"/>
      <w:marRight w:val="0"/>
      <w:marTop w:val="0"/>
      <w:marBottom w:val="0"/>
      <w:divBdr>
        <w:top w:val="none" w:sz="0" w:space="0" w:color="auto"/>
        <w:left w:val="none" w:sz="0" w:space="0" w:color="auto"/>
        <w:bottom w:val="none" w:sz="0" w:space="0" w:color="auto"/>
        <w:right w:val="none" w:sz="0" w:space="0" w:color="auto"/>
      </w:divBdr>
    </w:div>
    <w:div w:id="2044944233">
      <w:bodyDiv w:val="1"/>
      <w:marLeft w:val="0"/>
      <w:marRight w:val="0"/>
      <w:marTop w:val="0"/>
      <w:marBottom w:val="0"/>
      <w:divBdr>
        <w:top w:val="none" w:sz="0" w:space="0" w:color="auto"/>
        <w:left w:val="none" w:sz="0" w:space="0" w:color="auto"/>
        <w:bottom w:val="none" w:sz="0" w:space="0" w:color="auto"/>
        <w:right w:val="none" w:sz="0" w:space="0" w:color="auto"/>
      </w:divBdr>
    </w:div>
    <w:div w:id="2066834718">
      <w:bodyDiv w:val="1"/>
      <w:marLeft w:val="0"/>
      <w:marRight w:val="0"/>
      <w:marTop w:val="0"/>
      <w:marBottom w:val="0"/>
      <w:divBdr>
        <w:top w:val="none" w:sz="0" w:space="0" w:color="auto"/>
        <w:left w:val="none" w:sz="0" w:space="0" w:color="auto"/>
        <w:bottom w:val="none" w:sz="0" w:space="0" w:color="auto"/>
        <w:right w:val="none" w:sz="0" w:space="0" w:color="auto"/>
      </w:divBdr>
      <w:divsChild>
        <w:div w:id="996415806">
          <w:marLeft w:val="0"/>
          <w:marRight w:val="0"/>
          <w:marTop w:val="0"/>
          <w:marBottom w:val="0"/>
          <w:divBdr>
            <w:top w:val="none" w:sz="0" w:space="0" w:color="auto"/>
            <w:left w:val="none" w:sz="0" w:space="0" w:color="auto"/>
            <w:bottom w:val="none" w:sz="0" w:space="0" w:color="auto"/>
            <w:right w:val="none" w:sz="0" w:space="0" w:color="auto"/>
          </w:divBdr>
          <w:divsChild>
            <w:div w:id="1375302128">
              <w:marLeft w:val="0"/>
              <w:marRight w:val="0"/>
              <w:marTop w:val="0"/>
              <w:marBottom w:val="0"/>
              <w:divBdr>
                <w:top w:val="none" w:sz="0" w:space="0" w:color="auto"/>
                <w:left w:val="none" w:sz="0" w:space="0" w:color="auto"/>
                <w:bottom w:val="none" w:sz="0" w:space="0" w:color="auto"/>
                <w:right w:val="none" w:sz="0" w:space="0" w:color="auto"/>
              </w:divBdr>
              <w:divsChild>
                <w:div w:id="1160652808">
                  <w:marLeft w:val="0"/>
                  <w:marRight w:val="0"/>
                  <w:marTop w:val="0"/>
                  <w:marBottom w:val="0"/>
                  <w:divBdr>
                    <w:top w:val="none" w:sz="0" w:space="0" w:color="auto"/>
                    <w:left w:val="none" w:sz="0" w:space="0" w:color="auto"/>
                    <w:bottom w:val="none" w:sz="0" w:space="0" w:color="auto"/>
                    <w:right w:val="none" w:sz="0" w:space="0" w:color="auto"/>
                  </w:divBdr>
                  <w:divsChild>
                    <w:div w:id="2068527570">
                      <w:marLeft w:val="0"/>
                      <w:marRight w:val="0"/>
                      <w:marTop w:val="0"/>
                      <w:marBottom w:val="0"/>
                      <w:divBdr>
                        <w:top w:val="none" w:sz="0" w:space="0" w:color="auto"/>
                        <w:left w:val="none" w:sz="0" w:space="0" w:color="auto"/>
                        <w:bottom w:val="none" w:sz="0" w:space="0" w:color="auto"/>
                        <w:right w:val="none" w:sz="0" w:space="0" w:color="auto"/>
                      </w:divBdr>
                      <w:divsChild>
                        <w:div w:id="1287927308">
                          <w:marLeft w:val="0"/>
                          <w:marRight w:val="0"/>
                          <w:marTop w:val="0"/>
                          <w:marBottom w:val="0"/>
                          <w:divBdr>
                            <w:top w:val="none" w:sz="0" w:space="0" w:color="auto"/>
                            <w:left w:val="none" w:sz="0" w:space="0" w:color="auto"/>
                            <w:bottom w:val="none" w:sz="0" w:space="0" w:color="auto"/>
                            <w:right w:val="none" w:sz="0" w:space="0" w:color="auto"/>
                          </w:divBdr>
                          <w:divsChild>
                            <w:div w:id="186674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1439982">
      <w:bodyDiv w:val="1"/>
      <w:marLeft w:val="0"/>
      <w:marRight w:val="0"/>
      <w:marTop w:val="0"/>
      <w:marBottom w:val="0"/>
      <w:divBdr>
        <w:top w:val="none" w:sz="0" w:space="0" w:color="auto"/>
        <w:left w:val="none" w:sz="0" w:space="0" w:color="auto"/>
        <w:bottom w:val="none" w:sz="0" w:space="0" w:color="auto"/>
        <w:right w:val="none" w:sz="0" w:space="0" w:color="auto"/>
      </w:divBdr>
    </w:div>
    <w:div w:id="2091391599">
      <w:bodyDiv w:val="1"/>
      <w:marLeft w:val="0"/>
      <w:marRight w:val="0"/>
      <w:marTop w:val="0"/>
      <w:marBottom w:val="0"/>
      <w:divBdr>
        <w:top w:val="none" w:sz="0" w:space="0" w:color="auto"/>
        <w:left w:val="none" w:sz="0" w:space="0" w:color="auto"/>
        <w:bottom w:val="none" w:sz="0" w:space="0" w:color="auto"/>
        <w:right w:val="none" w:sz="0" w:space="0" w:color="auto"/>
      </w:divBdr>
      <w:divsChild>
        <w:div w:id="1179386768">
          <w:marLeft w:val="0"/>
          <w:marRight w:val="0"/>
          <w:marTop w:val="0"/>
          <w:marBottom w:val="0"/>
          <w:divBdr>
            <w:top w:val="none" w:sz="0" w:space="0" w:color="auto"/>
            <w:left w:val="none" w:sz="0" w:space="0" w:color="auto"/>
            <w:bottom w:val="none" w:sz="0" w:space="0" w:color="auto"/>
            <w:right w:val="none" w:sz="0" w:space="0" w:color="auto"/>
          </w:divBdr>
          <w:divsChild>
            <w:div w:id="221403915">
              <w:marLeft w:val="0"/>
              <w:marRight w:val="0"/>
              <w:marTop w:val="0"/>
              <w:marBottom w:val="0"/>
              <w:divBdr>
                <w:top w:val="none" w:sz="0" w:space="0" w:color="auto"/>
                <w:left w:val="none" w:sz="0" w:space="0" w:color="auto"/>
                <w:bottom w:val="none" w:sz="0" w:space="0" w:color="auto"/>
                <w:right w:val="none" w:sz="0" w:space="0" w:color="auto"/>
              </w:divBdr>
              <w:divsChild>
                <w:div w:id="231473359">
                  <w:marLeft w:val="0"/>
                  <w:marRight w:val="0"/>
                  <w:marTop w:val="0"/>
                  <w:marBottom w:val="0"/>
                  <w:divBdr>
                    <w:top w:val="none" w:sz="0" w:space="0" w:color="auto"/>
                    <w:left w:val="none" w:sz="0" w:space="0" w:color="auto"/>
                    <w:bottom w:val="none" w:sz="0" w:space="0" w:color="auto"/>
                    <w:right w:val="none" w:sz="0" w:space="0" w:color="auto"/>
                  </w:divBdr>
                  <w:divsChild>
                    <w:div w:id="1135835945">
                      <w:marLeft w:val="0"/>
                      <w:marRight w:val="0"/>
                      <w:marTop w:val="0"/>
                      <w:marBottom w:val="0"/>
                      <w:divBdr>
                        <w:top w:val="none" w:sz="0" w:space="0" w:color="auto"/>
                        <w:left w:val="none" w:sz="0" w:space="0" w:color="auto"/>
                        <w:bottom w:val="none" w:sz="0" w:space="0" w:color="auto"/>
                        <w:right w:val="none" w:sz="0" w:space="0" w:color="auto"/>
                      </w:divBdr>
                      <w:divsChild>
                        <w:div w:id="357893779">
                          <w:marLeft w:val="0"/>
                          <w:marRight w:val="0"/>
                          <w:marTop w:val="0"/>
                          <w:marBottom w:val="0"/>
                          <w:divBdr>
                            <w:top w:val="none" w:sz="0" w:space="0" w:color="auto"/>
                            <w:left w:val="none" w:sz="0" w:space="0" w:color="auto"/>
                            <w:bottom w:val="none" w:sz="0" w:space="0" w:color="auto"/>
                            <w:right w:val="none" w:sz="0" w:space="0" w:color="auto"/>
                          </w:divBdr>
                          <w:divsChild>
                            <w:div w:id="493421806">
                              <w:marLeft w:val="0"/>
                              <w:marRight w:val="0"/>
                              <w:marTop w:val="0"/>
                              <w:marBottom w:val="0"/>
                              <w:divBdr>
                                <w:top w:val="none" w:sz="0" w:space="0" w:color="auto"/>
                                <w:left w:val="none" w:sz="0" w:space="0" w:color="auto"/>
                                <w:bottom w:val="none" w:sz="0" w:space="0" w:color="auto"/>
                                <w:right w:val="none" w:sz="0" w:space="0" w:color="auto"/>
                              </w:divBdr>
                              <w:divsChild>
                                <w:div w:id="1830049175">
                                  <w:marLeft w:val="0"/>
                                  <w:marRight w:val="0"/>
                                  <w:marTop w:val="0"/>
                                  <w:marBottom w:val="0"/>
                                  <w:divBdr>
                                    <w:top w:val="none" w:sz="0" w:space="0" w:color="auto"/>
                                    <w:left w:val="none" w:sz="0" w:space="0" w:color="auto"/>
                                    <w:bottom w:val="none" w:sz="0" w:space="0" w:color="auto"/>
                                    <w:right w:val="none" w:sz="0" w:space="0" w:color="auto"/>
                                  </w:divBdr>
                                  <w:divsChild>
                                    <w:div w:id="1612476293">
                                      <w:marLeft w:val="0"/>
                                      <w:marRight w:val="0"/>
                                      <w:marTop w:val="0"/>
                                      <w:marBottom w:val="0"/>
                                      <w:divBdr>
                                        <w:top w:val="none" w:sz="0" w:space="0" w:color="auto"/>
                                        <w:left w:val="none" w:sz="0" w:space="0" w:color="auto"/>
                                        <w:bottom w:val="none" w:sz="0" w:space="0" w:color="auto"/>
                                        <w:right w:val="none" w:sz="0" w:space="0" w:color="auto"/>
                                      </w:divBdr>
                                      <w:divsChild>
                                        <w:div w:id="1791821737">
                                          <w:marLeft w:val="0"/>
                                          <w:marRight w:val="0"/>
                                          <w:marTop w:val="0"/>
                                          <w:marBottom w:val="0"/>
                                          <w:divBdr>
                                            <w:top w:val="none" w:sz="0" w:space="0" w:color="auto"/>
                                            <w:left w:val="none" w:sz="0" w:space="0" w:color="auto"/>
                                            <w:bottom w:val="none" w:sz="0" w:space="0" w:color="auto"/>
                                            <w:right w:val="none" w:sz="0" w:space="0" w:color="auto"/>
                                          </w:divBdr>
                                          <w:divsChild>
                                            <w:div w:id="1996373673">
                                              <w:marLeft w:val="0"/>
                                              <w:marRight w:val="0"/>
                                              <w:marTop w:val="0"/>
                                              <w:marBottom w:val="0"/>
                                              <w:divBdr>
                                                <w:top w:val="none" w:sz="0" w:space="0" w:color="auto"/>
                                                <w:left w:val="none" w:sz="0" w:space="0" w:color="auto"/>
                                                <w:bottom w:val="none" w:sz="0" w:space="0" w:color="auto"/>
                                                <w:right w:val="none" w:sz="0" w:space="0" w:color="auto"/>
                                              </w:divBdr>
                                              <w:divsChild>
                                                <w:div w:id="460536362">
                                                  <w:marLeft w:val="0"/>
                                                  <w:marRight w:val="0"/>
                                                  <w:marTop w:val="0"/>
                                                  <w:marBottom w:val="0"/>
                                                  <w:divBdr>
                                                    <w:top w:val="none" w:sz="0" w:space="0" w:color="auto"/>
                                                    <w:left w:val="none" w:sz="0" w:space="0" w:color="auto"/>
                                                    <w:bottom w:val="none" w:sz="0" w:space="0" w:color="auto"/>
                                                    <w:right w:val="none" w:sz="0" w:space="0" w:color="auto"/>
                                                  </w:divBdr>
                                                  <w:divsChild>
                                                    <w:div w:id="1393579565">
                                                      <w:marLeft w:val="0"/>
                                                      <w:marRight w:val="0"/>
                                                      <w:marTop w:val="0"/>
                                                      <w:marBottom w:val="0"/>
                                                      <w:divBdr>
                                                        <w:top w:val="none" w:sz="0" w:space="0" w:color="auto"/>
                                                        <w:left w:val="none" w:sz="0" w:space="0" w:color="auto"/>
                                                        <w:bottom w:val="none" w:sz="0" w:space="0" w:color="auto"/>
                                                        <w:right w:val="none" w:sz="0" w:space="0" w:color="auto"/>
                                                      </w:divBdr>
                                                      <w:divsChild>
                                                        <w:div w:id="378289592">
                                                          <w:marLeft w:val="0"/>
                                                          <w:marRight w:val="0"/>
                                                          <w:marTop w:val="0"/>
                                                          <w:marBottom w:val="0"/>
                                                          <w:divBdr>
                                                            <w:top w:val="none" w:sz="0" w:space="0" w:color="auto"/>
                                                            <w:left w:val="none" w:sz="0" w:space="0" w:color="auto"/>
                                                            <w:bottom w:val="none" w:sz="0" w:space="0" w:color="auto"/>
                                                            <w:right w:val="none" w:sz="0" w:space="0" w:color="auto"/>
                                                          </w:divBdr>
                                                          <w:divsChild>
                                                            <w:div w:id="995114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698889">
                                                  <w:marLeft w:val="0"/>
                                                  <w:marRight w:val="0"/>
                                                  <w:marTop w:val="0"/>
                                                  <w:marBottom w:val="0"/>
                                                  <w:divBdr>
                                                    <w:top w:val="none" w:sz="0" w:space="0" w:color="auto"/>
                                                    <w:left w:val="none" w:sz="0" w:space="0" w:color="auto"/>
                                                    <w:bottom w:val="none" w:sz="0" w:space="0" w:color="auto"/>
                                                    <w:right w:val="none" w:sz="0" w:space="0" w:color="auto"/>
                                                  </w:divBdr>
                                                  <w:divsChild>
                                                    <w:div w:id="1784223577">
                                                      <w:marLeft w:val="0"/>
                                                      <w:marRight w:val="0"/>
                                                      <w:marTop w:val="0"/>
                                                      <w:marBottom w:val="0"/>
                                                      <w:divBdr>
                                                        <w:top w:val="none" w:sz="0" w:space="0" w:color="auto"/>
                                                        <w:left w:val="none" w:sz="0" w:space="0" w:color="auto"/>
                                                        <w:bottom w:val="none" w:sz="0" w:space="0" w:color="auto"/>
                                                        <w:right w:val="none" w:sz="0" w:space="0" w:color="auto"/>
                                                      </w:divBdr>
                                                      <w:divsChild>
                                                        <w:div w:id="226569839">
                                                          <w:marLeft w:val="0"/>
                                                          <w:marRight w:val="0"/>
                                                          <w:marTop w:val="0"/>
                                                          <w:marBottom w:val="0"/>
                                                          <w:divBdr>
                                                            <w:top w:val="none" w:sz="0" w:space="0" w:color="auto"/>
                                                            <w:left w:val="none" w:sz="0" w:space="0" w:color="auto"/>
                                                            <w:bottom w:val="none" w:sz="0" w:space="0" w:color="auto"/>
                                                            <w:right w:val="none" w:sz="0" w:space="0" w:color="auto"/>
                                                          </w:divBdr>
                                                          <w:divsChild>
                                                            <w:div w:id="140256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35577179">
          <w:marLeft w:val="0"/>
          <w:marRight w:val="0"/>
          <w:marTop w:val="0"/>
          <w:marBottom w:val="0"/>
          <w:divBdr>
            <w:top w:val="none" w:sz="0" w:space="0" w:color="auto"/>
            <w:left w:val="none" w:sz="0" w:space="0" w:color="auto"/>
            <w:bottom w:val="none" w:sz="0" w:space="0" w:color="auto"/>
            <w:right w:val="none" w:sz="0" w:space="0" w:color="auto"/>
          </w:divBdr>
          <w:divsChild>
            <w:div w:id="1250626336">
              <w:marLeft w:val="0"/>
              <w:marRight w:val="0"/>
              <w:marTop w:val="0"/>
              <w:marBottom w:val="0"/>
              <w:divBdr>
                <w:top w:val="none" w:sz="0" w:space="0" w:color="auto"/>
                <w:left w:val="none" w:sz="0" w:space="0" w:color="auto"/>
                <w:bottom w:val="none" w:sz="0" w:space="0" w:color="auto"/>
                <w:right w:val="none" w:sz="0" w:space="0" w:color="auto"/>
              </w:divBdr>
              <w:divsChild>
                <w:div w:id="108661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198430">
      <w:bodyDiv w:val="1"/>
      <w:marLeft w:val="0"/>
      <w:marRight w:val="0"/>
      <w:marTop w:val="0"/>
      <w:marBottom w:val="0"/>
      <w:divBdr>
        <w:top w:val="none" w:sz="0" w:space="0" w:color="auto"/>
        <w:left w:val="none" w:sz="0" w:space="0" w:color="auto"/>
        <w:bottom w:val="none" w:sz="0" w:space="0" w:color="auto"/>
        <w:right w:val="none" w:sz="0" w:space="0" w:color="auto"/>
      </w:divBdr>
    </w:div>
    <w:div w:id="2096588952">
      <w:bodyDiv w:val="1"/>
      <w:marLeft w:val="0"/>
      <w:marRight w:val="0"/>
      <w:marTop w:val="0"/>
      <w:marBottom w:val="0"/>
      <w:divBdr>
        <w:top w:val="none" w:sz="0" w:space="0" w:color="auto"/>
        <w:left w:val="none" w:sz="0" w:space="0" w:color="auto"/>
        <w:bottom w:val="none" w:sz="0" w:space="0" w:color="auto"/>
        <w:right w:val="none" w:sz="0" w:space="0" w:color="auto"/>
      </w:divBdr>
    </w:div>
    <w:div w:id="2104184457">
      <w:bodyDiv w:val="1"/>
      <w:marLeft w:val="0"/>
      <w:marRight w:val="0"/>
      <w:marTop w:val="0"/>
      <w:marBottom w:val="0"/>
      <w:divBdr>
        <w:top w:val="none" w:sz="0" w:space="0" w:color="auto"/>
        <w:left w:val="none" w:sz="0" w:space="0" w:color="auto"/>
        <w:bottom w:val="none" w:sz="0" w:space="0" w:color="auto"/>
        <w:right w:val="none" w:sz="0" w:space="0" w:color="auto"/>
      </w:divBdr>
    </w:div>
    <w:div w:id="2120295020">
      <w:bodyDiv w:val="1"/>
      <w:marLeft w:val="0"/>
      <w:marRight w:val="0"/>
      <w:marTop w:val="0"/>
      <w:marBottom w:val="0"/>
      <w:divBdr>
        <w:top w:val="none" w:sz="0" w:space="0" w:color="auto"/>
        <w:left w:val="none" w:sz="0" w:space="0" w:color="auto"/>
        <w:bottom w:val="none" w:sz="0" w:space="0" w:color="auto"/>
        <w:right w:val="none" w:sz="0" w:space="0" w:color="auto"/>
      </w:divBdr>
    </w:div>
    <w:div w:id="2136749238">
      <w:bodyDiv w:val="1"/>
      <w:marLeft w:val="0"/>
      <w:marRight w:val="0"/>
      <w:marTop w:val="0"/>
      <w:marBottom w:val="0"/>
      <w:divBdr>
        <w:top w:val="none" w:sz="0" w:space="0" w:color="auto"/>
        <w:left w:val="none" w:sz="0" w:space="0" w:color="auto"/>
        <w:bottom w:val="none" w:sz="0" w:space="0" w:color="auto"/>
        <w:right w:val="none" w:sz="0" w:space="0" w:color="auto"/>
      </w:divBdr>
    </w:div>
    <w:div w:id="2144884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0.png"/><Relationship Id="rId3" Type="http://schemas.openxmlformats.org/officeDocument/2006/relationships/customXml" Target="../customXml/item3.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5" Type="http://schemas.openxmlformats.org/officeDocument/2006/relationships/image" Target="media/image9.png"/><Relationship Id="rId33" Type="http://schemas.openxmlformats.org/officeDocument/2006/relationships/image" Target="media/image17.png"/><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chart" Target="charts/chart2.xml"/><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32" Type="http://schemas.openxmlformats.org/officeDocument/2006/relationships/image" Target="media/image16.png"/><Relationship Id="rId5" Type="http://schemas.openxmlformats.org/officeDocument/2006/relationships/numbering" Target="numbering.xml"/><Relationship Id="rId15" Type="http://schemas.openxmlformats.org/officeDocument/2006/relationships/image" Target="media/image5.png"/><Relationship Id="rId28" Type="http://schemas.openxmlformats.org/officeDocument/2006/relationships/image" Target="media/image12.png"/><Relationship Id="rId10" Type="http://schemas.openxmlformats.org/officeDocument/2006/relationships/endnotes" Target="endnotes.xml"/><Relationship Id="rId19" Type="http://schemas.openxmlformats.org/officeDocument/2006/relationships/chart" Target="charts/chart1.xml"/><Relationship Id="rId31" Type="http://schemas.openxmlformats.org/officeDocument/2006/relationships/image" Target="media/image1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footnotes.xml.rels><?xml version="1.0" encoding="UTF-8" standalone="yes"?>
<Relationships xmlns="http://schemas.openxmlformats.org/package/2006/relationships"><Relationship Id="rId8" Type="http://schemas.openxmlformats.org/officeDocument/2006/relationships/hyperlink" Target="https://www.spglobal.com/commodityinsights/en/market-insights/latest-news/agriculture/100924-aviation-maritime-demand-to-fuel-global-biofuel-feedstock-race-by-2030?utm_source=chatgpt.com" TargetMode="External"/><Relationship Id="rId3" Type="http://schemas.openxmlformats.org/officeDocument/2006/relationships/hyperlink" Target="https://cdn.cdp.net/cdp-production/cms/guidance_docs/pdfs/000/003/504/original/CDP-technical-note-scope-3-relevance-by-sector.pdf" TargetMode="External"/><Relationship Id="rId7" Type="http://schemas.openxmlformats.org/officeDocument/2006/relationships/hyperlink" Target="https://www.ifpenergiesnouvelles.fr/article/tableau-bord-biocarburants-2023" TargetMode="External"/><Relationship Id="rId2" Type="http://schemas.openxmlformats.org/officeDocument/2006/relationships/hyperlink" Target="https://wwwcdn.imo.org/localresources/en/KnowledgeCentre/IndexofIMOResolutions/MEPCDocuments/MEPC.346(78).pdf" TargetMode="External"/><Relationship Id="rId1" Type="http://schemas.openxmlformats.org/officeDocument/2006/relationships/hyperlink" Target="https://climate.ec.europa.eu/document/download/31875b4f-39b9-4cde-a4e2-fbb8f65ee703_en?filename=policy_transport_shipping_gd1_maritime_en.pdf" TargetMode="External"/><Relationship Id="rId6" Type="http://schemas.openxmlformats.org/officeDocument/2006/relationships/hyperlink" Target="https://www.methanol.org/wp-content/uploads/2023/05/Marine_Methanol_Report_Methanol_Institute_May_2023.pdf" TargetMode="External"/><Relationship Id="rId5" Type="http://schemas.openxmlformats.org/officeDocument/2006/relationships/hyperlink" Target="https://rina.org.uk/publications/the-naval-architect/blending-biofuel-with-conventional-marine-fuel-shown-to-improve-cii-ratings/" TargetMode="External"/><Relationship Id="rId10" Type="http://schemas.openxmlformats.org/officeDocument/2006/relationships/hyperlink" Target="https://globalwindatlas.info/en/" TargetMode="External"/><Relationship Id="rId4" Type="http://schemas.openxmlformats.org/officeDocument/2006/relationships/hyperlink" Target="https://data.consilium.europa.eu/doc/document/PE-26-2023-INIT/en/pdf" TargetMode="External"/><Relationship Id="rId9" Type="http://schemas.openxmlformats.org/officeDocument/2006/relationships/hyperlink" Target="https://www.spglobal.com/commodityinsights/en/ci/topic/key-considerations-in-financing-biofuels-related-investments.html?utm_source=chatgpt.com"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https://sites.ey.com/sites/EBRDCCGProposal/Shared%20Documents/General/CCG%20Subsequent%20Assignments%20(delivery)/2.%20Engagements%20-%20WON/15.%20Azerbaidjan%20-%20ASCO%20(hors%20FWC)/2_Delivery/2.%20Climate%20Risks/EY%20CAP/FY25%20-%20ASCO%20-%20Physical%20risks%20-%20Exposure.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sites.ey.com/sites/EBRDCCGProposal/Shared%20Documents/General/CCG%20Subsequent%20Assignments%20(delivery)/2.%20Engagements%20-%20WON/15.%20Azerbaidjan%20-%20ASCO%20(hors%20FWC)/2_Delivery/2.%20Climate%20Risks/EY%20CAP/FY25%20-%20ASCO%20-%20Physical%20risks%20-%20Exposur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b="0"/>
            </a:pPr>
            <a:r>
              <a:rPr lang="fr-FR" b="0"/>
              <a:t>Evolution of heatwaves under climate change scenarios</a:t>
            </a:r>
          </a:p>
        </c:rich>
      </c:tx>
      <c:overlay val="0"/>
      <c:spPr>
        <a:noFill/>
        <a:ln>
          <a:noFill/>
        </a:ln>
        <a:effectLst/>
      </c:spPr>
    </c:title>
    <c:autoTitleDeleted val="0"/>
    <c:plotArea>
      <c:layout>
        <c:manualLayout>
          <c:layoutTarget val="inner"/>
          <c:xMode val="edge"/>
          <c:yMode val="edge"/>
          <c:x val="0.16109936290063034"/>
          <c:y val="0.14616130084331175"/>
          <c:w val="0.69950039681804166"/>
          <c:h val="0.46699179984158784"/>
        </c:manualLayout>
      </c:layout>
      <c:barChart>
        <c:barDir val="col"/>
        <c:grouping val="clustered"/>
        <c:varyColors val="0"/>
        <c:ser>
          <c:idx val="2"/>
          <c:order val="0"/>
          <c:tx>
            <c:strRef>
              <c:f>'Report table detail'!$B$79</c:f>
              <c:strCache>
                <c:ptCount val="1"/>
                <c:pt idx="0">
                  <c:v>Longest series of heat wave</c:v>
                </c:pt>
              </c:strCache>
            </c:strRef>
          </c:tx>
          <c:spPr>
            <a:solidFill>
              <a:schemeClr val="bg1">
                <a:lumMod val="75000"/>
              </a:schemeClr>
            </a:solidFill>
          </c:spPr>
          <c:invertIfNegative val="0"/>
          <c:cat>
            <c:multiLvlStrRef>
              <c:f>'Report table detail'!$C$74:$I$75</c:f>
              <c:multiLvlStrCache>
                <c:ptCount val="7"/>
                <c:lvl>
                  <c:pt idx="0">
                    <c:v>baseline</c:v>
                  </c:pt>
                  <c:pt idx="1">
                    <c:v>RCP45-SSP245</c:v>
                  </c:pt>
                  <c:pt idx="2">
                    <c:v>RCP85-SSP585</c:v>
                  </c:pt>
                  <c:pt idx="3">
                    <c:v>RCP45-SSP245</c:v>
                  </c:pt>
                  <c:pt idx="4">
                    <c:v>RCP85-SSP585</c:v>
                  </c:pt>
                  <c:pt idx="5">
                    <c:v>RCP45-SSP245</c:v>
                  </c:pt>
                  <c:pt idx="6">
                    <c:v>RCP85-SSP585</c:v>
                  </c:pt>
                </c:lvl>
                <c:lvl>
                  <c:pt idx="0">
                    <c:v>historical</c:v>
                  </c:pt>
                  <c:pt idx="1">
                    <c:v>2030</c:v>
                  </c:pt>
                  <c:pt idx="3">
                    <c:v>2040</c:v>
                  </c:pt>
                  <c:pt idx="5">
                    <c:v>2050</c:v>
                  </c:pt>
                </c:lvl>
              </c:multiLvlStrCache>
            </c:multiLvlStrRef>
          </c:cat>
          <c:val>
            <c:numRef>
              <c:f>'Report table detail'!$C$79:$I$79</c:f>
              <c:numCache>
                <c:formatCode>_(* #,##0.00_);_(* \(#,##0.00\);_(* "-"??_);_(@_)</c:formatCode>
                <c:ptCount val="7"/>
                <c:pt idx="0">
                  <c:v>6.8566666666666665</c:v>
                </c:pt>
                <c:pt idx="1">
                  <c:v>13.772539682539636</c:v>
                </c:pt>
                <c:pt idx="2">
                  <c:v>16.344603174603133</c:v>
                </c:pt>
                <c:pt idx="3">
                  <c:v>16.201111111111032</c:v>
                </c:pt>
                <c:pt idx="4">
                  <c:v>20.550952380952367</c:v>
                </c:pt>
                <c:pt idx="5">
                  <c:v>23.466666666666669</c:v>
                </c:pt>
                <c:pt idx="6">
                  <c:v>36.21</c:v>
                </c:pt>
              </c:numCache>
            </c:numRef>
          </c:val>
          <c:extLst>
            <c:ext xmlns:c16="http://schemas.microsoft.com/office/drawing/2014/chart" uri="{C3380CC4-5D6E-409C-BE32-E72D297353CC}">
              <c16:uniqueId val="{00000000-42E6-47F1-80A9-F764F9F986AA}"/>
            </c:ext>
          </c:extLst>
        </c:ser>
        <c:ser>
          <c:idx val="3"/>
          <c:order val="1"/>
          <c:tx>
            <c:strRef>
              <c:f>'Report table detail'!$B$78</c:f>
              <c:strCache>
                <c:ptCount val="1"/>
                <c:pt idx="0">
                  <c:v>Number of heat wave events within a year.</c:v>
                </c:pt>
              </c:strCache>
            </c:strRef>
          </c:tx>
          <c:spPr>
            <a:ln>
              <a:noFill/>
            </a:ln>
          </c:spPr>
          <c:invertIfNegative val="0"/>
          <c:cat>
            <c:multiLvlStrRef>
              <c:f>'Report table detail'!$C$74:$I$75</c:f>
              <c:multiLvlStrCache>
                <c:ptCount val="7"/>
                <c:lvl>
                  <c:pt idx="0">
                    <c:v>baseline</c:v>
                  </c:pt>
                  <c:pt idx="1">
                    <c:v>RCP45-SSP245</c:v>
                  </c:pt>
                  <c:pt idx="2">
                    <c:v>RCP85-SSP585</c:v>
                  </c:pt>
                  <c:pt idx="3">
                    <c:v>RCP45-SSP245</c:v>
                  </c:pt>
                  <c:pt idx="4">
                    <c:v>RCP85-SSP585</c:v>
                  </c:pt>
                  <c:pt idx="5">
                    <c:v>RCP45-SSP245</c:v>
                  </c:pt>
                  <c:pt idx="6">
                    <c:v>RCP85-SSP585</c:v>
                  </c:pt>
                </c:lvl>
                <c:lvl>
                  <c:pt idx="0">
                    <c:v>historical</c:v>
                  </c:pt>
                  <c:pt idx="1">
                    <c:v>2030</c:v>
                  </c:pt>
                  <c:pt idx="3">
                    <c:v>2040</c:v>
                  </c:pt>
                  <c:pt idx="5">
                    <c:v>2050</c:v>
                  </c:pt>
                </c:lvl>
              </c:multiLvlStrCache>
            </c:multiLvlStrRef>
          </c:cat>
          <c:val>
            <c:numRef>
              <c:f>'Report table detail'!$C$78:$I$78</c:f>
              <c:numCache>
                <c:formatCode>_(* #,##0.00_);_(* \(#,##0.00\);_(* "-"??_);_(@_)</c:formatCode>
                <c:ptCount val="7"/>
                <c:pt idx="0">
                  <c:v>2.19</c:v>
                </c:pt>
                <c:pt idx="1">
                  <c:v>3.689523809523807</c:v>
                </c:pt>
                <c:pt idx="2">
                  <c:v>4.0365079365079302</c:v>
                </c:pt>
                <c:pt idx="3">
                  <c:v>3.9276190476190433</c:v>
                </c:pt>
                <c:pt idx="4">
                  <c:v>4.2111111111111068</c:v>
                </c:pt>
                <c:pt idx="5">
                  <c:v>4.3899999999999997</c:v>
                </c:pt>
                <c:pt idx="6">
                  <c:v>4.37</c:v>
                </c:pt>
              </c:numCache>
            </c:numRef>
          </c:val>
          <c:extLst>
            <c:ext xmlns:c16="http://schemas.microsoft.com/office/drawing/2014/chart" uri="{C3380CC4-5D6E-409C-BE32-E72D297353CC}">
              <c16:uniqueId val="{00000001-42E6-47F1-80A9-F764F9F986AA}"/>
            </c:ext>
          </c:extLst>
        </c:ser>
        <c:ser>
          <c:idx val="1"/>
          <c:order val="3"/>
          <c:tx>
            <c:strRef>
              <c:f>'Report table detail'!$B$79</c:f>
              <c:strCache>
                <c:ptCount val="1"/>
                <c:pt idx="0">
                  <c:v>Longest series of heat wave</c:v>
                </c:pt>
              </c:strCache>
            </c:strRef>
          </c:tx>
          <c:spPr>
            <a:solidFill>
              <a:schemeClr val="bg1">
                <a:lumMod val="65000"/>
              </a:schemeClr>
            </a:solidFill>
            <a:ln>
              <a:noFill/>
            </a:ln>
            <a:effectLst/>
          </c:spPr>
          <c:invertIfNegative val="0"/>
          <c:cat>
            <c:multiLvlStrRef>
              <c:f>'Report table detail'!$C$74:$I$75</c:f>
              <c:multiLvlStrCache>
                <c:ptCount val="7"/>
                <c:lvl>
                  <c:pt idx="0">
                    <c:v>baseline</c:v>
                  </c:pt>
                  <c:pt idx="1">
                    <c:v>RCP45-SSP245</c:v>
                  </c:pt>
                  <c:pt idx="2">
                    <c:v>RCP85-SSP585</c:v>
                  </c:pt>
                  <c:pt idx="3">
                    <c:v>RCP45-SSP245</c:v>
                  </c:pt>
                  <c:pt idx="4">
                    <c:v>RCP85-SSP585</c:v>
                  </c:pt>
                  <c:pt idx="5">
                    <c:v>RCP45-SSP245</c:v>
                  </c:pt>
                  <c:pt idx="6">
                    <c:v>RCP85-SSP585</c:v>
                  </c:pt>
                </c:lvl>
                <c:lvl>
                  <c:pt idx="0">
                    <c:v>historical</c:v>
                  </c:pt>
                  <c:pt idx="1">
                    <c:v>2030</c:v>
                  </c:pt>
                  <c:pt idx="3">
                    <c:v>2040</c:v>
                  </c:pt>
                  <c:pt idx="5">
                    <c:v>2050</c:v>
                  </c:pt>
                </c:lvl>
              </c:multiLvlStrCache>
            </c:multiLvlStrRef>
          </c:cat>
          <c:val>
            <c:numRef>
              <c:f>'Report table detail'!$C$79:$I$79</c:f>
              <c:numCache>
                <c:formatCode>_(* #,##0.00_);_(* \(#,##0.00\);_(* "-"??_);_(@_)</c:formatCode>
                <c:ptCount val="7"/>
                <c:pt idx="0">
                  <c:v>6.8566666666666665</c:v>
                </c:pt>
                <c:pt idx="1">
                  <c:v>13.772539682539636</c:v>
                </c:pt>
                <c:pt idx="2">
                  <c:v>16.344603174603133</c:v>
                </c:pt>
                <c:pt idx="3">
                  <c:v>16.201111111111032</c:v>
                </c:pt>
                <c:pt idx="4">
                  <c:v>20.550952380952367</c:v>
                </c:pt>
                <c:pt idx="5">
                  <c:v>23.466666666666669</c:v>
                </c:pt>
                <c:pt idx="6">
                  <c:v>36.21</c:v>
                </c:pt>
              </c:numCache>
            </c:numRef>
          </c:val>
          <c:extLst>
            <c:ext xmlns:c16="http://schemas.microsoft.com/office/drawing/2014/chart" uri="{C3380CC4-5D6E-409C-BE32-E72D297353CC}">
              <c16:uniqueId val="{00000002-42E6-47F1-80A9-F764F9F986AA}"/>
            </c:ext>
          </c:extLst>
        </c:ser>
        <c:dLbls>
          <c:showLegendKey val="0"/>
          <c:showVal val="0"/>
          <c:showCatName val="0"/>
          <c:showSerName val="0"/>
          <c:showPercent val="0"/>
          <c:showBubbleSize val="0"/>
        </c:dLbls>
        <c:gapWidth val="81"/>
        <c:overlap val="100"/>
        <c:axId val="1848552944"/>
        <c:axId val="1848549704"/>
      </c:barChart>
      <c:lineChart>
        <c:grouping val="standard"/>
        <c:varyColors val="0"/>
        <c:ser>
          <c:idx val="0"/>
          <c:order val="2"/>
          <c:tx>
            <c:strRef>
              <c:f>'Report table detail'!$B$78</c:f>
              <c:strCache>
                <c:ptCount val="1"/>
                <c:pt idx="0">
                  <c:v>Number of heat wave events within a year.</c:v>
                </c:pt>
              </c:strCache>
            </c:strRef>
          </c:tx>
          <c:spPr>
            <a:ln w="28575" cap="rnd">
              <a:noFill/>
              <a:round/>
            </a:ln>
            <a:effectLst/>
          </c:spPr>
          <c:marker>
            <c:symbol val="diamond"/>
            <c:size val="8"/>
            <c:spPr>
              <a:solidFill>
                <a:schemeClr val="tx1"/>
              </a:solidFill>
              <a:ln w="9525">
                <a:noFill/>
              </a:ln>
              <a:effectLst/>
            </c:spPr>
          </c:marker>
          <c:cat>
            <c:multiLvlStrRef>
              <c:f>'Report table detail'!$C$74:$I$75</c:f>
              <c:multiLvlStrCache>
                <c:ptCount val="7"/>
                <c:lvl>
                  <c:pt idx="0">
                    <c:v>baseline</c:v>
                  </c:pt>
                  <c:pt idx="1">
                    <c:v>RCP45-SSP245</c:v>
                  </c:pt>
                  <c:pt idx="2">
                    <c:v>RCP85-SSP585</c:v>
                  </c:pt>
                  <c:pt idx="3">
                    <c:v>RCP45-SSP245</c:v>
                  </c:pt>
                  <c:pt idx="4">
                    <c:v>RCP85-SSP585</c:v>
                  </c:pt>
                  <c:pt idx="5">
                    <c:v>RCP45-SSP245</c:v>
                  </c:pt>
                  <c:pt idx="6">
                    <c:v>RCP85-SSP585</c:v>
                  </c:pt>
                </c:lvl>
                <c:lvl>
                  <c:pt idx="0">
                    <c:v>historical</c:v>
                  </c:pt>
                  <c:pt idx="1">
                    <c:v>2030</c:v>
                  </c:pt>
                  <c:pt idx="3">
                    <c:v>2040</c:v>
                  </c:pt>
                  <c:pt idx="5">
                    <c:v>2050</c:v>
                  </c:pt>
                </c:lvl>
              </c:multiLvlStrCache>
            </c:multiLvlStrRef>
          </c:cat>
          <c:val>
            <c:numRef>
              <c:f>'Report table detail'!$C$78:$I$78</c:f>
              <c:numCache>
                <c:formatCode>_(* #,##0.00_);_(* \(#,##0.00\);_(* "-"??_);_(@_)</c:formatCode>
                <c:ptCount val="7"/>
                <c:pt idx="0">
                  <c:v>2.19</c:v>
                </c:pt>
                <c:pt idx="1">
                  <c:v>3.689523809523807</c:v>
                </c:pt>
                <c:pt idx="2">
                  <c:v>4.0365079365079302</c:v>
                </c:pt>
                <c:pt idx="3">
                  <c:v>3.9276190476190433</c:v>
                </c:pt>
                <c:pt idx="4">
                  <c:v>4.2111111111111068</c:v>
                </c:pt>
                <c:pt idx="5">
                  <c:v>4.3899999999999997</c:v>
                </c:pt>
                <c:pt idx="6">
                  <c:v>4.37</c:v>
                </c:pt>
              </c:numCache>
            </c:numRef>
          </c:val>
          <c:smooth val="0"/>
          <c:extLst>
            <c:ext xmlns:c16="http://schemas.microsoft.com/office/drawing/2014/chart" uri="{C3380CC4-5D6E-409C-BE32-E72D297353CC}">
              <c16:uniqueId val="{00000003-42E6-47F1-80A9-F764F9F986AA}"/>
            </c:ext>
          </c:extLst>
        </c:ser>
        <c:dLbls>
          <c:showLegendKey val="0"/>
          <c:showVal val="0"/>
          <c:showCatName val="0"/>
          <c:showSerName val="0"/>
          <c:showPercent val="0"/>
          <c:showBubbleSize val="0"/>
        </c:dLbls>
        <c:marker val="1"/>
        <c:smooth val="0"/>
        <c:axId val="1848492464"/>
        <c:axId val="1848495704"/>
      </c:lineChart>
      <c:catAx>
        <c:axId val="1848552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fr-FR"/>
          </a:p>
        </c:txPr>
        <c:crossAx val="1848549704"/>
        <c:crosses val="autoZero"/>
        <c:auto val="1"/>
        <c:lblAlgn val="ctr"/>
        <c:lblOffset val="100"/>
        <c:noMultiLvlLbl val="0"/>
      </c:catAx>
      <c:valAx>
        <c:axId val="1848549704"/>
        <c:scaling>
          <c:orientation val="minMax"/>
        </c:scaling>
        <c:delete val="0"/>
        <c:axPos val="l"/>
        <c:majorGridlines>
          <c:spPr>
            <a:ln w="9525" cap="flat" cmpd="sng" algn="ctr">
              <a:solidFill>
                <a:schemeClr val="tx1">
                  <a:lumMod val="15000"/>
                  <a:lumOff val="85000"/>
                </a:schemeClr>
              </a:solidFill>
              <a:round/>
            </a:ln>
            <a:effectLst/>
          </c:spPr>
        </c:majorGridlines>
        <c:title>
          <c:tx>
            <c:rich>
              <a:bodyPr/>
              <a:lstStyle/>
              <a:p>
                <a:pPr>
                  <a:defRPr b="0"/>
                </a:pPr>
                <a:r>
                  <a:rPr lang="fr-FR" b="0"/>
                  <a:t>Days</a:t>
                </a:r>
              </a:p>
            </c:rich>
          </c:tx>
          <c:overlay val="0"/>
        </c:title>
        <c:numFmt formatCode="_(* #,##0_);_(* \(#,##0\);_(* &quot;-&quot;_);_(@_)" sourceLinked="0"/>
        <c:majorTickMark val="none"/>
        <c:minorTickMark val="none"/>
        <c:tickLblPos val="nextTo"/>
        <c:spPr>
          <a:noFill/>
          <a:ln>
            <a:noFill/>
          </a:ln>
          <a:effectLst/>
        </c:spPr>
        <c:txPr>
          <a:bodyPr rot="-60000000" vert="horz"/>
          <a:lstStyle/>
          <a:p>
            <a:pPr>
              <a:defRPr/>
            </a:pPr>
            <a:endParaRPr lang="fr-FR"/>
          </a:p>
        </c:txPr>
        <c:crossAx val="1848552944"/>
        <c:crosses val="autoZero"/>
        <c:crossBetween val="between"/>
      </c:valAx>
      <c:valAx>
        <c:axId val="1848495704"/>
        <c:scaling>
          <c:orientation val="minMax"/>
        </c:scaling>
        <c:delete val="0"/>
        <c:axPos val="r"/>
        <c:title>
          <c:tx>
            <c:rich>
              <a:bodyPr rot="5400000" vert="horz"/>
              <a:lstStyle/>
              <a:p>
                <a:pPr>
                  <a:defRPr b="0"/>
                </a:pPr>
                <a:r>
                  <a:rPr lang="fr-FR" b="0"/>
                  <a:t>Number</a:t>
                </a:r>
              </a:p>
            </c:rich>
          </c:tx>
          <c:overlay val="0"/>
        </c:title>
        <c:numFmt formatCode="_(* #,##0_);_(* \(#,##0\);_(* &quot;-&quot;_);_(@_)" sourceLinked="0"/>
        <c:majorTickMark val="out"/>
        <c:minorTickMark val="none"/>
        <c:tickLblPos val="nextTo"/>
        <c:spPr>
          <a:noFill/>
          <a:ln>
            <a:noFill/>
          </a:ln>
          <a:effectLst/>
        </c:spPr>
        <c:txPr>
          <a:bodyPr rot="-60000000" vert="horz"/>
          <a:lstStyle/>
          <a:p>
            <a:pPr>
              <a:defRPr/>
            </a:pPr>
            <a:endParaRPr lang="fr-FR"/>
          </a:p>
        </c:txPr>
        <c:crossAx val="1848492464"/>
        <c:crosses val="max"/>
        <c:crossBetween val="between"/>
      </c:valAx>
      <c:catAx>
        <c:axId val="1848492464"/>
        <c:scaling>
          <c:orientation val="minMax"/>
        </c:scaling>
        <c:delete val="1"/>
        <c:axPos val="b"/>
        <c:numFmt formatCode="General" sourceLinked="1"/>
        <c:majorTickMark val="out"/>
        <c:minorTickMark val="none"/>
        <c:tickLblPos val="nextTo"/>
        <c:crossAx val="1848495704"/>
        <c:crosses val="autoZero"/>
        <c:auto val="1"/>
        <c:lblAlgn val="ctr"/>
        <c:lblOffset val="100"/>
        <c:noMultiLvlLbl val="0"/>
      </c:catAx>
    </c:plotArea>
    <c:legend>
      <c:legendPos val="b"/>
      <c:legendEntry>
        <c:idx val="0"/>
        <c:delete val="1"/>
      </c:legendEntry>
      <c:legendEntry>
        <c:idx val="1"/>
        <c:delete val="1"/>
      </c:legendEntry>
      <c:overlay val="0"/>
      <c:spPr>
        <a:noFill/>
        <a:ln>
          <a:noFill/>
        </a:ln>
        <a:effectLst/>
      </c:spPr>
      <c:txPr>
        <a:bodyPr rot="0" vert="horz"/>
        <a:lstStyle/>
        <a:p>
          <a:pPr>
            <a:defRPr/>
          </a:pPr>
          <a:endParaRPr lang="fr-FR"/>
        </a:p>
      </c:txPr>
    </c:legend>
    <c:plotVisOnly val="1"/>
    <c:dispBlanksAs val="gap"/>
    <c:showDLblsOverMax val="0"/>
  </c:chart>
  <c:txPr>
    <a:bodyPr/>
    <a:lstStyle/>
    <a:p>
      <a:pPr>
        <a:defRPr sz="1000"/>
      </a:pPr>
      <a:endParaRPr lang="fr-F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b="0"/>
            </a:pPr>
            <a:r>
              <a:rPr lang="fr-FR" b="0"/>
              <a:t>Evolution of average and maximum daily temperatures under climate change scenarios</a:t>
            </a:r>
          </a:p>
        </c:rich>
      </c:tx>
      <c:layout>
        <c:manualLayout>
          <c:xMode val="edge"/>
          <c:yMode val="edge"/>
          <c:x val="0.16621438263229307"/>
          <c:y val="0"/>
        </c:manualLayout>
      </c:layout>
      <c:overlay val="0"/>
      <c:spPr>
        <a:noFill/>
        <a:ln>
          <a:noFill/>
        </a:ln>
        <a:effectLst/>
      </c:spPr>
    </c:title>
    <c:autoTitleDeleted val="0"/>
    <c:plotArea>
      <c:layout>
        <c:manualLayout>
          <c:layoutTarget val="inner"/>
          <c:xMode val="edge"/>
          <c:yMode val="edge"/>
          <c:x val="0.14806433591774182"/>
          <c:y val="0.15044000487411435"/>
          <c:w val="0.81837865708686697"/>
          <c:h val="0.46354290091041495"/>
        </c:manualLayout>
      </c:layout>
      <c:barChart>
        <c:barDir val="col"/>
        <c:grouping val="clustered"/>
        <c:varyColors val="0"/>
        <c:ser>
          <c:idx val="1"/>
          <c:order val="1"/>
          <c:tx>
            <c:strRef>
              <c:f>'Report table detail'!$B$77</c:f>
              <c:strCache>
                <c:ptCount val="1"/>
                <c:pt idx="0">
                  <c:v>Max temperature</c:v>
                </c:pt>
              </c:strCache>
            </c:strRef>
          </c:tx>
          <c:spPr>
            <a:solidFill>
              <a:schemeClr val="bg1">
                <a:lumMod val="65000"/>
              </a:schemeClr>
            </a:solidFill>
          </c:spPr>
          <c:invertIfNegative val="0"/>
          <c:cat>
            <c:multiLvlStrRef>
              <c:f>'Report table detail'!$C$74:$I$75</c:f>
              <c:multiLvlStrCache>
                <c:ptCount val="7"/>
                <c:lvl>
                  <c:pt idx="0">
                    <c:v>baseline</c:v>
                  </c:pt>
                  <c:pt idx="1">
                    <c:v>RCP45-SSP245</c:v>
                  </c:pt>
                  <c:pt idx="2">
                    <c:v>RCP85-SSP585</c:v>
                  </c:pt>
                  <c:pt idx="3">
                    <c:v>RCP45-SSP245</c:v>
                  </c:pt>
                  <c:pt idx="4">
                    <c:v>RCP85-SSP585</c:v>
                  </c:pt>
                  <c:pt idx="5">
                    <c:v>RCP45-SSP245</c:v>
                  </c:pt>
                  <c:pt idx="6">
                    <c:v>RCP85-SSP585</c:v>
                  </c:pt>
                </c:lvl>
                <c:lvl>
                  <c:pt idx="0">
                    <c:v>historical</c:v>
                  </c:pt>
                  <c:pt idx="1">
                    <c:v>2030</c:v>
                  </c:pt>
                  <c:pt idx="3">
                    <c:v>2040</c:v>
                  </c:pt>
                  <c:pt idx="5">
                    <c:v>2050</c:v>
                  </c:pt>
                </c:lvl>
              </c:multiLvlStrCache>
            </c:multiLvlStrRef>
          </c:cat>
          <c:val>
            <c:numRef>
              <c:f>'Report table detail'!$C$77:$I$77</c:f>
              <c:numCache>
                <c:formatCode>_(* #,##0.00_);_(* \(#,##0.00\);_(* "-"??_);_(@_)</c:formatCode>
                <c:ptCount val="7"/>
                <c:pt idx="0">
                  <c:v>34.913333333333334</c:v>
                </c:pt>
                <c:pt idx="1">
                  <c:v>36.813333333333333</c:v>
                </c:pt>
                <c:pt idx="2">
                  <c:v>37.043333333333329</c:v>
                </c:pt>
                <c:pt idx="3">
                  <c:v>36.883333333333333</c:v>
                </c:pt>
                <c:pt idx="4">
                  <c:v>37.556666666666672</c:v>
                </c:pt>
                <c:pt idx="5">
                  <c:v>38.24666666666667</c:v>
                </c:pt>
                <c:pt idx="6">
                  <c:v>39.323333333333331</c:v>
                </c:pt>
              </c:numCache>
            </c:numRef>
          </c:val>
          <c:extLst>
            <c:ext xmlns:c16="http://schemas.microsoft.com/office/drawing/2014/chart" uri="{C3380CC4-5D6E-409C-BE32-E72D297353CC}">
              <c16:uniqueId val="{00000000-1A25-4962-A1CE-AC0AE610BBE7}"/>
            </c:ext>
          </c:extLst>
        </c:ser>
        <c:dLbls>
          <c:showLegendKey val="0"/>
          <c:showVal val="0"/>
          <c:showCatName val="0"/>
          <c:showSerName val="0"/>
          <c:showPercent val="0"/>
          <c:showBubbleSize val="0"/>
        </c:dLbls>
        <c:gapWidth val="81"/>
        <c:overlap val="100"/>
        <c:axId val="1848552944"/>
        <c:axId val="1848549704"/>
      </c:barChart>
      <c:lineChart>
        <c:grouping val="standard"/>
        <c:varyColors val="0"/>
        <c:ser>
          <c:idx val="0"/>
          <c:order val="0"/>
          <c:tx>
            <c:strRef>
              <c:f>'Report table detail'!$B$76</c:f>
              <c:strCache>
                <c:ptCount val="1"/>
                <c:pt idx="0">
                  <c:v>Average temperature</c:v>
                </c:pt>
              </c:strCache>
            </c:strRef>
          </c:tx>
          <c:spPr>
            <a:ln w="19050">
              <a:noFill/>
            </a:ln>
          </c:spPr>
          <c:marker>
            <c:symbol val="diamond"/>
            <c:size val="9"/>
            <c:spPr>
              <a:solidFill>
                <a:schemeClr val="tx1"/>
              </a:solidFill>
              <a:ln w="9525">
                <a:noFill/>
              </a:ln>
              <a:effectLst/>
            </c:spPr>
          </c:marker>
          <c:cat>
            <c:multiLvlStrRef>
              <c:f>'Report table detail'!$C$74:$I$75</c:f>
              <c:multiLvlStrCache>
                <c:ptCount val="7"/>
                <c:lvl>
                  <c:pt idx="0">
                    <c:v>baseline</c:v>
                  </c:pt>
                  <c:pt idx="1">
                    <c:v>RCP45-SSP245</c:v>
                  </c:pt>
                  <c:pt idx="2">
                    <c:v>RCP85-SSP585</c:v>
                  </c:pt>
                  <c:pt idx="3">
                    <c:v>RCP45-SSP245</c:v>
                  </c:pt>
                  <c:pt idx="4">
                    <c:v>RCP85-SSP585</c:v>
                  </c:pt>
                  <c:pt idx="5">
                    <c:v>RCP45-SSP245</c:v>
                  </c:pt>
                  <c:pt idx="6">
                    <c:v>RCP85-SSP585</c:v>
                  </c:pt>
                </c:lvl>
                <c:lvl>
                  <c:pt idx="0">
                    <c:v>historical</c:v>
                  </c:pt>
                  <c:pt idx="1">
                    <c:v>2030</c:v>
                  </c:pt>
                  <c:pt idx="3">
                    <c:v>2040</c:v>
                  </c:pt>
                  <c:pt idx="5">
                    <c:v>2050</c:v>
                  </c:pt>
                </c:lvl>
              </c:multiLvlStrCache>
            </c:multiLvlStrRef>
          </c:cat>
          <c:val>
            <c:numRef>
              <c:f>'Report table detail'!$C$76:$I$76</c:f>
              <c:numCache>
                <c:formatCode>_(* #,##0.00_);_(* \(#,##0.00\);_(* "-"??_);_(@_)</c:formatCode>
                <c:ptCount val="7"/>
                <c:pt idx="0">
                  <c:v>15.87</c:v>
                </c:pt>
                <c:pt idx="1">
                  <c:v>17.47206349206343</c:v>
                </c:pt>
                <c:pt idx="2">
                  <c:v>17.584920634920604</c:v>
                </c:pt>
                <c:pt idx="3">
                  <c:v>17.814761904761834</c:v>
                </c:pt>
                <c:pt idx="4">
                  <c:v>17.955873015872964</c:v>
                </c:pt>
                <c:pt idx="5">
                  <c:v>18.626666666666665</c:v>
                </c:pt>
                <c:pt idx="6">
                  <c:v>19.47666666666667</c:v>
                </c:pt>
              </c:numCache>
            </c:numRef>
          </c:val>
          <c:smooth val="0"/>
          <c:extLst>
            <c:ext xmlns:c16="http://schemas.microsoft.com/office/drawing/2014/chart" uri="{C3380CC4-5D6E-409C-BE32-E72D297353CC}">
              <c16:uniqueId val="{00000001-1A25-4962-A1CE-AC0AE610BBE7}"/>
            </c:ext>
          </c:extLst>
        </c:ser>
        <c:dLbls>
          <c:showLegendKey val="0"/>
          <c:showVal val="0"/>
          <c:showCatName val="0"/>
          <c:showSerName val="0"/>
          <c:showPercent val="0"/>
          <c:showBubbleSize val="0"/>
        </c:dLbls>
        <c:marker val="1"/>
        <c:smooth val="0"/>
        <c:axId val="1848552944"/>
        <c:axId val="1848549704"/>
      </c:lineChart>
      <c:catAx>
        <c:axId val="1848552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fr-FR"/>
          </a:p>
        </c:txPr>
        <c:crossAx val="1848549704"/>
        <c:crosses val="autoZero"/>
        <c:auto val="1"/>
        <c:lblAlgn val="ctr"/>
        <c:lblOffset val="100"/>
        <c:noMultiLvlLbl val="0"/>
      </c:catAx>
      <c:valAx>
        <c:axId val="1848549704"/>
        <c:scaling>
          <c:orientation val="minMax"/>
        </c:scaling>
        <c:delete val="0"/>
        <c:axPos val="l"/>
        <c:majorGridlines>
          <c:spPr>
            <a:ln w="9525" cap="flat" cmpd="sng" algn="ctr">
              <a:solidFill>
                <a:schemeClr val="tx1">
                  <a:lumMod val="15000"/>
                  <a:lumOff val="85000"/>
                </a:schemeClr>
              </a:solidFill>
              <a:round/>
            </a:ln>
            <a:effectLst/>
          </c:spPr>
        </c:majorGridlines>
        <c:title>
          <c:tx>
            <c:rich>
              <a:bodyPr/>
              <a:lstStyle/>
              <a:p>
                <a:pPr>
                  <a:defRPr b="0"/>
                </a:pPr>
                <a:r>
                  <a:rPr lang="fr-FR" b="0"/>
                  <a:t>°C</a:t>
                </a:r>
              </a:p>
            </c:rich>
          </c:tx>
          <c:overlay val="0"/>
        </c:title>
        <c:numFmt formatCode="_(* #,##0_);_(* \(#,##0\);_(* &quot;-&quot;_);_(@_)" sourceLinked="0"/>
        <c:majorTickMark val="none"/>
        <c:minorTickMark val="none"/>
        <c:tickLblPos val="nextTo"/>
        <c:spPr>
          <a:noFill/>
          <a:ln>
            <a:noFill/>
          </a:ln>
          <a:effectLst/>
        </c:spPr>
        <c:txPr>
          <a:bodyPr rot="-60000000" vert="horz"/>
          <a:lstStyle/>
          <a:p>
            <a:pPr>
              <a:defRPr/>
            </a:pPr>
            <a:endParaRPr lang="fr-FR"/>
          </a:p>
        </c:txPr>
        <c:crossAx val="1848552944"/>
        <c:crosses val="autoZero"/>
        <c:crossBetween val="between"/>
      </c:valAx>
    </c:plotArea>
    <c:legend>
      <c:legendPos val="b"/>
      <c:overlay val="0"/>
      <c:spPr>
        <a:noFill/>
        <a:ln>
          <a:noFill/>
        </a:ln>
        <a:effectLst/>
      </c:spPr>
      <c:txPr>
        <a:bodyPr rot="0" vert="horz"/>
        <a:lstStyle/>
        <a:p>
          <a:pPr>
            <a:defRPr/>
          </a:pPr>
          <a:endParaRPr lang="fr-FR"/>
        </a:p>
      </c:txPr>
    </c:legend>
    <c:plotVisOnly val="1"/>
    <c:dispBlanksAs val="gap"/>
    <c:showDLblsOverMax val="0"/>
  </c:chart>
  <c:txPr>
    <a:bodyPr/>
    <a:lstStyle/>
    <a:p>
      <a:pPr>
        <a:defRPr sz="1000"/>
      </a:pPr>
      <a:endParaRPr lang="fr-F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0257f1c-8d80-48a8-8456-d6fb3824412e">
      <Terms xmlns="http://schemas.microsoft.com/office/infopath/2007/PartnerControls"/>
    </lcf76f155ced4ddcb4097134ff3c332f>
    <TaxCatchAll xmlns="50c908b1-f277-4340-90a9-4611d0b0f07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22358EE2DAD8B478B3045186EA35449" ma:contentTypeVersion="15" ma:contentTypeDescription="Create a new document." ma:contentTypeScope="" ma:versionID="0643687f7daa60daf046fedf800d6806">
  <xsd:schema xmlns:xsd="http://www.w3.org/2001/XMLSchema" xmlns:xs="http://www.w3.org/2001/XMLSchema" xmlns:p="http://schemas.microsoft.com/office/2006/metadata/properties" xmlns:ns2="e0257f1c-8d80-48a8-8456-d6fb3824412e" xmlns:ns3="769906f4-f332-4c7b-b0c7-e838445666f1" xmlns:ns4="50c908b1-f277-4340-90a9-4611d0b0f078" targetNamespace="http://schemas.microsoft.com/office/2006/metadata/properties" ma:root="true" ma:fieldsID="bfdf4d3b88ff45907f68c498e6e82ad5" ns2:_="" ns3:_="" ns4:_="">
    <xsd:import namespace="e0257f1c-8d80-48a8-8456-d6fb3824412e"/>
    <xsd:import namespace="769906f4-f332-4c7b-b0c7-e838445666f1"/>
    <xsd:import namespace="50c908b1-f277-4340-90a9-4611d0b0f0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257f1c-8d80-48a8-8456-d6fb382441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3ef62f9-2e07-484b-bd79-00aec90129fe"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9906f4-f332-4c7b-b0c7-e838445666f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0c908b1-f277-4340-90a9-4611d0b0f078"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0a55344a-1763-4d1c-a7c6-1c54b422a89c}" ma:internalName="TaxCatchAll" ma:showField="CatchAllData" ma:web="769906f4-f332-4c7b-b0c7-e838445666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2A65C1-AF1B-4491-97F0-7750B6B26B7D}">
  <ds:schemaRefs>
    <ds:schemaRef ds:uri="http://schemas.microsoft.com/office/2006/metadata/properties"/>
    <ds:schemaRef ds:uri="http://schemas.microsoft.com/office/infopath/2007/PartnerControls"/>
    <ds:schemaRef ds:uri="e0257f1c-8d80-48a8-8456-d6fb3824412e"/>
    <ds:schemaRef ds:uri="50c908b1-f277-4340-90a9-4611d0b0f078"/>
  </ds:schemaRefs>
</ds:datastoreItem>
</file>

<file path=customXml/itemProps2.xml><?xml version="1.0" encoding="utf-8"?>
<ds:datastoreItem xmlns:ds="http://schemas.openxmlformats.org/officeDocument/2006/customXml" ds:itemID="{8A68B596-F166-4C37-9275-055ED3B351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257f1c-8d80-48a8-8456-d6fb3824412e"/>
    <ds:schemaRef ds:uri="769906f4-f332-4c7b-b0c7-e838445666f1"/>
    <ds:schemaRef ds:uri="50c908b1-f277-4340-90a9-4611d0b0f0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4FD9B6D-B4A0-44BC-88DC-57A480B56192}">
  <ds:schemaRefs>
    <ds:schemaRef ds:uri="http://schemas.microsoft.com/sharepoint/v3/contenttype/forms"/>
  </ds:schemaRefs>
</ds:datastoreItem>
</file>

<file path=customXml/itemProps4.xml><?xml version="1.0" encoding="utf-8"?>
<ds:datastoreItem xmlns:ds="http://schemas.openxmlformats.org/officeDocument/2006/customXml" ds:itemID="{408AD9C4-B3BA-4C6E-BBE1-4B13E6F754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14258</TotalTime>
  <Pages>51</Pages>
  <Words>16175</Words>
  <Characters>88963</Characters>
  <Application>Microsoft Office Word</Application>
  <DocSecurity>0</DocSecurity>
  <Lines>741</Lines>
  <Paragraphs>209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104929</CharactersWithSpaces>
  <SharedDoc>false</SharedDoc>
  <HLinks>
    <vt:vector size="300" baseType="variant">
      <vt:variant>
        <vt:i4>7012436</vt:i4>
      </vt:variant>
      <vt:variant>
        <vt:i4>231</vt:i4>
      </vt:variant>
      <vt:variant>
        <vt:i4>0</vt:i4>
      </vt:variant>
      <vt:variant>
        <vt:i4>5</vt:i4>
      </vt:variant>
      <vt:variant>
        <vt:lpwstr/>
      </vt:variant>
      <vt:variant>
        <vt:lpwstr>_Increasing_pricing_of</vt:lpwstr>
      </vt:variant>
      <vt:variant>
        <vt:i4>6946896</vt:i4>
      </vt:variant>
      <vt:variant>
        <vt:i4>228</vt:i4>
      </vt:variant>
      <vt:variant>
        <vt:i4>0</vt:i4>
      </vt:variant>
      <vt:variant>
        <vt:i4>5</vt:i4>
      </vt:variant>
      <vt:variant>
        <vt:lpwstr/>
      </vt:variant>
      <vt:variant>
        <vt:lpwstr>_Limited_biofuel_of</vt:lpwstr>
      </vt:variant>
      <vt:variant>
        <vt:i4>5046368</vt:i4>
      </vt:variant>
      <vt:variant>
        <vt:i4>225</vt:i4>
      </vt:variant>
      <vt:variant>
        <vt:i4>0</vt:i4>
      </vt:variant>
      <vt:variant>
        <vt:i4>5</vt:i4>
      </vt:variant>
      <vt:variant>
        <vt:lpwstr/>
      </vt:variant>
      <vt:variant>
        <vt:lpwstr>_Regulatory_mandates_on</vt:lpwstr>
      </vt:variant>
      <vt:variant>
        <vt:i4>6750294</vt:i4>
      </vt:variant>
      <vt:variant>
        <vt:i4>222</vt:i4>
      </vt:variant>
      <vt:variant>
        <vt:i4>0</vt:i4>
      </vt:variant>
      <vt:variant>
        <vt:i4>5</vt:i4>
      </vt:variant>
      <vt:variant>
        <vt:lpwstr/>
      </vt:variant>
      <vt:variant>
        <vt:lpwstr>_Sustainability_reporting_mandates</vt:lpwstr>
      </vt:variant>
      <vt:variant>
        <vt:i4>1376308</vt:i4>
      </vt:variant>
      <vt:variant>
        <vt:i4>215</vt:i4>
      </vt:variant>
      <vt:variant>
        <vt:i4>0</vt:i4>
      </vt:variant>
      <vt:variant>
        <vt:i4>5</vt:i4>
      </vt:variant>
      <vt:variant>
        <vt:lpwstr/>
      </vt:variant>
      <vt:variant>
        <vt:lpwstr>_Toc173914785</vt:lpwstr>
      </vt:variant>
      <vt:variant>
        <vt:i4>1376308</vt:i4>
      </vt:variant>
      <vt:variant>
        <vt:i4>209</vt:i4>
      </vt:variant>
      <vt:variant>
        <vt:i4>0</vt:i4>
      </vt:variant>
      <vt:variant>
        <vt:i4>5</vt:i4>
      </vt:variant>
      <vt:variant>
        <vt:lpwstr/>
      </vt:variant>
      <vt:variant>
        <vt:lpwstr>_Toc173914784</vt:lpwstr>
      </vt:variant>
      <vt:variant>
        <vt:i4>1376308</vt:i4>
      </vt:variant>
      <vt:variant>
        <vt:i4>203</vt:i4>
      </vt:variant>
      <vt:variant>
        <vt:i4>0</vt:i4>
      </vt:variant>
      <vt:variant>
        <vt:i4>5</vt:i4>
      </vt:variant>
      <vt:variant>
        <vt:lpwstr/>
      </vt:variant>
      <vt:variant>
        <vt:lpwstr>_Toc173914783</vt:lpwstr>
      </vt:variant>
      <vt:variant>
        <vt:i4>1376308</vt:i4>
      </vt:variant>
      <vt:variant>
        <vt:i4>197</vt:i4>
      </vt:variant>
      <vt:variant>
        <vt:i4>0</vt:i4>
      </vt:variant>
      <vt:variant>
        <vt:i4>5</vt:i4>
      </vt:variant>
      <vt:variant>
        <vt:lpwstr/>
      </vt:variant>
      <vt:variant>
        <vt:lpwstr>_Toc173914782</vt:lpwstr>
      </vt:variant>
      <vt:variant>
        <vt:i4>1376308</vt:i4>
      </vt:variant>
      <vt:variant>
        <vt:i4>191</vt:i4>
      </vt:variant>
      <vt:variant>
        <vt:i4>0</vt:i4>
      </vt:variant>
      <vt:variant>
        <vt:i4>5</vt:i4>
      </vt:variant>
      <vt:variant>
        <vt:lpwstr/>
      </vt:variant>
      <vt:variant>
        <vt:lpwstr>_Toc173914781</vt:lpwstr>
      </vt:variant>
      <vt:variant>
        <vt:i4>1769522</vt:i4>
      </vt:variant>
      <vt:variant>
        <vt:i4>182</vt:i4>
      </vt:variant>
      <vt:variant>
        <vt:i4>0</vt:i4>
      </vt:variant>
      <vt:variant>
        <vt:i4>5</vt:i4>
      </vt:variant>
      <vt:variant>
        <vt:lpwstr/>
      </vt:variant>
      <vt:variant>
        <vt:lpwstr>_Toc183015114</vt:lpwstr>
      </vt:variant>
      <vt:variant>
        <vt:i4>1769522</vt:i4>
      </vt:variant>
      <vt:variant>
        <vt:i4>176</vt:i4>
      </vt:variant>
      <vt:variant>
        <vt:i4>0</vt:i4>
      </vt:variant>
      <vt:variant>
        <vt:i4>5</vt:i4>
      </vt:variant>
      <vt:variant>
        <vt:lpwstr/>
      </vt:variant>
      <vt:variant>
        <vt:lpwstr>_Toc183015113</vt:lpwstr>
      </vt:variant>
      <vt:variant>
        <vt:i4>1769522</vt:i4>
      </vt:variant>
      <vt:variant>
        <vt:i4>170</vt:i4>
      </vt:variant>
      <vt:variant>
        <vt:i4>0</vt:i4>
      </vt:variant>
      <vt:variant>
        <vt:i4>5</vt:i4>
      </vt:variant>
      <vt:variant>
        <vt:lpwstr/>
      </vt:variant>
      <vt:variant>
        <vt:lpwstr>_Toc183015112</vt:lpwstr>
      </vt:variant>
      <vt:variant>
        <vt:i4>1769522</vt:i4>
      </vt:variant>
      <vt:variant>
        <vt:i4>164</vt:i4>
      </vt:variant>
      <vt:variant>
        <vt:i4>0</vt:i4>
      </vt:variant>
      <vt:variant>
        <vt:i4>5</vt:i4>
      </vt:variant>
      <vt:variant>
        <vt:lpwstr/>
      </vt:variant>
      <vt:variant>
        <vt:lpwstr>_Toc183015111</vt:lpwstr>
      </vt:variant>
      <vt:variant>
        <vt:i4>1769522</vt:i4>
      </vt:variant>
      <vt:variant>
        <vt:i4>158</vt:i4>
      </vt:variant>
      <vt:variant>
        <vt:i4>0</vt:i4>
      </vt:variant>
      <vt:variant>
        <vt:i4>5</vt:i4>
      </vt:variant>
      <vt:variant>
        <vt:lpwstr/>
      </vt:variant>
      <vt:variant>
        <vt:lpwstr>_Toc183015110</vt:lpwstr>
      </vt:variant>
      <vt:variant>
        <vt:i4>1703986</vt:i4>
      </vt:variant>
      <vt:variant>
        <vt:i4>152</vt:i4>
      </vt:variant>
      <vt:variant>
        <vt:i4>0</vt:i4>
      </vt:variant>
      <vt:variant>
        <vt:i4>5</vt:i4>
      </vt:variant>
      <vt:variant>
        <vt:lpwstr/>
      </vt:variant>
      <vt:variant>
        <vt:lpwstr>_Toc183015109</vt:lpwstr>
      </vt:variant>
      <vt:variant>
        <vt:i4>1703986</vt:i4>
      </vt:variant>
      <vt:variant>
        <vt:i4>146</vt:i4>
      </vt:variant>
      <vt:variant>
        <vt:i4>0</vt:i4>
      </vt:variant>
      <vt:variant>
        <vt:i4>5</vt:i4>
      </vt:variant>
      <vt:variant>
        <vt:lpwstr/>
      </vt:variant>
      <vt:variant>
        <vt:lpwstr>_Toc183015108</vt:lpwstr>
      </vt:variant>
      <vt:variant>
        <vt:i4>1703986</vt:i4>
      </vt:variant>
      <vt:variant>
        <vt:i4>140</vt:i4>
      </vt:variant>
      <vt:variant>
        <vt:i4>0</vt:i4>
      </vt:variant>
      <vt:variant>
        <vt:i4>5</vt:i4>
      </vt:variant>
      <vt:variant>
        <vt:lpwstr/>
      </vt:variant>
      <vt:variant>
        <vt:lpwstr>_Toc183015107</vt:lpwstr>
      </vt:variant>
      <vt:variant>
        <vt:i4>1703986</vt:i4>
      </vt:variant>
      <vt:variant>
        <vt:i4>134</vt:i4>
      </vt:variant>
      <vt:variant>
        <vt:i4>0</vt:i4>
      </vt:variant>
      <vt:variant>
        <vt:i4>5</vt:i4>
      </vt:variant>
      <vt:variant>
        <vt:lpwstr/>
      </vt:variant>
      <vt:variant>
        <vt:lpwstr>_Toc183015106</vt:lpwstr>
      </vt:variant>
      <vt:variant>
        <vt:i4>1703986</vt:i4>
      </vt:variant>
      <vt:variant>
        <vt:i4>128</vt:i4>
      </vt:variant>
      <vt:variant>
        <vt:i4>0</vt:i4>
      </vt:variant>
      <vt:variant>
        <vt:i4>5</vt:i4>
      </vt:variant>
      <vt:variant>
        <vt:lpwstr/>
      </vt:variant>
      <vt:variant>
        <vt:lpwstr>_Toc183015105</vt:lpwstr>
      </vt:variant>
      <vt:variant>
        <vt:i4>1703986</vt:i4>
      </vt:variant>
      <vt:variant>
        <vt:i4>122</vt:i4>
      </vt:variant>
      <vt:variant>
        <vt:i4>0</vt:i4>
      </vt:variant>
      <vt:variant>
        <vt:i4>5</vt:i4>
      </vt:variant>
      <vt:variant>
        <vt:lpwstr/>
      </vt:variant>
      <vt:variant>
        <vt:lpwstr>_Toc183015104</vt:lpwstr>
      </vt:variant>
      <vt:variant>
        <vt:i4>1703986</vt:i4>
      </vt:variant>
      <vt:variant>
        <vt:i4>116</vt:i4>
      </vt:variant>
      <vt:variant>
        <vt:i4>0</vt:i4>
      </vt:variant>
      <vt:variant>
        <vt:i4>5</vt:i4>
      </vt:variant>
      <vt:variant>
        <vt:lpwstr/>
      </vt:variant>
      <vt:variant>
        <vt:lpwstr>_Toc183015103</vt:lpwstr>
      </vt:variant>
      <vt:variant>
        <vt:i4>1703986</vt:i4>
      </vt:variant>
      <vt:variant>
        <vt:i4>110</vt:i4>
      </vt:variant>
      <vt:variant>
        <vt:i4>0</vt:i4>
      </vt:variant>
      <vt:variant>
        <vt:i4>5</vt:i4>
      </vt:variant>
      <vt:variant>
        <vt:lpwstr/>
      </vt:variant>
      <vt:variant>
        <vt:lpwstr>_Toc183015102</vt:lpwstr>
      </vt:variant>
      <vt:variant>
        <vt:i4>1703986</vt:i4>
      </vt:variant>
      <vt:variant>
        <vt:i4>104</vt:i4>
      </vt:variant>
      <vt:variant>
        <vt:i4>0</vt:i4>
      </vt:variant>
      <vt:variant>
        <vt:i4>5</vt:i4>
      </vt:variant>
      <vt:variant>
        <vt:lpwstr/>
      </vt:variant>
      <vt:variant>
        <vt:lpwstr>_Toc183015101</vt:lpwstr>
      </vt:variant>
      <vt:variant>
        <vt:i4>1703986</vt:i4>
      </vt:variant>
      <vt:variant>
        <vt:i4>98</vt:i4>
      </vt:variant>
      <vt:variant>
        <vt:i4>0</vt:i4>
      </vt:variant>
      <vt:variant>
        <vt:i4>5</vt:i4>
      </vt:variant>
      <vt:variant>
        <vt:lpwstr/>
      </vt:variant>
      <vt:variant>
        <vt:lpwstr>_Toc183015100</vt:lpwstr>
      </vt:variant>
      <vt:variant>
        <vt:i4>1245235</vt:i4>
      </vt:variant>
      <vt:variant>
        <vt:i4>92</vt:i4>
      </vt:variant>
      <vt:variant>
        <vt:i4>0</vt:i4>
      </vt:variant>
      <vt:variant>
        <vt:i4>5</vt:i4>
      </vt:variant>
      <vt:variant>
        <vt:lpwstr/>
      </vt:variant>
      <vt:variant>
        <vt:lpwstr>_Toc183015099</vt:lpwstr>
      </vt:variant>
      <vt:variant>
        <vt:i4>1245235</vt:i4>
      </vt:variant>
      <vt:variant>
        <vt:i4>86</vt:i4>
      </vt:variant>
      <vt:variant>
        <vt:i4>0</vt:i4>
      </vt:variant>
      <vt:variant>
        <vt:i4>5</vt:i4>
      </vt:variant>
      <vt:variant>
        <vt:lpwstr/>
      </vt:variant>
      <vt:variant>
        <vt:lpwstr>_Toc183015098</vt:lpwstr>
      </vt:variant>
      <vt:variant>
        <vt:i4>1245235</vt:i4>
      </vt:variant>
      <vt:variant>
        <vt:i4>80</vt:i4>
      </vt:variant>
      <vt:variant>
        <vt:i4>0</vt:i4>
      </vt:variant>
      <vt:variant>
        <vt:i4>5</vt:i4>
      </vt:variant>
      <vt:variant>
        <vt:lpwstr/>
      </vt:variant>
      <vt:variant>
        <vt:lpwstr>_Toc183015097</vt:lpwstr>
      </vt:variant>
      <vt:variant>
        <vt:i4>1245235</vt:i4>
      </vt:variant>
      <vt:variant>
        <vt:i4>74</vt:i4>
      </vt:variant>
      <vt:variant>
        <vt:i4>0</vt:i4>
      </vt:variant>
      <vt:variant>
        <vt:i4>5</vt:i4>
      </vt:variant>
      <vt:variant>
        <vt:lpwstr/>
      </vt:variant>
      <vt:variant>
        <vt:lpwstr>_Toc183015096</vt:lpwstr>
      </vt:variant>
      <vt:variant>
        <vt:i4>1245235</vt:i4>
      </vt:variant>
      <vt:variant>
        <vt:i4>68</vt:i4>
      </vt:variant>
      <vt:variant>
        <vt:i4>0</vt:i4>
      </vt:variant>
      <vt:variant>
        <vt:i4>5</vt:i4>
      </vt:variant>
      <vt:variant>
        <vt:lpwstr/>
      </vt:variant>
      <vt:variant>
        <vt:lpwstr>_Toc183015095</vt:lpwstr>
      </vt:variant>
      <vt:variant>
        <vt:i4>1245235</vt:i4>
      </vt:variant>
      <vt:variant>
        <vt:i4>62</vt:i4>
      </vt:variant>
      <vt:variant>
        <vt:i4>0</vt:i4>
      </vt:variant>
      <vt:variant>
        <vt:i4>5</vt:i4>
      </vt:variant>
      <vt:variant>
        <vt:lpwstr/>
      </vt:variant>
      <vt:variant>
        <vt:lpwstr>_Toc183015094</vt:lpwstr>
      </vt:variant>
      <vt:variant>
        <vt:i4>1245235</vt:i4>
      </vt:variant>
      <vt:variant>
        <vt:i4>56</vt:i4>
      </vt:variant>
      <vt:variant>
        <vt:i4>0</vt:i4>
      </vt:variant>
      <vt:variant>
        <vt:i4>5</vt:i4>
      </vt:variant>
      <vt:variant>
        <vt:lpwstr/>
      </vt:variant>
      <vt:variant>
        <vt:lpwstr>_Toc183015093</vt:lpwstr>
      </vt:variant>
      <vt:variant>
        <vt:i4>1245235</vt:i4>
      </vt:variant>
      <vt:variant>
        <vt:i4>50</vt:i4>
      </vt:variant>
      <vt:variant>
        <vt:i4>0</vt:i4>
      </vt:variant>
      <vt:variant>
        <vt:i4>5</vt:i4>
      </vt:variant>
      <vt:variant>
        <vt:lpwstr/>
      </vt:variant>
      <vt:variant>
        <vt:lpwstr>_Toc183015092</vt:lpwstr>
      </vt:variant>
      <vt:variant>
        <vt:i4>1245235</vt:i4>
      </vt:variant>
      <vt:variant>
        <vt:i4>44</vt:i4>
      </vt:variant>
      <vt:variant>
        <vt:i4>0</vt:i4>
      </vt:variant>
      <vt:variant>
        <vt:i4>5</vt:i4>
      </vt:variant>
      <vt:variant>
        <vt:lpwstr/>
      </vt:variant>
      <vt:variant>
        <vt:lpwstr>_Toc183015091</vt:lpwstr>
      </vt:variant>
      <vt:variant>
        <vt:i4>1245235</vt:i4>
      </vt:variant>
      <vt:variant>
        <vt:i4>38</vt:i4>
      </vt:variant>
      <vt:variant>
        <vt:i4>0</vt:i4>
      </vt:variant>
      <vt:variant>
        <vt:i4>5</vt:i4>
      </vt:variant>
      <vt:variant>
        <vt:lpwstr/>
      </vt:variant>
      <vt:variant>
        <vt:lpwstr>_Toc183015090</vt:lpwstr>
      </vt:variant>
      <vt:variant>
        <vt:i4>1179699</vt:i4>
      </vt:variant>
      <vt:variant>
        <vt:i4>32</vt:i4>
      </vt:variant>
      <vt:variant>
        <vt:i4>0</vt:i4>
      </vt:variant>
      <vt:variant>
        <vt:i4>5</vt:i4>
      </vt:variant>
      <vt:variant>
        <vt:lpwstr/>
      </vt:variant>
      <vt:variant>
        <vt:lpwstr>_Toc183015089</vt:lpwstr>
      </vt:variant>
      <vt:variant>
        <vt:i4>1179699</vt:i4>
      </vt:variant>
      <vt:variant>
        <vt:i4>26</vt:i4>
      </vt:variant>
      <vt:variant>
        <vt:i4>0</vt:i4>
      </vt:variant>
      <vt:variant>
        <vt:i4>5</vt:i4>
      </vt:variant>
      <vt:variant>
        <vt:lpwstr/>
      </vt:variant>
      <vt:variant>
        <vt:lpwstr>_Toc183015088</vt:lpwstr>
      </vt:variant>
      <vt:variant>
        <vt:i4>1179699</vt:i4>
      </vt:variant>
      <vt:variant>
        <vt:i4>20</vt:i4>
      </vt:variant>
      <vt:variant>
        <vt:i4>0</vt:i4>
      </vt:variant>
      <vt:variant>
        <vt:i4>5</vt:i4>
      </vt:variant>
      <vt:variant>
        <vt:lpwstr/>
      </vt:variant>
      <vt:variant>
        <vt:lpwstr>_Toc183015087</vt:lpwstr>
      </vt:variant>
      <vt:variant>
        <vt:i4>1179699</vt:i4>
      </vt:variant>
      <vt:variant>
        <vt:i4>14</vt:i4>
      </vt:variant>
      <vt:variant>
        <vt:i4>0</vt:i4>
      </vt:variant>
      <vt:variant>
        <vt:i4>5</vt:i4>
      </vt:variant>
      <vt:variant>
        <vt:lpwstr/>
      </vt:variant>
      <vt:variant>
        <vt:lpwstr>_Toc183015086</vt:lpwstr>
      </vt:variant>
      <vt:variant>
        <vt:i4>1179699</vt:i4>
      </vt:variant>
      <vt:variant>
        <vt:i4>8</vt:i4>
      </vt:variant>
      <vt:variant>
        <vt:i4>0</vt:i4>
      </vt:variant>
      <vt:variant>
        <vt:i4>5</vt:i4>
      </vt:variant>
      <vt:variant>
        <vt:lpwstr/>
      </vt:variant>
      <vt:variant>
        <vt:lpwstr>_Toc183015085</vt:lpwstr>
      </vt:variant>
      <vt:variant>
        <vt:i4>1179699</vt:i4>
      </vt:variant>
      <vt:variant>
        <vt:i4>2</vt:i4>
      </vt:variant>
      <vt:variant>
        <vt:i4>0</vt:i4>
      </vt:variant>
      <vt:variant>
        <vt:i4>5</vt:i4>
      </vt:variant>
      <vt:variant>
        <vt:lpwstr/>
      </vt:variant>
      <vt:variant>
        <vt:lpwstr>_Toc183015084</vt:lpwstr>
      </vt:variant>
      <vt:variant>
        <vt:i4>917504</vt:i4>
      </vt:variant>
      <vt:variant>
        <vt:i4>27</vt:i4>
      </vt:variant>
      <vt:variant>
        <vt:i4>0</vt:i4>
      </vt:variant>
      <vt:variant>
        <vt:i4>5</vt:i4>
      </vt:variant>
      <vt:variant>
        <vt:lpwstr>https://globalwindatlas.info/en/</vt:lpwstr>
      </vt:variant>
      <vt:variant>
        <vt:lpwstr/>
      </vt:variant>
      <vt:variant>
        <vt:i4>6488157</vt:i4>
      </vt:variant>
      <vt:variant>
        <vt:i4>24</vt:i4>
      </vt:variant>
      <vt:variant>
        <vt:i4>0</vt:i4>
      </vt:variant>
      <vt:variant>
        <vt:i4>5</vt:i4>
      </vt:variant>
      <vt:variant>
        <vt:lpwstr>https://www.spglobal.com/commodityinsights/en/ci/topic/key-considerations-in-financing-biofuels-related-investments.html?utm_source=chatgpt.com</vt:lpwstr>
      </vt:variant>
      <vt:variant>
        <vt:lpwstr/>
      </vt:variant>
      <vt:variant>
        <vt:i4>393314</vt:i4>
      </vt:variant>
      <vt:variant>
        <vt:i4>21</vt:i4>
      </vt:variant>
      <vt:variant>
        <vt:i4>0</vt:i4>
      </vt:variant>
      <vt:variant>
        <vt:i4>5</vt:i4>
      </vt:variant>
      <vt:variant>
        <vt:lpwstr>https://www.spglobal.com/commodityinsights/en/market-insights/latest-news/agriculture/100924-aviation-maritime-demand-to-fuel-global-biofuel-feedstock-race-by-2030?utm_source=chatgpt.com</vt:lpwstr>
      </vt:variant>
      <vt:variant>
        <vt:lpwstr/>
      </vt:variant>
      <vt:variant>
        <vt:i4>7798846</vt:i4>
      </vt:variant>
      <vt:variant>
        <vt:i4>18</vt:i4>
      </vt:variant>
      <vt:variant>
        <vt:i4>0</vt:i4>
      </vt:variant>
      <vt:variant>
        <vt:i4>5</vt:i4>
      </vt:variant>
      <vt:variant>
        <vt:lpwstr>https://www.ifpenergiesnouvelles.fr/article/tableau-bord-biocarburants-2023</vt:lpwstr>
      </vt:variant>
      <vt:variant>
        <vt:lpwstr/>
      </vt:variant>
      <vt:variant>
        <vt:i4>7995493</vt:i4>
      </vt:variant>
      <vt:variant>
        <vt:i4>15</vt:i4>
      </vt:variant>
      <vt:variant>
        <vt:i4>0</vt:i4>
      </vt:variant>
      <vt:variant>
        <vt:i4>5</vt:i4>
      </vt:variant>
      <vt:variant>
        <vt:lpwstr>https://www.methanol.org/wp-content/uploads/2023/05/Marine_Methanol_Report_Methanol_Institute_May_2023.pdf</vt:lpwstr>
      </vt:variant>
      <vt:variant>
        <vt:lpwstr/>
      </vt:variant>
      <vt:variant>
        <vt:i4>2424879</vt:i4>
      </vt:variant>
      <vt:variant>
        <vt:i4>12</vt:i4>
      </vt:variant>
      <vt:variant>
        <vt:i4>0</vt:i4>
      </vt:variant>
      <vt:variant>
        <vt:i4>5</vt:i4>
      </vt:variant>
      <vt:variant>
        <vt:lpwstr>https://rina.org.uk/publications/the-naval-architect/blending-biofuel-with-conventional-marine-fuel-shown-to-improve-cii-ratings/</vt:lpwstr>
      </vt:variant>
      <vt:variant>
        <vt:lpwstr>:~:text=This%20suggests%20that%2C%20under%20certain,and%20regulatory%20questions%20are%20addressed.</vt:lpwstr>
      </vt:variant>
      <vt:variant>
        <vt:i4>5177437</vt:i4>
      </vt:variant>
      <vt:variant>
        <vt:i4>9</vt:i4>
      </vt:variant>
      <vt:variant>
        <vt:i4>0</vt:i4>
      </vt:variant>
      <vt:variant>
        <vt:i4>5</vt:i4>
      </vt:variant>
      <vt:variant>
        <vt:lpwstr>https://data.consilium.europa.eu/doc/document/PE-26-2023-INIT/en/pdf</vt:lpwstr>
      </vt:variant>
      <vt:variant>
        <vt:lpwstr/>
      </vt:variant>
      <vt:variant>
        <vt:i4>2883667</vt:i4>
      </vt:variant>
      <vt:variant>
        <vt:i4>6</vt:i4>
      </vt:variant>
      <vt:variant>
        <vt:i4>0</vt:i4>
      </vt:variant>
      <vt:variant>
        <vt:i4>5</vt:i4>
      </vt:variant>
      <vt:variant>
        <vt:lpwstr>https://cdn.cdp.net/cdp-production/cms/guidance_docs/pdfs/000/003/504/original/CDP-technical-note-scope-3-relevance-by-sector.pdf</vt:lpwstr>
      </vt:variant>
      <vt:variant>
        <vt:lpwstr/>
      </vt:variant>
      <vt:variant>
        <vt:i4>720901</vt:i4>
      </vt:variant>
      <vt:variant>
        <vt:i4>3</vt:i4>
      </vt:variant>
      <vt:variant>
        <vt:i4>0</vt:i4>
      </vt:variant>
      <vt:variant>
        <vt:i4>5</vt:i4>
      </vt:variant>
      <vt:variant>
        <vt:lpwstr>https://wwwcdn.imo.org/localresources/en/KnowledgeCentre/IndexofIMOResolutions/MEPCDocuments/MEPC.346(78).pdf</vt:lpwstr>
      </vt:variant>
      <vt:variant>
        <vt:lpwstr/>
      </vt:variant>
      <vt:variant>
        <vt:i4>2490470</vt:i4>
      </vt:variant>
      <vt:variant>
        <vt:i4>0</vt:i4>
      </vt:variant>
      <vt:variant>
        <vt:i4>0</vt:i4>
      </vt:variant>
      <vt:variant>
        <vt:i4>5</vt:i4>
      </vt:variant>
      <vt:variant>
        <vt:lpwstr>https://climate.ec.europa.eu/document/download/31875b4f-39b9-4cde-a4e2-fbb8f65ee703_en?filename=policy_transport_shipping_gd1_maritime_en.pdf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EY</dc:creator>
  <cp:keywords/>
  <dc:description/>
  <cp:lastModifiedBy>Yoann Poline</cp:lastModifiedBy>
  <cp:revision>1682</cp:revision>
  <dcterms:created xsi:type="dcterms:W3CDTF">2024-10-24T16:29:00Z</dcterms:created>
  <dcterms:modified xsi:type="dcterms:W3CDTF">2024-12-12T09:22:00Z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0x010100A22358EE2DAD8B478B3045186EA35449</vt:lpwstr>
  </property>
</Properties>
</file>